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2735580</wp:posOffset>
            </wp:positionH>
            <wp:positionV relativeFrom="paragraph">
              <wp:posOffset>4445</wp:posOffset>
            </wp:positionV>
            <wp:extent cx="832672" cy="880049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672" cy="8800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Republika e Kosovës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Republika Kosovo - Republic of Kosovo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Qeveria – Vlada – Government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Ministria e Mjedisit dhe Planifikimit Hapësinor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Ministarstvo Životne Sredine i Prostornog Planiranja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Ministry of Environment and Spatial 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UDHËZUES PËR APLIKANTËT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Për Skemën e Subvencioneve për Start-up dhe Ndërmarrje për Riciklim dhe Ekonomi Qarkore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Përmbledhje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Ky udhëzues sqaron mënyrën e përgatitjes së aplikimit, kërkesat minimale, strukturën e projektit, buxhetin dhe kriteret e vlerësimit.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Si të ndërtohet ideja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Identifikoni problemin konkret të menaxhimit të mbeturinave.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Përshkruani zgjidhjen dhe çfarë është e re/inovative në të.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Shpjegoni si do të zbatohet në praktikë dhe cilat janë kapacitetet teknike.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Përcaktoni rezultatet dhe indikatorët që mund të maten.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Shpjegoni si projekti mund të vazhdojë pas subvencionit, qëndrueshmërinë dhe mundësinë e replikimit.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Lidheni çdo shpenzim të buxhetit me një aktivitet dhe rezultat.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Struktura minimale e projektit</w:t>
      </w:r>
    </w:p>
    <w:tbl>
      <w:tblPr>
        <w:tblStyle w:val="Table1"/>
        <w:tblW w:w="99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10"/>
        <w:gridCol w:w="7526"/>
        <w:tblGridChange w:id="0">
          <w:tblGrid>
            <w:gridCol w:w="2410"/>
            <w:gridCol w:w="7526"/>
          </w:tblGrid>
        </w:tblGridChange>
      </w:tblGrid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Seksioni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Çfarë duhet të përmbajë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Problemi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Dëshmi/arsyetim për problemin dhe lidhja me mbeturinat.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Zgjidhja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Përshkrim konkret i produktit/shërbimit/procesit.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Aktivitetet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Hapat kryesorë dhe mënyra e realizimit.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Rezultatet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Rezultate konkrete dhe të matshme.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Indikatorët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Tregues sasiorë/cilësorë dhe mënyra e verifikimit.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Biznesi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Qëndrueshmëria dhe potenciali për rritje.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Komuniteti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 përfshihen banorët e lagjes/fshatit ose komuniteti relevant.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Rreziqet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Rreziqet kryesore dhe masat parandaluese/korrigjuese.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Buxheti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Kosto të arsyeshme, të lidhura drejtpërdrejt me projektin.</w:t>
            </w:r>
          </w:p>
        </w:tc>
      </w:tr>
    </w:tbl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Gabime që duhet të shmangen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Probleme të përshkruara në mënyrë të përgjithshme pa rezultat të matshëm;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Buxhet pa lidhje me aktivitetet;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Shpenzime që nuk justifikohen nga projekti;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Mungesë e planit të zbatimit;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Mungesë e shpjegimit për vazhdimësinë pas subvencionit;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Mosdeklarimi i konfliktit të interesit ose financimit të dyfishtë.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Kriteret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Aplikimi vlerësohet në 100 pikë dhe duhet të arrijë së paku 70 pikë.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m5k1549hu7x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Kriteret dhe 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ikë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 janë të përcaktuara në 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R. </w:t>
      </w:r>
    </w:p>
    <w:sectPr>
      <w:pgSz w:h="15840" w:w="12240" w:orient="portrait"/>
      <w:pgMar w:bottom="1008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sq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xJjTbI8OZXrhRKd6nNTCjx+uQ==">CgMxLjAyDmgubTVrMTU0OWh1N3hkOAByITExOFFhM2NGSG9jdDl0SGtPVEp3UGRkWTg0OXN6YzlIdA==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