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A97" w:rsidRDefault="00BD515A">
      <w:pPr>
        <w:jc w:val="center"/>
        <w:rPr>
          <w:b/>
          <w:bCs/>
          <w:sz w:val="22"/>
          <w:szCs w:val="22"/>
        </w:rPr>
      </w:pPr>
      <w:r>
        <w:rPr>
          <w:noProof/>
          <w:lang w:val="sq-AL" w:eastAsia="sq-AL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2735580</wp:posOffset>
            </wp:positionH>
            <wp:positionV relativeFrom="paragraph">
              <wp:posOffset>4445</wp:posOffset>
            </wp:positionV>
            <wp:extent cx="832672" cy="880049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2672" cy="8800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A6A97" w:rsidRDefault="00AA6A97"/>
    <w:p w:rsidR="00AA6A97" w:rsidRDefault="00AA6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A97" w:rsidRDefault="00AA6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A97" w:rsidRDefault="00AA6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Republika e Kosovës</w:t>
      </w:r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Republika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Kosovo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-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Republic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of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Kosovo</w:t>
      </w:r>
      <w:proofErr w:type="spellEnd"/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 xml:space="preserve">Qeveria –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>Vlada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 xml:space="preserve"> –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>Government</w:t>
      </w:r>
      <w:proofErr w:type="spellEnd"/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Ministria e Mjedisit dhe Planifikimit Hapësinor</w:t>
      </w:r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Ministarstvo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Životne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Sredine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i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Prostornog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Planiranja</w:t>
      </w:r>
      <w:proofErr w:type="spellEnd"/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Ministry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of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Environment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and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Spatial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Planning</w:t>
      </w:r>
      <w:proofErr w:type="spellEnd"/>
    </w:p>
    <w:p w:rsidR="00AA6A97" w:rsidRDefault="00AA6A97">
      <w:pPr>
        <w:jc w:val="center"/>
        <w:rPr>
          <w:b/>
          <w:bCs/>
          <w:sz w:val="22"/>
          <w:szCs w:val="22"/>
        </w:rPr>
      </w:pPr>
    </w:p>
    <w:p w:rsidR="00AA6A97" w:rsidRDefault="00BD515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THIRRJA PËR APLIKIM</w:t>
      </w:r>
    </w:p>
    <w:p w:rsidR="00AA6A97" w:rsidRDefault="00BD5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Për Skemën e Subvencioneve për Start-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up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dhe Ndërmarrje për Riciklim dhe Ekonomi Qarkore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Qëllimi i thirrjes</w:t>
      </w:r>
    </w:p>
    <w:p w:rsidR="00AA6A97" w:rsidRDefault="00BD515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Ministria e Mjedisit dhe Planifikimit Hapësinor fton start-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-et dhe ndërmarrjet e vogla të regjistruara në Republikën e Kosovës të aplikojnë për mbështetje financiare për ide dhe projekte të lidhura drejtpërdrejt me mbeturinat, riciklimin dhe ekonominë qarkore.</w:t>
      </w:r>
    </w:p>
    <w:p w:rsidR="00AA6A97" w:rsidRDefault="00BD515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Thirrja synon të mbështesë zgjidhje të qarta, të realizueshme dhe me ndikim të matshëm mjedisor dhe ekonomik, me potencial për t’u demonstruar, zgjeruar ose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replikuar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Buxheti dhe madhësia e subvencionit</w:t>
      </w:r>
    </w:p>
    <w:tbl>
      <w:tblPr>
        <w:tblStyle w:val="a"/>
        <w:tblW w:w="9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8"/>
        <w:gridCol w:w="4968"/>
      </w:tblGrid>
      <w:tr w:rsidR="00AA6A97">
        <w:trPr>
          <w:jc w:val="center"/>
        </w:trPr>
        <w:tc>
          <w:tcPr>
            <w:tcW w:w="4968" w:type="dxa"/>
            <w:shd w:val="clear" w:color="auto" w:fill="DAEEF3"/>
            <w:vAlign w:val="center"/>
          </w:tcPr>
          <w:p w:rsidR="00AA6A97" w:rsidRDefault="00BD515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Elementi</w:t>
            </w:r>
          </w:p>
        </w:tc>
        <w:tc>
          <w:tcPr>
            <w:tcW w:w="4968" w:type="dxa"/>
            <w:shd w:val="clear" w:color="auto" w:fill="DAEEF3"/>
            <w:vAlign w:val="center"/>
          </w:tcPr>
          <w:p w:rsidR="00AA6A97" w:rsidRDefault="00BD515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Vlera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Buxheti total i skemës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200,000 €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Subvencioni minimal për projekt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5,000 €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Subvencioni maksimal për projekt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20,000 €</w:t>
            </w:r>
          </w:p>
        </w:tc>
      </w:tr>
    </w:tbl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BD515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MMPH ka të drejtën të ndryshojë kufijtë financiarë në përputhje me buxhetin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disponueshëm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dhe prioritetet e thirrjes.</w:t>
      </w: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Aplikantët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pranueshëm</w:t>
      </w:r>
    </w:p>
    <w:p w:rsidR="00AA6A97" w:rsidRDefault="00BD515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Start-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regjistruara në Republikën e Kosovës.</w:t>
      </w:r>
    </w:p>
    <w:p w:rsidR="00AA6A97" w:rsidRDefault="00BD515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Ndërmarrje të vogla të regjistruara në Republikën e Kosovës që prezantojnë një produkt, shërbim, proces ose model të ri në fushën e skemës.</w:t>
      </w: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Kushtet minimale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jetë subjekt juridik i regjistruar në Republikën e Kosovës;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veprojë në përputhje me legjislacionin në fuqi;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mos jetë në procedurë falimentimi ose likuidimi;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ketë përmbushur detyrimet tatimore dhe ligjore, sipas kërkesave të thirrjes;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mos jetë i dënuar për keqpërdorim të fondeve publike;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mos ketë konflikt interesi me autoritetin përgjegjës;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paraqesë ide të qartë dhe konkrete, problem të identifikuar, zgjidhje dhe mënyrë matjeje të rezultatit;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dëshmojë realizueshmërinë teknike dhe financiare të projektit.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Prioritetet tematike</w:t>
      </w:r>
    </w:p>
    <w:p w:rsidR="00AA6A97" w:rsidRDefault="00BD5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Prioriteti 1 </w:t>
      </w:r>
      <w:r>
        <w:rPr>
          <w:rFonts w:ascii="Times New Roman" w:eastAsia="Times New Roman" w:hAnsi="Times New Roman" w:cs="Times New Roman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Parandalimi, ripërdorimi, ndarja dhe riciklimi i mbeturinave: ndarja në burim, rritja e materialeve të mbledhura/riciklueshme, ripërdorimi, riparimi dhe zgjatja e ciklit jetësor, sisteme që reduktojnë dërgimin në deponi.</w:t>
      </w:r>
    </w:p>
    <w:p w:rsidR="00AA6A97" w:rsidRDefault="00BD5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Prioriteti 2 </w:t>
      </w:r>
      <w:r>
        <w:rPr>
          <w:rFonts w:ascii="Times New Roman" w:eastAsia="Times New Roman" w:hAnsi="Times New Roman" w:cs="Times New Roman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Përpunimi i kategorive specifike: plastikë dhe ambalazh, tekstile, mbeturina organike dhe kompostim, goma dhe materiale të tjera të vështira për riciklim.</w:t>
      </w:r>
    </w:p>
    <w:p w:rsidR="00AA6A97" w:rsidRDefault="00BD5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Prioriteti 3 </w:t>
      </w:r>
      <w:r>
        <w:rPr>
          <w:rFonts w:ascii="Times New Roman" w:eastAsia="Times New Roman" w:hAnsi="Times New Roman" w:cs="Times New Roman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Produkte, shërbime dhe modele të reja biznesi: produkte nga materiale të ricikluara/ripërdorura,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prototipe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teknologji/pajisje, zgjidhje digjitale dhe modele biznesi për tregun e materialeve të ricikluara.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Aktivitetet e pranueshme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Blerja e pajisjeve, makinerive dhe mjeteve të nevojshme për ndarje, përpunim ose riciklim;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Pajisje për kompostim dhe përpunim të mbeturinave organike;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Zhvillimi dhe testimi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prototipeve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Zhvillimi ose përshtatja e teknologjive dhe proceseve të riciklimit;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Zhvillimi i produkteve të reja nga materiale të ricikluara ose të ripërdorura;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Soft</w:t>
      </w:r>
      <w:r>
        <w:rPr>
          <w:rFonts w:ascii="Times New Roman" w:eastAsia="Times New Roman" w:hAnsi="Times New Roman" w:cs="Times New Roman"/>
          <w:sz w:val="24"/>
          <w:szCs w:val="24"/>
        </w:rPr>
        <w:t>ware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dhe zgjidhje digjitale të lidhura drejtpërdrejt me projektin;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Testime teknike, analiza laboratorike, certifikime ose standardizime të nevojshme;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Shpenzime të tjera të domosdoshme dhe të arsyeshme të përcaktuara në thirrje.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Kriteret e vlerësimit</w:t>
      </w:r>
    </w:p>
    <w:tbl>
      <w:tblPr>
        <w:tblStyle w:val="a0"/>
        <w:tblW w:w="9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8"/>
        <w:gridCol w:w="4968"/>
      </w:tblGrid>
      <w:tr w:rsidR="00AA6A97">
        <w:trPr>
          <w:jc w:val="center"/>
        </w:trPr>
        <w:tc>
          <w:tcPr>
            <w:tcW w:w="4968" w:type="dxa"/>
            <w:shd w:val="clear" w:color="auto" w:fill="DAEEF3"/>
            <w:vAlign w:val="center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Kriteri</w:t>
            </w:r>
          </w:p>
        </w:tc>
        <w:tc>
          <w:tcPr>
            <w:tcW w:w="4968" w:type="dxa"/>
            <w:shd w:val="clear" w:color="auto" w:fill="DAEEF3"/>
            <w:vAlign w:val="center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Pikë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Ndikimi i projektit në reduktimin e mbeturinave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Realizueshmëria teknike dhe plani i zbatimit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Inovacioni / ideja kreative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Qëndrueshmëria e modelit të biznesit dhe potenciali për rritje/shkallëzim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Arsyeshmëria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buxhetit dhe efektiviteti i kostos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Përfshirja e komunitetit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Gjithsej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AA6A97" w:rsidRDefault="00BD515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Pragu minimal: 70 pikë. Në rast pikësh të barabarta, përparësi i jepet projektit me ndikim më të madh në reduktim/riciklim, ide më të qartë e të realizueshme dhe potencial më të madh për rritje/shkallëzim.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Procesi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Publikimi i thirrjes,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-it, formularëve, afateve, kritereve dhe dokumentacionit.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Pranimi i aplikimeve brenda afatit dhe mënyrës së përcaktuar.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Verifikimi administrativ i afatit, dokumentacionit, statusit dhe pranueshmërisë.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 teknik sipas matricës së pikëzimit.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Përgatitja e listës së projekteve të rekomanduara dhe miratimi nga </w:t>
      </w:r>
      <w:r>
        <w:rPr>
          <w:rFonts w:ascii="Times New Roman" w:eastAsia="Times New Roman" w:hAnsi="Times New Roman" w:cs="Times New Roman"/>
          <w:sz w:val="24"/>
          <w:szCs w:val="24"/>
        </w:rPr>
        <w:t>komisioni vlerësues.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Njoftimi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aplikuesve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Nënshkrimi i marrëveshjes së subvencionit.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 Dokumentet për aplikim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 i plotësuar dhe i nënshkruar i aplikimit;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 i buxhetit;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Dokumentet që dëshmojnë regjistrimin e subjektit juridik;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Dokumentet/dëshmitë për përmbushjen e detyrimeve tatimore dhe ligjore, sipas kërkesave të thirrjes;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Deklarata për konfliktin e interesit, vërtetësinë e të dhënave, mungesën e mashtrimit/keqpërdorimit dhe financimit të dyfishtë;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Dokumente teknike ose financiare mbështetëse që kërkohen sipas natyrës së projektit.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Monitorimi, raportimi dhe kthimi i mjeteve</w:t>
      </w:r>
    </w:p>
    <w:p w:rsidR="00AA6A97" w:rsidRDefault="00BD515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Monitorimi përfshin shqyrtimin e raporteve narrative dhe financiare, verifikimin e faturave dhe dokumenteve, vizita në terren kur është e nevojshme, verifikimin e pajisjeve/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prototipeve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/investimeve dhe kërkimin e informatave shtesë. Raportimi përfshin raport progresi kur kërkohet, raport përfundimtar narrativ, raport financiar përfundimtar, dokumentacion mbështetës dhe evidenca të rezultateve. Shkeljet, përfshirë mashtrimin, falsifikimin, korrupsionin, ryshfetin, keqpërdorimin e fondeve ose financimin e dyfishtë, mund të sjellin kthimin e mjeteve sipas legjislacionit dhe marrëveshjes.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11. Mënyra e Dorëzimit dhe Afati i Aplikimit</w:t>
      </w:r>
    </w:p>
    <w:tbl>
      <w:tblPr>
        <w:tblStyle w:val="a1"/>
        <w:tblW w:w="1015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7492"/>
      </w:tblGrid>
      <w:tr w:rsidR="00AA6A97">
        <w:tc>
          <w:tcPr>
            <w:tcW w:w="2660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7o276pqip0vz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Mënyra e dorëzimit:</w:t>
            </w:r>
          </w:p>
        </w:tc>
        <w:tc>
          <w:tcPr>
            <w:tcW w:w="7492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Thirrjet dorëzohen në mënyrë fizike në MMPH dhe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përvec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kopjes së fortë kërkohet edhe një kopje elektronike.</w:t>
            </w:r>
          </w:p>
        </w:tc>
      </w:tr>
      <w:tr w:rsidR="00AA6A97">
        <w:tc>
          <w:tcPr>
            <w:tcW w:w="2660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Afati:</w:t>
            </w:r>
          </w:p>
        </w:tc>
        <w:tc>
          <w:tcPr>
            <w:tcW w:w="7492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Aplikacionet pranohen nga data e publikimit të thirrjes deri më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D51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23.10.2026</w:t>
            </w:r>
          </w:p>
        </w:tc>
      </w:tr>
      <w:tr w:rsidR="00AA6A97">
        <w:tc>
          <w:tcPr>
            <w:tcW w:w="2660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Kontakti dhe afati për pyetje:</w:t>
            </w:r>
          </w:p>
        </w:tc>
        <w:tc>
          <w:tcPr>
            <w:tcW w:w="7492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Pyetjet e juaja lidhur me thirrjen mund t’i drejtoni në 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adresën </w:t>
            </w:r>
            <w:hyperlink r:id="rId7" w:history="1">
              <w:r w:rsidR="00FF3315">
                <w:rPr>
                  <w:rStyle w:val="Hyperlink"/>
                  <w:color w:val="0000FF"/>
                </w:rPr>
                <w:t>Dkp.mmph@rks-gov.net</w:t>
              </w:r>
            </w:hyperlink>
            <w:r w:rsidR="00FF3315">
              <w:t xml:space="preserve"> </w:t>
            </w:r>
            <w:r w:rsidRPr="00BD51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deri me datën </w:t>
            </w:r>
            <w:r w:rsidRPr="00BD51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16.10.2026</w:t>
            </w:r>
          </w:p>
        </w:tc>
      </w:tr>
    </w:tbl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AA6A97" w:rsidRDefault="00AA6A9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Dokumentet Përcjellëse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Termat e Referencës së Skemës së Subvencioneve për Start-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dhe Ndërmarrje për Riciklim dhe Ekonomi Qarkore. 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 për aplikim;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 i buxhetit;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Udhëzuesi për aplikim;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Shembull i deklaratës për konfliktin e interesit, vërtetësinë e të dhënave, mungesën e mashtrimit/keqpërdorimit dhe financimit të dyfishtë;</w:t>
      </w:r>
    </w:p>
    <w:p w:rsidR="00AA6A97" w:rsidRDefault="00AA6A9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A6A97">
      <w:pgSz w:w="12240" w:h="15840"/>
      <w:pgMar w:top="1008" w:right="1152" w:bottom="1008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803A51A7-67E5-44EC-BE44-733CBDCA1C2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E431E63-E94A-4AFF-8697-3A92417546A4}"/>
    <w:embedBold r:id="rId3" w:fontKey="{F1E106ED-C8A4-4317-B839-B403E3608C02}"/>
    <w:embedItalic r:id="rId4" w:fontKey="{32764313-8A1B-4A28-8AB4-E2C0655FDA87}"/>
    <w:embedBoldItalic r:id="rId5" w:fontKey="{37AD24A2-C880-4364-9608-6BEA1DF952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6" w:fontKey="{779B6B54-A5AB-4C27-A3C9-04905DA4C505}"/>
    <w:embedBoldItalic r:id="rId7" w:fontKey="{A561CC10-14EC-429C-9C08-B52DB755D1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A841E97-BF88-41DB-A37D-822FCF4E5F5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57C78"/>
    <w:multiLevelType w:val="multilevel"/>
    <w:tmpl w:val="AA06481C"/>
    <w:lvl w:ilvl="0">
      <w:start w:val="1"/>
      <w:numFmt w:val="bullet"/>
      <w:pStyle w:val="ListNumber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F648BA"/>
    <w:multiLevelType w:val="multilevel"/>
    <w:tmpl w:val="89AC21AE"/>
    <w:lvl w:ilvl="0">
      <w:start w:val="1"/>
      <w:numFmt w:val="bullet"/>
      <w:pStyle w:val="ListBullet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676D0D"/>
    <w:multiLevelType w:val="multilevel"/>
    <w:tmpl w:val="B0F072A4"/>
    <w:lvl w:ilvl="0">
      <w:start w:val="1"/>
      <w:numFmt w:val="bullet"/>
      <w:pStyle w:val="ListNumber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860F77"/>
    <w:multiLevelType w:val="multilevel"/>
    <w:tmpl w:val="EE24777E"/>
    <w:lvl w:ilvl="0">
      <w:start w:val="1"/>
      <w:numFmt w:val="bullet"/>
      <w:pStyle w:val="ListBullet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CF309E4"/>
    <w:multiLevelType w:val="multilevel"/>
    <w:tmpl w:val="43547DCA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34A38D9"/>
    <w:multiLevelType w:val="multilevel"/>
    <w:tmpl w:val="19A4FA78"/>
    <w:lvl w:ilvl="0">
      <w:start w:val="1"/>
      <w:numFmt w:val="bullet"/>
      <w:pStyle w:val="ListNumber2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7B1A49"/>
    <w:multiLevelType w:val="multilevel"/>
    <w:tmpl w:val="4E683B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97"/>
    <w:rsid w:val="00AA6A97"/>
    <w:rsid w:val="00BD515A"/>
    <w:rsid w:val="00FF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87ECB0-0A96-445A-B80A-3EFA784F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sq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A4337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kp.mmph@rks-gov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FXrJUeqgdGWyXv07JNu+wtch/A==">CgMxLjAyDmguN28yNzZwcWlwMHZ6OAByITFtSmQ0dDM5cXg2UzhUVnY0ZUVZTVdyZ253R3BCXzIzMg==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Bajram Kadriu</cp:lastModifiedBy>
  <cp:revision>4</cp:revision>
  <dcterms:created xsi:type="dcterms:W3CDTF">2013-12-23T23:15:00Z</dcterms:created>
  <dcterms:modified xsi:type="dcterms:W3CDTF">2026-09-23T14:14:00Z</dcterms:modified>
</cp:coreProperties>
</file>