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AF469A" w14:textId="25A51875" w:rsidR="002917E5" w:rsidRPr="0075424A" w:rsidRDefault="002917E5">
      <w:pPr>
        <w:rPr>
          <w:lang w:val="sq-AL"/>
        </w:rPr>
      </w:pPr>
    </w:p>
    <w:sdt>
      <w:sdtPr>
        <w:rPr>
          <w:lang w:val="sq-AL"/>
        </w:rPr>
        <w:id w:val="1030763424"/>
        <w:docPartObj>
          <w:docPartGallery w:val="Cover Pages"/>
          <w:docPartUnique/>
        </w:docPartObj>
      </w:sdtPr>
      <w:sdtEndPr>
        <w:rPr>
          <w:b/>
          <w:bCs/>
        </w:rPr>
      </w:sdtEndPr>
      <w:sdtContent>
        <w:p w14:paraId="6C41FD56" w14:textId="6B72B79B" w:rsidR="00E4128F" w:rsidRPr="0075424A" w:rsidRDefault="00E4128F">
          <w:pPr>
            <w:rPr>
              <w:lang w:val="sq-AL"/>
            </w:rPr>
          </w:pPr>
        </w:p>
        <w:p w14:paraId="7DC26755" w14:textId="4FDB857C" w:rsidR="00AB5F03" w:rsidRPr="0075424A" w:rsidRDefault="002917E5" w:rsidP="00AB5F03">
          <w:pPr>
            <w:spacing w:before="0" w:line="278" w:lineRule="auto"/>
            <w:rPr>
              <w:b/>
              <w:bCs/>
              <w:lang w:val="sq-AL"/>
            </w:rPr>
          </w:pPr>
          <w:r w:rsidRPr="0075424A">
            <w:rPr>
              <w:noProof/>
            </w:rPr>
            <mc:AlternateContent>
              <mc:Choice Requires="wps">
                <w:drawing>
                  <wp:anchor distT="0" distB="0" distL="114300" distR="114300" simplePos="0" relativeHeight="251774976" behindDoc="0" locked="0" layoutInCell="1" allowOverlap="1" wp14:anchorId="14391F99" wp14:editId="2B8EA800">
                    <wp:simplePos x="0" y="0"/>
                    <wp:positionH relativeFrom="page">
                      <wp:align>right</wp:align>
                    </wp:positionH>
                    <wp:positionV relativeFrom="margin">
                      <wp:posOffset>1711913</wp:posOffset>
                    </wp:positionV>
                    <wp:extent cx="8379460" cy="6644640"/>
                    <wp:effectExtent l="0" t="0" r="0" b="3810"/>
                    <wp:wrapSquare wrapText="bothSides"/>
                    <wp:docPr id="1805824502" name="Cuadro de texto 163"/>
                    <wp:cNvGraphicFramePr/>
                    <a:graphic xmlns:a="http://schemas.openxmlformats.org/drawingml/2006/main">
                      <a:graphicData uri="http://schemas.microsoft.com/office/word/2010/wordprocessingShape">
                        <wps:wsp>
                          <wps:cNvSpPr txBox="1"/>
                          <wps:spPr>
                            <a:xfrm>
                              <a:off x="0" y="0"/>
                              <a:ext cx="8379460" cy="664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FC78D" w14:textId="503B000E" w:rsidR="007065D4" w:rsidRPr="00905BF3" w:rsidRDefault="007065D4" w:rsidP="00905BF3">
                                <w:pPr>
                                  <w:jc w:val="center"/>
                                  <w:rPr>
                                    <w:caps/>
                                    <w:color w:val="22635D"/>
                                    <w:sz w:val="72"/>
                                    <w:szCs w:val="72"/>
                                  </w:rPr>
                                </w:pPr>
                              </w:p>
                              <w:p w14:paraId="04881853" w14:textId="2AACC969" w:rsidR="007065D4" w:rsidRPr="00705B56" w:rsidRDefault="00BE39C7" w:rsidP="00AB5F03">
                                <w:pPr>
                                  <w:jc w:val="center"/>
                                  <w:rPr>
                                    <w:rFonts w:ascii="Arial" w:hAnsi="Arial" w:cs="Arial"/>
                                    <w:caps/>
                                    <w:color w:val="22635D"/>
                                    <w:sz w:val="72"/>
                                    <w:szCs w:val="72"/>
                                  </w:rPr>
                                </w:pPr>
                                <w:r w:rsidRPr="00705B56">
                                  <w:rPr>
                                    <w:rFonts w:ascii="Arial" w:hAnsi="Arial" w:cs="Arial"/>
                                    <w:caps/>
                                    <w:color w:val="22635D"/>
                                    <w:sz w:val="72"/>
                                    <w:szCs w:val="72"/>
                                  </w:rPr>
                                  <w:t>Strategjia</w:t>
                                </w:r>
                                <w:r w:rsidR="007065D4" w:rsidRPr="00705B56">
                                  <w:rPr>
                                    <w:rFonts w:ascii="Arial" w:hAnsi="Arial" w:cs="Arial"/>
                                    <w:caps/>
                                    <w:color w:val="22635D"/>
                                    <w:sz w:val="72"/>
                                    <w:szCs w:val="72"/>
                                  </w:rPr>
                                  <w:t xml:space="preserve"> për përshtatje ndaj ndryshimeve klimatike </w:t>
                                </w:r>
                                <w:r w:rsidR="00E913BC" w:rsidRPr="00705B56">
                                  <w:rPr>
                                    <w:rFonts w:ascii="Arial" w:hAnsi="Arial" w:cs="Arial"/>
                                    <w:caps/>
                                    <w:color w:val="22635D"/>
                                    <w:sz w:val="72"/>
                                    <w:szCs w:val="72"/>
                                  </w:rPr>
                                  <w:t>t</w:t>
                                </w:r>
                                <w:r w:rsidR="007065D4" w:rsidRPr="00705B56">
                                  <w:rPr>
                                    <w:rFonts w:ascii="Arial" w:hAnsi="Arial" w:cs="Arial"/>
                                    <w:caps/>
                                    <w:color w:val="22635D"/>
                                    <w:sz w:val="72"/>
                                    <w:szCs w:val="72"/>
                                  </w:rPr>
                                  <w:t>ë Kosovë</w:t>
                                </w:r>
                                <w:r w:rsidR="00435784">
                                  <w:rPr>
                                    <w:rFonts w:ascii="Arial" w:hAnsi="Arial" w:cs="Arial"/>
                                    <w:caps/>
                                    <w:color w:val="22635D"/>
                                    <w:sz w:val="72"/>
                                    <w:szCs w:val="72"/>
                                  </w:rPr>
                                  <w:t>S</w:t>
                                </w:r>
                                <w:bookmarkStart w:id="0" w:name="_GoBack"/>
                                <w:bookmarkEnd w:id="0"/>
                              </w:p>
                              <w:p w14:paraId="5C5D400A" w14:textId="707646D4" w:rsidR="007065D4" w:rsidRPr="00705B56" w:rsidRDefault="007065D4" w:rsidP="00AB5F03">
                                <w:pPr>
                                  <w:jc w:val="center"/>
                                  <w:rPr>
                                    <w:rFonts w:ascii="Arial" w:hAnsi="Arial" w:cs="Arial"/>
                                    <w:caps/>
                                    <w:color w:val="22635D"/>
                                    <w:sz w:val="72"/>
                                    <w:szCs w:val="72"/>
                                  </w:rPr>
                                </w:pPr>
                                <w:r w:rsidRPr="00705B56">
                                  <w:rPr>
                                    <w:rFonts w:ascii="Arial" w:hAnsi="Arial" w:cs="Arial"/>
                                    <w:caps/>
                                    <w:color w:val="22635D"/>
                                    <w:sz w:val="72"/>
                                    <w:szCs w:val="72"/>
                                  </w:rPr>
                                  <w:t xml:space="preserve">2026-2036 </w:t>
                                </w:r>
                              </w:p>
                              <w:p w14:paraId="4A0D362C" w14:textId="0D6D37FC" w:rsidR="00540947" w:rsidRPr="00705B56" w:rsidRDefault="00540947" w:rsidP="00AB5F03">
                                <w:pPr>
                                  <w:jc w:val="center"/>
                                  <w:rPr>
                                    <w:rFonts w:ascii="Arial" w:hAnsi="Arial" w:cs="Arial"/>
                                    <w:caps/>
                                    <w:color w:val="22635D"/>
                                    <w:sz w:val="72"/>
                                    <w:szCs w:val="72"/>
                                  </w:rPr>
                                </w:pPr>
                                <w:r w:rsidRPr="00705B56">
                                  <w:rPr>
                                    <w:rFonts w:ascii="Arial" w:hAnsi="Arial" w:cs="Arial"/>
                                    <w:caps/>
                                    <w:color w:val="22635D"/>
                                    <w:sz w:val="72"/>
                                    <w:szCs w:val="72"/>
                                  </w:rPr>
                                  <w:t>dhe</w:t>
                                </w:r>
                              </w:p>
                              <w:p w14:paraId="6ACDFAB5" w14:textId="1F30D859" w:rsidR="007065D4" w:rsidRPr="00705B56" w:rsidRDefault="007065D4" w:rsidP="00AB5F03">
                                <w:pPr>
                                  <w:jc w:val="center"/>
                                  <w:rPr>
                                    <w:rFonts w:ascii="Arial" w:hAnsi="Arial" w:cs="Arial"/>
                                    <w:smallCaps/>
                                    <w:color w:val="595959" w:themeColor="text1" w:themeTint="A6"/>
                                    <w:sz w:val="56"/>
                                    <w:szCs w:val="56"/>
                                  </w:rPr>
                                </w:pPr>
                                <w:r w:rsidRPr="00705B56">
                                  <w:rPr>
                                    <w:rFonts w:ascii="Arial" w:hAnsi="Arial" w:cs="Arial"/>
                                    <w:caps/>
                                    <w:color w:val="595959" w:themeColor="text1" w:themeTint="A6"/>
                                    <w:sz w:val="56"/>
                                    <w:szCs w:val="56"/>
                                  </w:rPr>
                                  <w:t>PLANET E VEPRIMIT PËR PËRSHTATJEN NDAJ NDRYSHIMEVE KLIMATIKE 2026-2028</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391F99" id="_x0000_t202" coordsize="21600,21600" o:spt="202" path="m,l,21600r21600,l21600,xe">
                    <v:stroke joinstyle="miter"/>
                    <v:path gradientshapeok="t" o:connecttype="rect"/>
                  </v:shapetype>
                  <v:shape id="Cuadro de texto 163" o:spid="_x0000_s1026" type="#_x0000_t202" style="position:absolute;margin-left:608.6pt;margin-top:134.8pt;width:659.8pt;height:523.2pt;z-index:251774976;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" filled="f" stroked="f" strokeweight=".5pt">
                    <v:textbox inset="126pt,0,54pt,0">
                      <w:txbxContent>
                        <w:p w14:paraId="18DFC78D" w14:textId="503B000E" w:rsidR="007065D4" w:rsidRPr="00905BF3" w:rsidRDefault="007065D4" w:rsidP="00905BF3">
                          <w:pPr>
                            <w:jc w:val="center"/>
                            <w:rPr>
                              <w:caps/>
                              <w:color w:val="22635D"/>
                              <w:sz w:val="72"/>
                              <w:szCs w:val="72"/>
                            </w:rPr>
                          </w:pPr>
                        </w:p>
                        <w:p w14:paraId="04881853" w14:textId="2AACC969" w:rsidR="007065D4" w:rsidRPr="00705B56" w:rsidRDefault="00BE39C7" w:rsidP="00AB5F03">
                          <w:pPr>
                            <w:jc w:val="center"/>
                            <w:rPr>
                              <w:rFonts w:ascii="Arial" w:hAnsi="Arial" w:cs="Arial"/>
                              <w:caps/>
                              <w:color w:val="22635D"/>
                              <w:sz w:val="72"/>
                              <w:szCs w:val="72"/>
                            </w:rPr>
                          </w:pPr>
                          <w:r w:rsidRPr="00705B56">
                            <w:rPr>
                              <w:rFonts w:ascii="Arial" w:hAnsi="Arial" w:cs="Arial"/>
                              <w:caps/>
                              <w:color w:val="22635D"/>
                              <w:sz w:val="72"/>
                              <w:szCs w:val="72"/>
                            </w:rPr>
                            <w:t>Strategjia</w:t>
                          </w:r>
                          <w:r w:rsidR="007065D4" w:rsidRPr="00705B56">
                            <w:rPr>
                              <w:rFonts w:ascii="Arial" w:hAnsi="Arial" w:cs="Arial"/>
                              <w:caps/>
                              <w:color w:val="22635D"/>
                              <w:sz w:val="72"/>
                              <w:szCs w:val="72"/>
                            </w:rPr>
                            <w:t xml:space="preserve"> për përshtatje ndaj ndryshimeve klimatike </w:t>
                          </w:r>
                          <w:r w:rsidR="00E913BC" w:rsidRPr="00705B56">
                            <w:rPr>
                              <w:rFonts w:ascii="Arial" w:hAnsi="Arial" w:cs="Arial"/>
                              <w:caps/>
                              <w:color w:val="22635D"/>
                              <w:sz w:val="72"/>
                              <w:szCs w:val="72"/>
                            </w:rPr>
                            <w:t>t</w:t>
                          </w:r>
                          <w:r w:rsidR="007065D4" w:rsidRPr="00705B56">
                            <w:rPr>
                              <w:rFonts w:ascii="Arial" w:hAnsi="Arial" w:cs="Arial"/>
                              <w:caps/>
                              <w:color w:val="22635D"/>
                              <w:sz w:val="72"/>
                              <w:szCs w:val="72"/>
                            </w:rPr>
                            <w:t>ë Kosovë</w:t>
                          </w:r>
                          <w:r w:rsidR="00435784">
                            <w:rPr>
                              <w:rFonts w:ascii="Arial" w:hAnsi="Arial" w:cs="Arial"/>
                              <w:caps/>
                              <w:color w:val="22635D"/>
                              <w:sz w:val="72"/>
                              <w:szCs w:val="72"/>
                            </w:rPr>
                            <w:t>S</w:t>
                          </w:r>
                          <w:bookmarkStart w:id="1" w:name="_GoBack"/>
                          <w:bookmarkEnd w:id="1"/>
                        </w:p>
                        <w:p w14:paraId="5C5D400A" w14:textId="707646D4" w:rsidR="007065D4" w:rsidRPr="00705B56" w:rsidRDefault="007065D4" w:rsidP="00AB5F03">
                          <w:pPr>
                            <w:jc w:val="center"/>
                            <w:rPr>
                              <w:rFonts w:ascii="Arial" w:hAnsi="Arial" w:cs="Arial"/>
                              <w:caps/>
                              <w:color w:val="22635D"/>
                              <w:sz w:val="72"/>
                              <w:szCs w:val="72"/>
                            </w:rPr>
                          </w:pPr>
                          <w:r w:rsidRPr="00705B56">
                            <w:rPr>
                              <w:rFonts w:ascii="Arial" w:hAnsi="Arial" w:cs="Arial"/>
                              <w:caps/>
                              <w:color w:val="22635D"/>
                              <w:sz w:val="72"/>
                              <w:szCs w:val="72"/>
                            </w:rPr>
                            <w:t xml:space="preserve">2026-2036 </w:t>
                          </w:r>
                        </w:p>
                        <w:p w14:paraId="4A0D362C" w14:textId="0D6D37FC" w:rsidR="00540947" w:rsidRPr="00705B56" w:rsidRDefault="00540947" w:rsidP="00AB5F03">
                          <w:pPr>
                            <w:jc w:val="center"/>
                            <w:rPr>
                              <w:rFonts w:ascii="Arial" w:hAnsi="Arial" w:cs="Arial"/>
                              <w:caps/>
                              <w:color w:val="22635D"/>
                              <w:sz w:val="72"/>
                              <w:szCs w:val="72"/>
                            </w:rPr>
                          </w:pPr>
                          <w:r w:rsidRPr="00705B56">
                            <w:rPr>
                              <w:rFonts w:ascii="Arial" w:hAnsi="Arial" w:cs="Arial"/>
                              <w:caps/>
                              <w:color w:val="22635D"/>
                              <w:sz w:val="72"/>
                              <w:szCs w:val="72"/>
                            </w:rPr>
                            <w:t>dhe</w:t>
                          </w:r>
                        </w:p>
                        <w:p w14:paraId="6ACDFAB5" w14:textId="1F30D859" w:rsidR="007065D4" w:rsidRPr="00705B56" w:rsidRDefault="007065D4" w:rsidP="00AB5F03">
                          <w:pPr>
                            <w:jc w:val="center"/>
                            <w:rPr>
                              <w:rFonts w:ascii="Arial" w:hAnsi="Arial" w:cs="Arial"/>
                              <w:smallCaps/>
                              <w:color w:val="595959" w:themeColor="text1" w:themeTint="A6"/>
                              <w:sz w:val="56"/>
                              <w:szCs w:val="56"/>
                            </w:rPr>
                          </w:pPr>
                          <w:r w:rsidRPr="00705B56">
                            <w:rPr>
                              <w:rFonts w:ascii="Arial" w:hAnsi="Arial" w:cs="Arial"/>
                              <w:caps/>
                              <w:color w:val="595959" w:themeColor="text1" w:themeTint="A6"/>
                              <w:sz w:val="56"/>
                              <w:szCs w:val="56"/>
                            </w:rPr>
                            <w:t>PLANET E VEPRIMIT PËR PËRSHTATJEN NDAJ NDRYSHIMEVE KLIMATIKE 2026-2028</w:t>
                          </w:r>
                        </w:p>
                      </w:txbxContent>
                    </v:textbox>
                    <w10:wrap type="square" anchorx="page" anchory="margin"/>
                  </v:shape>
                </w:pict>
              </mc:Fallback>
            </mc:AlternateContent>
          </w:r>
          <w:r w:rsidR="002264CE" w:rsidRPr="0075424A">
            <w:rPr>
              <w:noProof/>
            </w:rPr>
            <mc:AlternateContent>
              <mc:Choice Requires="wps">
                <w:drawing>
                  <wp:anchor distT="0" distB="0" distL="114300" distR="114300" simplePos="0" relativeHeight="251697152" behindDoc="0" locked="0" layoutInCell="1" allowOverlap="1" wp14:anchorId="76F0E1AA" wp14:editId="37317941">
                    <wp:simplePos x="0" y="0"/>
                    <wp:positionH relativeFrom="margin">
                      <wp:align>center</wp:align>
                    </wp:positionH>
                    <wp:positionV relativeFrom="margin">
                      <wp:align>center</wp:align>
                    </wp:positionV>
                    <wp:extent cx="7315200" cy="3638550"/>
                    <wp:effectExtent l="0" t="0" r="0" b="5080"/>
                    <wp:wrapSquare wrapText="bothSides"/>
                    <wp:docPr id="154" name="Cuadro de texto 163"/>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F3211" w14:textId="1120AB81" w:rsidR="007065D4" w:rsidRPr="00822544" w:rsidRDefault="008D6BF0" w:rsidP="00E4128F">
                                <w:pPr>
                                  <w:jc w:val="center"/>
                                  <w:rPr>
                                    <w:color w:val="22635D"/>
                                    <w:sz w:val="64"/>
                                    <w:szCs w:val="64"/>
                                  </w:rPr>
                                </w:pPr>
                                <w:sdt>
                                  <w:sdtPr>
                                    <w:rPr>
                                      <w:caps/>
                                      <w:color w:val="22635D"/>
                                      <w:sz w:val="72"/>
                                      <w:szCs w:val="72"/>
                                    </w:rPr>
                                    <w:alias w:val="Título"/>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065D4">
                                      <w:rPr>
                                        <w:caps/>
                                        <w:color w:val="22635D"/>
                                        <w:sz w:val="72"/>
                                        <w:szCs w:val="72"/>
                                      </w:rPr>
                                      <w:t xml:space="preserve">     </w:t>
                                    </w:r>
                                  </w:sdtContent>
                                </w:sdt>
                              </w:p>
                              <w:sdt>
                                <w:sdtPr>
                                  <w:rPr>
                                    <w:color w:val="404040" w:themeColor="text1" w:themeTint="BF"/>
                                    <w:sz w:val="56"/>
                                    <w:szCs w:val="56"/>
                                  </w:rPr>
                                  <w:alias w:val="Subtítulo"/>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0E069A6" w14:textId="2D603367" w:rsidR="007065D4" w:rsidRPr="00AE5502" w:rsidRDefault="007065D4" w:rsidP="00E4128F">
                                    <w:pPr>
                                      <w:jc w:val="center"/>
                                      <w:rPr>
                                        <w:smallCaps/>
                                        <w:color w:val="404040" w:themeColor="text1" w:themeTint="BF"/>
                                        <w:sz w:val="36"/>
                                        <w:szCs w:val="36"/>
                                      </w:rPr>
                                    </w:pPr>
                                    <w:r>
                                      <w:rPr>
                                        <w:color w:val="404040" w:themeColor="text1" w:themeTint="BF"/>
                                        <w:sz w:val="56"/>
                                        <w:szCs w:val="5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F0E1AA" id="_x0000_s1027" type="#_x0000_t202" style="position:absolute;margin-left:0;margin-top:0;width:8in;height:286.5pt;z-index:251697152;visibility:visible;mso-wrap-style:square;mso-width-percent:941;mso-height-percent:363;mso-wrap-distance-left:9pt;mso-wrap-distance-top:0;mso-wrap-distance-right:9pt;mso-wrap-distance-bottom:0;mso-position-horizontal:center;mso-position-horizontal-relative:margin;mso-position-vertical:center;mso-position-vertical-relative:margin;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" filled="f" stroked="f" strokeweight=".5pt">
                    <v:textbox inset="126pt,0,54pt,0">
                      <w:txbxContent>
                        <w:p w14:paraId="1C6F3211" w14:textId="1120AB81" w:rsidR="007065D4" w:rsidRPr="00822544" w:rsidRDefault="00000000" w:rsidP="00E4128F">
                          <w:pPr>
                            <w:jc w:val="center"/>
                            <w:rPr>
                              <w:color w:val="22635D"/>
                              <w:sz w:val="64"/>
                              <w:szCs w:val="64"/>
                            </w:rPr>
                          </w:pPr>
                          <w:sdt>
                            <w:sdtPr>
                              <w:rPr>
                                <w:caps/>
                                <w:color w:val="22635D"/>
                                <w:sz w:val="72"/>
                                <w:szCs w:val="72"/>
                              </w:rPr>
                              <w:alias w:val="Título"/>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065D4">
                                <w:rPr>
                                  <w:caps/>
                                  <w:color w:val="22635D"/>
                                  <w:sz w:val="72"/>
                                  <w:szCs w:val="72"/>
                                </w:rPr>
                                <w:t xml:space="preserve">     </w:t>
                              </w:r>
                            </w:sdtContent>
                          </w:sdt>
                        </w:p>
                        <w:sdt>
                          <w:sdtPr>
                            <w:rPr>
                              <w:color w:val="404040" w:themeColor="text1" w:themeTint="BF"/>
                              <w:sz w:val="56"/>
                              <w:szCs w:val="56"/>
                            </w:rPr>
                            <w:alias w:val="Subtítulo"/>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70E069A6" w14:textId="2D603367" w:rsidR="007065D4" w:rsidRPr="00AE5502" w:rsidRDefault="007065D4" w:rsidP="00E4128F">
                              <w:pPr>
                                <w:jc w:val="center"/>
                                <w:rPr>
                                  <w:smallCaps/>
                                  <w:color w:val="404040" w:themeColor="text1" w:themeTint="BF"/>
                                  <w:sz w:val="36"/>
                                  <w:szCs w:val="36"/>
                                </w:rPr>
                              </w:pPr>
                              <w:r>
                                <w:rPr>
                                  <w:color w:val="404040" w:themeColor="text1" w:themeTint="BF"/>
                                  <w:sz w:val="56"/>
                                  <w:szCs w:val="56"/>
                                </w:rPr>
                                <w:t xml:space="preserve">     </w:t>
                              </w:r>
                            </w:p>
                          </w:sdtContent>
                        </w:sdt>
                      </w:txbxContent>
                    </v:textbox>
                    <w10:wrap type="square" anchorx="margin" anchory="margin"/>
                  </v:shape>
                </w:pict>
              </mc:Fallback>
            </mc:AlternateContent>
          </w:r>
          <w:r w:rsidR="00E4128F" w:rsidRPr="0075424A">
            <w:rPr>
              <w:b/>
              <w:bCs/>
              <w:lang w:val="sq-AL"/>
            </w:rPr>
            <w:br w:type="page"/>
          </w:r>
        </w:p>
      </w:sdtContent>
    </w:sdt>
    <w:sdt>
      <w:sdtPr>
        <w:rPr>
          <w:lang w:val="sq-AL"/>
        </w:rPr>
        <w:id w:val="974177976"/>
        <w:docPartObj>
          <w:docPartGallery w:val="Table of Contents"/>
          <w:docPartUnique/>
        </w:docPartObj>
      </w:sdtPr>
      <w:sdtEndPr>
        <w:rPr>
          <w:rFonts w:ascii="Arial" w:hAnsi="Arial" w:cs="Arial"/>
          <w:b/>
          <w:bCs/>
        </w:rPr>
      </w:sdtEndPr>
      <w:sdtContent>
        <w:p w14:paraId="3EC6B129" w14:textId="05613888" w:rsidR="00492F15" w:rsidRPr="00705B56" w:rsidRDefault="00AB5F03" w:rsidP="00AB5F03">
          <w:pPr>
            <w:spacing w:before="0" w:line="278" w:lineRule="auto"/>
            <w:rPr>
              <w:rFonts w:ascii="Arial" w:hAnsi="Arial" w:cs="Arial"/>
              <w:b/>
              <w:bCs/>
              <w:color w:val="22635D"/>
              <w:lang w:val="sq-AL"/>
            </w:rPr>
          </w:pPr>
          <w:r w:rsidRPr="00705B56">
            <w:rPr>
              <w:rFonts w:ascii="Arial" w:hAnsi="Arial" w:cs="Arial"/>
              <w:b/>
              <w:bCs/>
              <w:color w:val="22635D"/>
              <w:lang w:val="sq-AL"/>
            </w:rPr>
            <w:t>PËRMBAJTJA</w:t>
          </w:r>
          <w:r w:rsidR="00492F15" w:rsidRPr="00705B56">
            <w:rPr>
              <w:rFonts w:ascii="Arial" w:hAnsi="Arial" w:cs="Arial"/>
              <w:b/>
              <w:bCs/>
              <w:color w:val="22635D"/>
              <w:lang w:val="sq-AL"/>
            </w:rPr>
            <w:t xml:space="preserve"> </w:t>
          </w:r>
        </w:p>
        <w:p w14:paraId="208221D9" w14:textId="5C0B7A2E" w:rsidR="004C6E93" w:rsidRPr="00705B56" w:rsidRDefault="00492F15">
          <w:pPr>
            <w:pStyle w:val="TOC1"/>
            <w:tabs>
              <w:tab w:val="right" w:leader="dot" w:pos="10196"/>
            </w:tabs>
            <w:rPr>
              <w:rFonts w:ascii="Arial" w:hAnsi="Arial" w:cs="Arial"/>
              <w:noProof/>
              <w:sz w:val="24"/>
              <w:szCs w:val="24"/>
            </w:rPr>
          </w:pPr>
          <w:r w:rsidRPr="00705B56">
            <w:rPr>
              <w:rFonts w:ascii="Arial" w:hAnsi="Arial" w:cs="Arial"/>
              <w:sz w:val="20"/>
              <w:szCs w:val="20"/>
              <w:lang w:val="sq-AL"/>
            </w:rPr>
            <w:fldChar w:fldCharType="begin"/>
          </w:r>
          <w:r w:rsidRPr="00705B56">
            <w:rPr>
              <w:rFonts w:ascii="Arial" w:hAnsi="Arial" w:cs="Arial"/>
              <w:sz w:val="20"/>
              <w:szCs w:val="20"/>
              <w:lang w:val="sq-AL"/>
            </w:rPr>
            <w:instrText xml:space="preserve"> TOC \o "1-3" \h \z \u </w:instrText>
          </w:r>
          <w:r w:rsidRPr="00705B56">
            <w:rPr>
              <w:rFonts w:ascii="Arial" w:hAnsi="Arial" w:cs="Arial"/>
              <w:sz w:val="20"/>
              <w:szCs w:val="20"/>
              <w:lang w:val="sq-AL"/>
            </w:rPr>
            <w:fldChar w:fldCharType="separate"/>
          </w:r>
          <w:hyperlink w:anchor="_Toc211532672" w:history="1">
            <w:r w:rsidR="004C6E93" w:rsidRPr="00705B56">
              <w:rPr>
                <w:rStyle w:val="Hyperlink"/>
                <w:rFonts w:ascii="Arial" w:hAnsi="Arial" w:cs="Arial"/>
                <w:b/>
                <w:bCs/>
                <w:noProof/>
                <w:lang w:val="sq-AL"/>
              </w:rPr>
              <w:t>I. PËRMBLEDHJE EKZEKUTIVE</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_Toc211532672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6</w:t>
            </w:r>
            <w:r w:rsidR="004C6E93" w:rsidRPr="00705B56">
              <w:rPr>
                <w:rFonts w:ascii="Arial" w:hAnsi="Arial" w:cs="Arial"/>
                <w:noProof/>
                <w:webHidden/>
              </w:rPr>
              <w:fldChar w:fldCharType="end"/>
            </w:r>
          </w:hyperlink>
        </w:p>
        <w:p w14:paraId="3B5950F5" w14:textId="25D5A908" w:rsidR="004C6E93" w:rsidRPr="00705B56" w:rsidRDefault="008D6BF0">
          <w:pPr>
            <w:pStyle w:val="TOC1"/>
            <w:tabs>
              <w:tab w:val="right" w:leader="dot" w:pos="10196"/>
            </w:tabs>
            <w:rPr>
              <w:rFonts w:ascii="Arial" w:hAnsi="Arial" w:cs="Arial"/>
              <w:noProof/>
              <w:sz w:val="24"/>
              <w:szCs w:val="24"/>
            </w:rPr>
          </w:pPr>
          <w:hyperlink w:anchor="_Toc211532673" w:history="1">
            <w:r w:rsidR="004C6E93" w:rsidRPr="00705B56">
              <w:rPr>
                <w:rStyle w:val="Hyperlink"/>
                <w:rFonts w:ascii="Arial" w:hAnsi="Arial" w:cs="Arial"/>
                <w:b/>
                <w:bCs/>
                <w:noProof/>
                <w:lang w:val="sq-AL"/>
              </w:rPr>
              <w:t>II. HYRJE</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_Toc211532673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10</w:t>
            </w:r>
            <w:r w:rsidR="004C6E93" w:rsidRPr="00705B56">
              <w:rPr>
                <w:rFonts w:ascii="Arial" w:hAnsi="Arial" w:cs="Arial"/>
                <w:noProof/>
                <w:webHidden/>
              </w:rPr>
              <w:fldChar w:fldCharType="end"/>
            </w:r>
          </w:hyperlink>
        </w:p>
        <w:p w14:paraId="6C8399A6" w14:textId="0BB85EE9" w:rsidR="004C6E93" w:rsidRPr="00705B56" w:rsidRDefault="008D6BF0">
          <w:pPr>
            <w:pStyle w:val="TOC1"/>
            <w:tabs>
              <w:tab w:val="right" w:leader="dot" w:pos="10196"/>
            </w:tabs>
            <w:rPr>
              <w:rFonts w:ascii="Arial" w:hAnsi="Arial" w:cs="Arial"/>
              <w:noProof/>
              <w:sz w:val="24"/>
              <w:szCs w:val="24"/>
            </w:rPr>
          </w:pPr>
          <w:hyperlink w:anchor="_Toc211532674" w:history="1">
            <w:r w:rsidR="004C6E93" w:rsidRPr="00705B56">
              <w:rPr>
                <w:rStyle w:val="Hyperlink"/>
                <w:rFonts w:ascii="Arial" w:hAnsi="Arial" w:cs="Arial"/>
                <w:b/>
                <w:bCs/>
                <w:noProof/>
                <w:lang w:val="sq-AL"/>
              </w:rPr>
              <w:t>III. METODOLOGJIA</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_Toc211532674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11</w:t>
            </w:r>
            <w:r w:rsidR="004C6E93" w:rsidRPr="00705B56">
              <w:rPr>
                <w:rFonts w:ascii="Arial" w:hAnsi="Arial" w:cs="Arial"/>
                <w:noProof/>
                <w:webHidden/>
              </w:rPr>
              <w:fldChar w:fldCharType="end"/>
            </w:r>
          </w:hyperlink>
        </w:p>
        <w:p w14:paraId="0FAA5C8F" w14:textId="018C18D5" w:rsidR="004C6E93" w:rsidRPr="00705B56" w:rsidRDefault="008D6BF0">
          <w:pPr>
            <w:pStyle w:val="TOC2"/>
            <w:tabs>
              <w:tab w:val="right" w:leader="dot" w:pos="10196"/>
            </w:tabs>
            <w:rPr>
              <w:rFonts w:ascii="Arial" w:hAnsi="Arial" w:cs="Arial"/>
              <w:noProof/>
              <w:sz w:val="24"/>
              <w:szCs w:val="24"/>
            </w:rPr>
          </w:pPr>
          <w:hyperlink w:anchor="_Toc211532675" w:history="1">
            <w:r w:rsidR="004C6E93" w:rsidRPr="00705B56">
              <w:rPr>
                <w:rStyle w:val="Hyperlink"/>
                <w:rFonts w:ascii="Arial" w:hAnsi="Arial" w:cs="Arial"/>
                <w:b/>
                <w:bCs/>
                <w:noProof/>
                <w:lang w:val="sq-AL"/>
              </w:rPr>
              <w:t>Qasja dhe Parimet Udhëzuese</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_Toc211532675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11</w:t>
            </w:r>
            <w:r w:rsidR="004C6E93" w:rsidRPr="00705B56">
              <w:rPr>
                <w:rFonts w:ascii="Arial" w:hAnsi="Arial" w:cs="Arial"/>
                <w:noProof/>
                <w:webHidden/>
              </w:rPr>
              <w:fldChar w:fldCharType="end"/>
            </w:r>
          </w:hyperlink>
        </w:p>
        <w:p w14:paraId="15AD991E" w14:textId="26432499" w:rsidR="004C6E93" w:rsidRPr="00705B56" w:rsidRDefault="008D6BF0">
          <w:pPr>
            <w:pStyle w:val="TOC3"/>
            <w:tabs>
              <w:tab w:val="right" w:leader="dot" w:pos="10196"/>
            </w:tabs>
            <w:rPr>
              <w:rFonts w:ascii="Arial" w:hAnsi="Arial" w:cs="Arial"/>
              <w:noProof/>
              <w:sz w:val="24"/>
              <w:szCs w:val="24"/>
            </w:rPr>
          </w:pPr>
          <w:hyperlink w:anchor="_Toc211532676" w:history="1">
            <w:r w:rsidR="004C6E93" w:rsidRPr="00705B56">
              <w:rPr>
                <w:rStyle w:val="Hyperlink"/>
                <w:rFonts w:ascii="Arial" w:hAnsi="Arial" w:cs="Arial"/>
                <w:noProof/>
                <w:lang w:val="sq-AL"/>
              </w:rPr>
              <w:t>Qasje e bazuar në rrezik dhe e udhëhequr nga dëshmitë</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_Toc211532676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11</w:t>
            </w:r>
            <w:r w:rsidR="004C6E93" w:rsidRPr="00705B56">
              <w:rPr>
                <w:rFonts w:ascii="Arial" w:hAnsi="Arial" w:cs="Arial"/>
                <w:noProof/>
                <w:webHidden/>
              </w:rPr>
              <w:fldChar w:fldCharType="end"/>
            </w:r>
          </w:hyperlink>
        </w:p>
        <w:p w14:paraId="3FD7CC18" w14:textId="39AA8CB1" w:rsidR="004C6E93" w:rsidRPr="00705B56" w:rsidRDefault="008D6BF0">
          <w:pPr>
            <w:pStyle w:val="TOC3"/>
            <w:tabs>
              <w:tab w:val="right" w:leader="dot" w:pos="10196"/>
            </w:tabs>
            <w:rPr>
              <w:rFonts w:ascii="Arial" w:hAnsi="Arial" w:cs="Arial"/>
              <w:noProof/>
              <w:sz w:val="24"/>
              <w:szCs w:val="24"/>
            </w:rPr>
          </w:pPr>
          <w:hyperlink w:anchor="_Toc211532677" w:history="1">
            <w:r w:rsidR="004C6E93" w:rsidRPr="00705B56">
              <w:rPr>
                <w:rStyle w:val="Hyperlink"/>
                <w:rFonts w:ascii="Arial" w:hAnsi="Arial" w:cs="Arial"/>
                <w:noProof/>
                <w:lang w:val="sq-AL"/>
              </w:rPr>
              <w:t>Planifikimi i përshtatjes ndërsektoriale dhe pjesëmarrëse</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_Toc211532677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12</w:t>
            </w:r>
            <w:r w:rsidR="004C6E93" w:rsidRPr="00705B56">
              <w:rPr>
                <w:rFonts w:ascii="Arial" w:hAnsi="Arial" w:cs="Arial"/>
                <w:noProof/>
                <w:webHidden/>
              </w:rPr>
              <w:fldChar w:fldCharType="end"/>
            </w:r>
          </w:hyperlink>
        </w:p>
        <w:p w14:paraId="54BD9766" w14:textId="71E1A568" w:rsidR="004C6E93" w:rsidRPr="00705B56" w:rsidRDefault="008D6BF0">
          <w:pPr>
            <w:pStyle w:val="TOC2"/>
            <w:tabs>
              <w:tab w:val="right" w:leader="dot" w:pos="10196"/>
            </w:tabs>
            <w:rPr>
              <w:rFonts w:ascii="Arial" w:hAnsi="Arial" w:cs="Arial"/>
              <w:noProof/>
              <w:sz w:val="24"/>
              <w:szCs w:val="24"/>
            </w:rPr>
          </w:pPr>
          <w:hyperlink w:anchor="_Toc211532678" w:history="1">
            <w:r w:rsidR="004C6E93" w:rsidRPr="00705B56">
              <w:rPr>
                <w:rStyle w:val="Hyperlink"/>
                <w:rFonts w:ascii="Arial" w:hAnsi="Arial" w:cs="Arial"/>
                <w:b/>
                <w:bCs/>
                <w:noProof/>
                <w:lang w:val="sq-AL"/>
              </w:rPr>
              <w:t>Mbledhja dhe analiza e të dhënave</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_Toc211532678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13</w:t>
            </w:r>
            <w:r w:rsidR="004C6E93" w:rsidRPr="00705B56">
              <w:rPr>
                <w:rFonts w:ascii="Arial" w:hAnsi="Arial" w:cs="Arial"/>
                <w:noProof/>
                <w:webHidden/>
              </w:rPr>
              <w:fldChar w:fldCharType="end"/>
            </w:r>
          </w:hyperlink>
        </w:p>
        <w:p w14:paraId="0866065D" w14:textId="4D669209" w:rsidR="004C6E93" w:rsidRPr="00705B56" w:rsidRDefault="008D6BF0">
          <w:pPr>
            <w:pStyle w:val="TOC3"/>
            <w:tabs>
              <w:tab w:val="right" w:leader="dot" w:pos="10196"/>
            </w:tabs>
            <w:rPr>
              <w:rFonts w:ascii="Arial" w:hAnsi="Arial" w:cs="Arial"/>
              <w:noProof/>
              <w:sz w:val="24"/>
              <w:szCs w:val="24"/>
            </w:rPr>
          </w:pPr>
          <w:hyperlink w:anchor="_Toc211532679" w:history="1">
            <w:r w:rsidR="004C6E93" w:rsidRPr="00705B56">
              <w:rPr>
                <w:rStyle w:val="Hyperlink"/>
                <w:rFonts w:ascii="Arial" w:hAnsi="Arial" w:cs="Arial"/>
                <w:noProof/>
                <w:lang w:val="sq-AL"/>
              </w:rPr>
              <w:t>Burimet e të dhënave klimatike</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_Toc211532679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13</w:t>
            </w:r>
            <w:r w:rsidR="004C6E93" w:rsidRPr="00705B56">
              <w:rPr>
                <w:rFonts w:ascii="Arial" w:hAnsi="Arial" w:cs="Arial"/>
                <w:noProof/>
                <w:webHidden/>
              </w:rPr>
              <w:fldChar w:fldCharType="end"/>
            </w:r>
          </w:hyperlink>
        </w:p>
        <w:p w14:paraId="4D0EDD40" w14:textId="7A85512A" w:rsidR="004C6E93" w:rsidRPr="00705B56" w:rsidRDefault="008D6BF0">
          <w:pPr>
            <w:pStyle w:val="TOC3"/>
            <w:tabs>
              <w:tab w:val="right" w:leader="dot" w:pos="10196"/>
            </w:tabs>
            <w:rPr>
              <w:rFonts w:ascii="Arial" w:hAnsi="Arial" w:cs="Arial"/>
              <w:noProof/>
              <w:sz w:val="24"/>
              <w:szCs w:val="24"/>
            </w:rPr>
          </w:pPr>
          <w:hyperlink w:anchor="_Toc211532680" w:history="1">
            <w:r w:rsidR="004C6E93" w:rsidRPr="00705B56">
              <w:rPr>
                <w:rStyle w:val="Hyperlink"/>
                <w:rFonts w:ascii="Arial" w:hAnsi="Arial" w:cs="Arial"/>
                <w:noProof/>
                <w:lang w:val="sq-AL"/>
              </w:rPr>
              <w:t>Metodologjia e vlerësimit të ndjeshmërisë ndaj klimës</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_Toc211532680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14</w:t>
            </w:r>
            <w:r w:rsidR="004C6E93" w:rsidRPr="00705B56">
              <w:rPr>
                <w:rFonts w:ascii="Arial" w:hAnsi="Arial" w:cs="Arial"/>
                <w:noProof/>
                <w:webHidden/>
              </w:rPr>
              <w:fldChar w:fldCharType="end"/>
            </w:r>
          </w:hyperlink>
        </w:p>
        <w:p w14:paraId="4E4AB452" w14:textId="5CBC589D" w:rsidR="004C6E93" w:rsidRPr="00705B56" w:rsidRDefault="008D6BF0">
          <w:pPr>
            <w:pStyle w:val="TOC3"/>
            <w:tabs>
              <w:tab w:val="right" w:leader="dot" w:pos="10196"/>
            </w:tabs>
            <w:rPr>
              <w:rFonts w:ascii="Arial" w:hAnsi="Arial" w:cs="Arial"/>
              <w:noProof/>
              <w:sz w:val="24"/>
              <w:szCs w:val="24"/>
            </w:rPr>
          </w:pPr>
          <w:hyperlink w:anchor="_Toc211532681" w:history="1">
            <w:r w:rsidR="004C6E93" w:rsidRPr="00705B56">
              <w:rPr>
                <w:rStyle w:val="Hyperlink"/>
                <w:rFonts w:ascii="Arial" w:hAnsi="Arial" w:cs="Arial"/>
                <w:noProof/>
                <w:lang w:val="sq-AL"/>
              </w:rPr>
              <w:t>Zinxhirët e ndikimit</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_Toc211532681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16</w:t>
            </w:r>
            <w:r w:rsidR="004C6E93" w:rsidRPr="00705B56">
              <w:rPr>
                <w:rFonts w:ascii="Arial" w:hAnsi="Arial" w:cs="Arial"/>
                <w:noProof/>
                <w:webHidden/>
              </w:rPr>
              <w:fldChar w:fldCharType="end"/>
            </w:r>
          </w:hyperlink>
        </w:p>
        <w:p w14:paraId="22F47FFD" w14:textId="63786FCB" w:rsidR="004C6E93" w:rsidRPr="00705B56" w:rsidRDefault="008D6BF0">
          <w:pPr>
            <w:pStyle w:val="TOC1"/>
            <w:tabs>
              <w:tab w:val="right" w:leader="dot" w:pos="10196"/>
            </w:tabs>
            <w:rPr>
              <w:rFonts w:ascii="Arial" w:hAnsi="Arial" w:cs="Arial"/>
              <w:noProof/>
              <w:sz w:val="24"/>
              <w:szCs w:val="24"/>
            </w:rPr>
          </w:pPr>
          <w:hyperlink w:anchor="_Toc211532682" w:history="1">
            <w:r w:rsidR="004C6E93" w:rsidRPr="00705B56">
              <w:rPr>
                <w:rStyle w:val="Hyperlink"/>
                <w:rFonts w:ascii="Arial" w:hAnsi="Arial" w:cs="Arial"/>
                <w:b/>
                <w:bCs/>
                <w:noProof/>
                <w:lang w:val="sq-AL"/>
              </w:rPr>
              <w:t>IV. HISTORIKU &amp; KAPITULLI SHKENCOR</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_Toc211532682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18</w:t>
            </w:r>
            <w:r w:rsidR="004C6E93" w:rsidRPr="00705B56">
              <w:rPr>
                <w:rFonts w:ascii="Arial" w:hAnsi="Arial" w:cs="Arial"/>
                <w:noProof/>
                <w:webHidden/>
              </w:rPr>
              <w:fldChar w:fldCharType="end"/>
            </w:r>
          </w:hyperlink>
        </w:p>
        <w:p w14:paraId="18DECA5B" w14:textId="3E4D399E" w:rsidR="004C6E93" w:rsidRPr="00705B56" w:rsidRDefault="008D6BF0">
          <w:pPr>
            <w:pStyle w:val="TOC2"/>
            <w:tabs>
              <w:tab w:val="right" w:leader="dot" w:pos="10196"/>
            </w:tabs>
            <w:rPr>
              <w:rFonts w:ascii="Arial" w:hAnsi="Arial" w:cs="Arial"/>
              <w:noProof/>
              <w:sz w:val="24"/>
              <w:szCs w:val="24"/>
            </w:rPr>
          </w:pPr>
          <w:hyperlink w:anchor="_Toc211532683" w:history="1">
            <w:r w:rsidR="004C6E93" w:rsidRPr="00705B56">
              <w:rPr>
                <w:rStyle w:val="Hyperlink"/>
                <w:rFonts w:ascii="Arial" w:hAnsi="Arial" w:cs="Arial"/>
                <w:noProof/>
                <w:lang w:val="de-DE"/>
              </w:rPr>
              <w:t>Historiku</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_Toc211532683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18</w:t>
            </w:r>
            <w:r w:rsidR="004C6E93" w:rsidRPr="00705B56">
              <w:rPr>
                <w:rFonts w:ascii="Arial" w:hAnsi="Arial" w:cs="Arial"/>
                <w:noProof/>
                <w:webHidden/>
              </w:rPr>
              <w:fldChar w:fldCharType="end"/>
            </w:r>
          </w:hyperlink>
        </w:p>
        <w:p w14:paraId="3605B670" w14:textId="5613793D" w:rsidR="004C6E93" w:rsidRPr="00705B56" w:rsidRDefault="008D6BF0">
          <w:pPr>
            <w:pStyle w:val="TOC3"/>
            <w:tabs>
              <w:tab w:val="right" w:leader="dot" w:pos="10196"/>
            </w:tabs>
            <w:rPr>
              <w:rFonts w:ascii="Arial" w:hAnsi="Arial" w:cs="Arial"/>
              <w:noProof/>
              <w:sz w:val="24"/>
              <w:szCs w:val="24"/>
            </w:rPr>
          </w:pPr>
          <w:hyperlink w:anchor="_Toc211532684" w:history="1">
            <w:r w:rsidR="004C6E93" w:rsidRPr="00705B56">
              <w:rPr>
                <w:rStyle w:val="Hyperlink"/>
                <w:rFonts w:ascii="Arial" w:hAnsi="Arial" w:cs="Arial"/>
                <w:noProof/>
                <w:lang w:val="de-DE"/>
              </w:rPr>
              <w:t>Gjendja aktuale dhe përkufizimi i problemit</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_Toc211532684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18</w:t>
            </w:r>
            <w:r w:rsidR="004C6E93" w:rsidRPr="00705B56">
              <w:rPr>
                <w:rFonts w:ascii="Arial" w:hAnsi="Arial" w:cs="Arial"/>
                <w:noProof/>
                <w:webHidden/>
              </w:rPr>
              <w:fldChar w:fldCharType="end"/>
            </w:r>
          </w:hyperlink>
        </w:p>
        <w:p w14:paraId="1434B511" w14:textId="74D85C17" w:rsidR="004C6E93" w:rsidRPr="00705B56" w:rsidRDefault="008D6BF0">
          <w:pPr>
            <w:pStyle w:val="TOC3"/>
            <w:tabs>
              <w:tab w:val="right" w:leader="dot" w:pos="10196"/>
            </w:tabs>
            <w:rPr>
              <w:rFonts w:ascii="Arial" w:hAnsi="Arial" w:cs="Arial"/>
              <w:noProof/>
              <w:sz w:val="24"/>
              <w:szCs w:val="24"/>
            </w:rPr>
          </w:pPr>
          <w:hyperlink w:anchor="_Toc211532685" w:history="1">
            <w:r w:rsidR="004C6E93" w:rsidRPr="00705B56">
              <w:rPr>
                <w:rStyle w:val="Hyperlink"/>
                <w:rFonts w:ascii="Arial" w:hAnsi="Arial" w:cs="Arial"/>
                <w:noProof/>
                <w:lang w:val="de-DE"/>
              </w:rPr>
              <w:t>Zhvillimi i problemit me kalimin e kohës</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_Toc211532685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18</w:t>
            </w:r>
            <w:r w:rsidR="004C6E93" w:rsidRPr="00705B56">
              <w:rPr>
                <w:rFonts w:ascii="Arial" w:hAnsi="Arial" w:cs="Arial"/>
                <w:noProof/>
                <w:webHidden/>
              </w:rPr>
              <w:fldChar w:fldCharType="end"/>
            </w:r>
          </w:hyperlink>
        </w:p>
        <w:p w14:paraId="45130080" w14:textId="7A81378F" w:rsidR="004C6E93" w:rsidRPr="00705B56" w:rsidRDefault="008D6BF0">
          <w:pPr>
            <w:pStyle w:val="TOC3"/>
            <w:tabs>
              <w:tab w:val="right" w:leader="dot" w:pos="10196"/>
            </w:tabs>
            <w:rPr>
              <w:rFonts w:ascii="Arial" w:hAnsi="Arial" w:cs="Arial"/>
              <w:noProof/>
              <w:sz w:val="24"/>
              <w:szCs w:val="24"/>
            </w:rPr>
          </w:pPr>
          <w:hyperlink w:anchor="_Toc211532686" w:history="1">
            <w:r w:rsidR="004C6E93" w:rsidRPr="00705B56">
              <w:rPr>
                <w:rStyle w:val="Hyperlink"/>
                <w:rFonts w:ascii="Arial" w:hAnsi="Arial" w:cs="Arial"/>
                <w:noProof/>
                <w:lang w:val="de-DE"/>
              </w:rPr>
              <w:t>Krahasimi ndërkombëtar dhe standardet përkatëse</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_Toc211532686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19</w:t>
            </w:r>
            <w:r w:rsidR="004C6E93" w:rsidRPr="00705B56">
              <w:rPr>
                <w:rFonts w:ascii="Arial" w:hAnsi="Arial" w:cs="Arial"/>
                <w:noProof/>
                <w:webHidden/>
              </w:rPr>
              <w:fldChar w:fldCharType="end"/>
            </w:r>
          </w:hyperlink>
        </w:p>
        <w:p w14:paraId="0507189A" w14:textId="2F4B8243" w:rsidR="004C6E93" w:rsidRPr="00705B56" w:rsidRDefault="008D6BF0">
          <w:pPr>
            <w:pStyle w:val="TOC3"/>
            <w:tabs>
              <w:tab w:val="right" w:leader="dot" w:pos="10196"/>
            </w:tabs>
            <w:rPr>
              <w:rFonts w:ascii="Arial" w:hAnsi="Arial" w:cs="Arial"/>
              <w:noProof/>
              <w:sz w:val="24"/>
              <w:szCs w:val="24"/>
            </w:rPr>
          </w:pPr>
          <w:hyperlink w:anchor="_Toc211532687" w:history="1">
            <w:r w:rsidR="004C6E93" w:rsidRPr="00705B56">
              <w:rPr>
                <w:rStyle w:val="Hyperlink"/>
                <w:rFonts w:ascii="Arial" w:hAnsi="Arial" w:cs="Arial"/>
                <w:noProof/>
                <w:lang w:val="en"/>
              </w:rPr>
              <w:t>Shkaqet dhe faktorët ndikues</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_Toc211532687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19</w:t>
            </w:r>
            <w:r w:rsidR="004C6E93" w:rsidRPr="00705B56">
              <w:rPr>
                <w:rFonts w:ascii="Arial" w:hAnsi="Arial" w:cs="Arial"/>
                <w:noProof/>
                <w:webHidden/>
              </w:rPr>
              <w:fldChar w:fldCharType="end"/>
            </w:r>
          </w:hyperlink>
        </w:p>
        <w:p w14:paraId="7C478736" w14:textId="33CDE6EF" w:rsidR="004C6E93" w:rsidRPr="00705B56" w:rsidRDefault="008D6BF0">
          <w:pPr>
            <w:pStyle w:val="TOC3"/>
            <w:tabs>
              <w:tab w:val="right" w:leader="dot" w:pos="10196"/>
            </w:tabs>
            <w:rPr>
              <w:rFonts w:ascii="Arial" w:hAnsi="Arial" w:cs="Arial"/>
              <w:noProof/>
              <w:sz w:val="24"/>
              <w:szCs w:val="24"/>
            </w:rPr>
          </w:pPr>
          <w:hyperlink w:anchor="_Toc211532688" w:history="1">
            <w:r w:rsidR="004C6E93" w:rsidRPr="00705B56">
              <w:rPr>
                <w:rStyle w:val="Hyperlink"/>
                <w:rFonts w:ascii="Arial" w:hAnsi="Arial" w:cs="Arial"/>
                <w:noProof/>
                <w:lang w:val="de-DE"/>
              </w:rPr>
              <w:t>Faktorët jashtë ndikimit të drejtpërdrejtë të Qeverisë dhe jashtë fushës së strategjisë</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_Toc211532688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20</w:t>
            </w:r>
            <w:r w:rsidR="004C6E93" w:rsidRPr="00705B56">
              <w:rPr>
                <w:rFonts w:ascii="Arial" w:hAnsi="Arial" w:cs="Arial"/>
                <w:noProof/>
                <w:webHidden/>
              </w:rPr>
              <w:fldChar w:fldCharType="end"/>
            </w:r>
          </w:hyperlink>
        </w:p>
        <w:p w14:paraId="5F1B1674" w14:textId="7AB08FA8" w:rsidR="004C6E93" w:rsidRPr="00705B56" w:rsidRDefault="008D6BF0">
          <w:pPr>
            <w:pStyle w:val="TOC3"/>
            <w:tabs>
              <w:tab w:val="right" w:leader="dot" w:pos="10196"/>
            </w:tabs>
            <w:rPr>
              <w:rFonts w:ascii="Arial" w:hAnsi="Arial" w:cs="Arial"/>
              <w:noProof/>
              <w:sz w:val="24"/>
              <w:szCs w:val="24"/>
            </w:rPr>
          </w:pPr>
          <w:hyperlink w:anchor="_Toc211532689" w:history="1">
            <w:r w:rsidR="004C6E93" w:rsidRPr="00705B56">
              <w:rPr>
                <w:rStyle w:val="Hyperlink"/>
                <w:rFonts w:ascii="Arial" w:hAnsi="Arial" w:cs="Arial"/>
                <w:noProof/>
              </w:rPr>
              <w:t>Veprimet ekzistuese dhe të planifikuara të Qeverisë dhe kuadri legjislativ</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_Toc211532689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20</w:t>
            </w:r>
            <w:r w:rsidR="004C6E93" w:rsidRPr="00705B56">
              <w:rPr>
                <w:rFonts w:ascii="Arial" w:hAnsi="Arial" w:cs="Arial"/>
                <w:noProof/>
                <w:webHidden/>
              </w:rPr>
              <w:fldChar w:fldCharType="end"/>
            </w:r>
          </w:hyperlink>
        </w:p>
        <w:p w14:paraId="2D395973" w14:textId="004301A7" w:rsidR="004C6E93" w:rsidRPr="00705B56" w:rsidRDefault="008D6BF0">
          <w:pPr>
            <w:pStyle w:val="TOC2"/>
            <w:tabs>
              <w:tab w:val="right" w:leader="dot" w:pos="10196"/>
            </w:tabs>
            <w:rPr>
              <w:rFonts w:ascii="Arial" w:hAnsi="Arial" w:cs="Arial"/>
              <w:noProof/>
              <w:sz w:val="24"/>
              <w:szCs w:val="24"/>
            </w:rPr>
          </w:pPr>
          <w:hyperlink w:anchor="_Toc211532690" w:history="1">
            <w:r w:rsidR="004C6E93" w:rsidRPr="00705B56">
              <w:rPr>
                <w:rStyle w:val="Hyperlink"/>
                <w:rFonts w:ascii="Arial" w:hAnsi="Arial" w:cs="Arial"/>
                <w:noProof/>
                <w:lang w:val="sq-AL"/>
              </w:rPr>
              <w:t>Konteksti gjeografik</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_Toc211532690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21</w:t>
            </w:r>
            <w:r w:rsidR="004C6E93" w:rsidRPr="00705B56">
              <w:rPr>
                <w:rFonts w:ascii="Arial" w:hAnsi="Arial" w:cs="Arial"/>
                <w:noProof/>
                <w:webHidden/>
              </w:rPr>
              <w:fldChar w:fldCharType="end"/>
            </w:r>
          </w:hyperlink>
        </w:p>
        <w:p w14:paraId="0C296D8B" w14:textId="7DEF4A46" w:rsidR="004C6E93" w:rsidRPr="00705B56" w:rsidRDefault="008D6BF0">
          <w:pPr>
            <w:pStyle w:val="TOC2"/>
            <w:tabs>
              <w:tab w:val="right" w:leader="dot" w:pos="10196"/>
            </w:tabs>
            <w:rPr>
              <w:rFonts w:ascii="Arial" w:hAnsi="Arial" w:cs="Arial"/>
              <w:noProof/>
              <w:sz w:val="24"/>
              <w:szCs w:val="24"/>
            </w:rPr>
          </w:pPr>
          <w:hyperlink w:anchor="_Toc211532691" w:history="1">
            <w:r w:rsidR="004C6E93" w:rsidRPr="00705B56">
              <w:rPr>
                <w:rStyle w:val="Hyperlink"/>
                <w:rFonts w:ascii="Arial" w:hAnsi="Arial" w:cs="Arial"/>
                <w:noProof/>
                <w:lang w:val="sq-AL"/>
              </w:rPr>
              <w:t>Baza historike klimatike</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_Toc211532691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22</w:t>
            </w:r>
            <w:r w:rsidR="004C6E93" w:rsidRPr="00705B56">
              <w:rPr>
                <w:rFonts w:ascii="Arial" w:hAnsi="Arial" w:cs="Arial"/>
                <w:noProof/>
                <w:webHidden/>
              </w:rPr>
              <w:fldChar w:fldCharType="end"/>
            </w:r>
          </w:hyperlink>
        </w:p>
        <w:p w14:paraId="2C5C1C07" w14:textId="2EFE0431" w:rsidR="004C6E93" w:rsidRPr="00705B56" w:rsidRDefault="008D6BF0">
          <w:pPr>
            <w:pStyle w:val="TOC2"/>
            <w:tabs>
              <w:tab w:val="right" w:leader="dot" w:pos="10196"/>
            </w:tabs>
            <w:rPr>
              <w:rFonts w:ascii="Arial" w:hAnsi="Arial" w:cs="Arial"/>
              <w:noProof/>
              <w:sz w:val="24"/>
              <w:szCs w:val="24"/>
            </w:rPr>
          </w:pPr>
          <w:hyperlink w:anchor="_Toc211532692" w:history="1">
            <w:r w:rsidR="004C6E93" w:rsidRPr="00705B56">
              <w:rPr>
                <w:rStyle w:val="Hyperlink"/>
                <w:rFonts w:ascii="Arial" w:hAnsi="Arial" w:cs="Arial"/>
                <w:noProof/>
                <w:lang w:val="sq-AL"/>
              </w:rPr>
              <w:t>Ndryshueshmëria e vëzhguar e klimës dhe rreziqet</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_Toc211532692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25</w:t>
            </w:r>
            <w:r w:rsidR="004C6E93" w:rsidRPr="00705B56">
              <w:rPr>
                <w:rFonts w:ascii="Arial" w:hAnsi="Arial" w:cs="Arial"/>
                <w:noProof/>
                <w:webHidden/>
              </w:rPr>
              <w:fldChar w:fldCharType="end"/>
            </w:r>
          </w:hyperlink>
        </w:p>
        <w:p w14:paraId="64AC0AAA" w14:textId="5677AC2E" w:rsidR="004C6E93" w:rsidRPr="00705B56" w:rsidRDefault="008D6BF0">
          <w:pPr>
            <w:pStyle w:val="TOC3"/>
            <w:tabs>
              <w:tab w:val="right" w:leader="dot" w:pos="10196"/>
            </w:tabs>
            <w:rPr>
              <w:rFonts w:ascii="Arial" w:hAnsi="Arial" w:cs="Arial"/>
              <w:noProof/>
              <w:sz w:val="24"/>
              <w:szCs w:val="24"/>
            </w:rPr>
          </w:pPr>
          <w:hyperlink w:anchor="_Toc211532693" w:history="1">
            <w:r w:rsidR="004C6E93" w:rsidRPr="00705B56">
              <w:rPr>
                <w:rStyle w:val="Hyperlink"/>
                <w:rFonts w:ascii="Arial" w:hAnsi="Arial" w:cs="Arial"/>
                <w:noProof/>
                <w:lang w:val="sq-AL"/>
              </w:rPr>
              <w:t>Trendet e temperaturës</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_Toc211532693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25</w:t>
            </w:r>
            <w:r w:rsidR="004C6E93" w:rsidRPr="00705B56">
              <w:rPr>
                <w:rFonts w:ascii="Arial" w:hAnsi="Arial" w:cs="Arial"/>
                <w:noProof/>
                <w:webHidden/>
              </w:rPr>
              <w:fldChar w:fldCharType="end"/>
            </w:r>
          </w:hyperlink>
        </w:p>
        <w:p w14:paraId="3721F898" w14:textId="7034F33F" w:rsidR="004C6E93" w:rsidRPr="00705B56" w:rsidRDefault="008D6BF0">
          <w:pPr>
            <w:pStyle w:val="TOC3"/>
            <w:tabs>
              <w:tab w:val="right" w:leader="dot" w:pos="10196"/>
            </w:tabs>
            <w:rPr>
              <w:rFonts w:ascii="Arial" w:hAnsi="Arial" w:cs="Arial"/>
              <w:noProof/>
              <w:sz w:val="24"/>
              <w:szCs w:val="24"/>
            </w:rPr>
          </w:pPr>
          <w:hyperlink w:anchor="_Toc211532694" w:history="1">
            <w:r w:rsidR="004C6E93" w:rsidRPr="00705B56">
              <w:rPr>
                <w:rStyle w:val="Hyperlink"/>
                <w:rFonts w:ascii="Arial" w:hAnsi="Arial" w:cs="Arial"/>
                <w:noProof/>
                <w:lang w:val="sq-AL"/>
              </w:rPr>
              <w:t>Reshjet dhe ndryshimet hidrologjike</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_Toc211532694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26</w:t>
            </w:r>
            <w:r w:rsidR="004C6E93" w:rsidRPr="00705B56">
              <w:rPr>
                <w:rFonts w:ascii="Arial" w:hAnsi="Arial" w:cs="Arial"/>
                <w:noProof/>
                <w:webHidden/>
              </w:rPr>
              <w:fldChar w:fldCharType="end"/>
            </w:r>
          </w:hyperlink>
        </w:p>
        <w:p w14:paraId="2D4ABB15" w14:textId="4475C1FF" w:rsidR="004C6E93" w:rsidRPr="00705B56" w:rsidRDefault="008D6BF0">
          <w:pPr>
            <w:pStyle w:val="TOC3"/>
            <w:tabs>
              <w:tab w:val="right" w:leader="dot" w:pos="10196"/>
            </w:tabs>
            <w:rPr>
              <w:rFonts w:ascii="Arial" w:hAnsi="Arial" w:cs="Arial"/>
              <w:noProof/>
              <w:sz w:val="24"/>
              <w:szCs w:val="24"/>
            </w:rPr>
          </w:pPr>
          <w:hyperlink w:anchor="_Toc211532695" w:history="1">
            <w:r w:rsidR="004C6E93" w:rsidRPr="00705B56">
              <w:rPr>
                <w:rStyle w:val="Hyperlink"/>
                <w:rFonts w:ascii="Arial" w:hAnsi="Arial" w:cs="Arial"/>
                <w:noProof/>
                <w:lang w:val="sq-AL"/>
              </w:rPr>
              <w:t>Ngjarjet e motit ekstrem</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_Toc211532695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34</w:t>
            </w:r>
            <w:r w:rsidR="004C6E93" w:rsidRPr="00705B56">
              <w:rPr>
                <w:rFonts w:ascii="Arial" w:hAnsi="Arial" w:cs="Arial"/>
                <w:noProof/>
                <w:webHidden/>
              </w:rPr>
              <w:fldChar w:fldCharType="end"/>
            </w:r>
          </w:hyperlink>
        </w:p>
        <w:p w14:paraId="26F7E2A2" w14:textId="410E86B5" w:rsidR="004C6E93" w:rsidRPr="00705B56" w:rsidRDefault="008D6BF0">
          <w:pPr>
            <w:pStyle w:val="TOC2"/>
            <w:tabs>
              <w:tab w:val="right" w:leader="dot" w:pos="10196"/>
            </w:tabs>
            <w:rPr>
              <w:rFonts w:ascii="Arial" w:hAnsi="Arial" w:cs="Arial"/>
              <w:noProof/>
              <w:sz w:val="24"/>
              <w:szCs w:val="24"/>
            </w:rPr>
          </w:pPr>
          <w:hyperlink w:anchor="_Toc211532696" w:history="1">
            <w:r w:rsidR="004C6E93" w:rsidRPr="00705B56">
              <w:rPr>
                <w:rStyle w:val="Hyperlink"/>
                <w:rFonts w:ascii="Arial" w:hAnsi="Arial" w:cs="Arial"/>
                <w:noProof/>
                <w:lang w:val="sq-AL"/>
              </w:rPr>
              <w:t>Tendencat e Parashikuara të Ndryshimeve Klimatike</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_Toc211532696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38</w:t>
            </w:r>
            <w:r w:rsidR="004C6E93" w:rsidRPr="00705B56">
              <w:rPr>
                <w:rFonts w:ascii="Arial" w:hAnsi="Arial" w:cs="Arial"/>
                <w:noProof/>
                <w:webHidden/>
              </w:rPr>
              <w:fldChar w:fldCharType="end"/>
            </w:r>
          </w:hyperlink>
        </w:p>
        <w:p w14:paraId="0EBE17B4" w14:textId="2DB8121E" w:rsidR="004C6E93" w:rsidRPr="00705B56" w:rsidRDefault="008D6BF0">
          <w:pPr>
            <w:pStyle w:val="TOC2"/>
            <w:tabs>
              <w:tab w:val="right" w:leader="dot" w:pos="10196"/>
            </w:tabs>
            <w:rPr>
              <w:rFonts w:ascii="Arial" w:hAnsi="Arial" w:cs="Arial"/>
              <w:noProof/>
              <w:sz w:val="24"/>
              <w:szCs w:val="24"/>
            </w:rPr>
          </w:pPr>
          <w:hyperlink w:anchor="_Toc211532697" w:history="1">
            <w:r w:rsidR="004C6E93" w:rsidRPr="00705B56">
              <w:rPr>
                <w:rStyle w:val="Hyperlink"/>
                <w:rFonts w:ascii="Arial" w:hAnsi="Arial" w:cs="Arial"/>
                <w:noProof/>
                <w:lang w:val="sq-AL"/>
              </w:rPr>
              <w:t>Prova shkencore</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_Toc211532697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41</w:t>
            </w:r>
            <w:r w:rsidR="004C6E93" w:rsidRPr="00705B56">
              <w:rPr>
                <w:rFonts w:ascii="Arial" w:hAnsi="Arial" w:cs="Arial"/>
                <w:noProof/>
                <w:webHidden/>
              </w:rPr>
              <w:fldChar w:fldCharType="end"/>
            </w:r>
          </w:hyperlink>
        </w:p>
        <w:p w14:paraId="2DA0065F" w14:textId="3B36CB44" w:rsidR="004C6E93" w:rsidRPr="00705B56" w:rsidRDefault="008D6BF0">
          <w:pPr>
            <w:pStyle w:val="TOC2"/>
            <w:tabs>
              <w:tab w:val="right" w:leader="dot" w:pos="10196"/>
            </w:tabs>
            <w:rPr>
              <w:rFonts w:ascii="Arial" w:hAnsi="Arial" w:cs="Arial"/>
              <w:noProof/>
              <w:sz w:val="24"/>
              <w:szCs w:val="24"/>
            </w:rPr>
          </w:pPr>
          <w:hyperlink w:anchor="_Toc211532698" w:history="1">
            <w:r w:rsidR="004C6E93" w:rsidRPr="00705B56">
              <w:rPr>
                <w:rStyle w:val="Hyperlink"/>
                <w:rFonts w:ascii="Arial" w:hAnsi="Arial" w:cs="Arial"/>
                <w:noProof/>
                <w:lang w:val="sq-AL"/>
              </w:rPr>
              <w:t>Ndikimet makroekonomike të ndryshimeve klimatike dhe përshtatjes</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_Toc211532698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42</w:t>
            </w:r>
            <w:r w:rsidR="004C6E93" w:rsidRPr="00705B56">
              <w:rPr>
                <w:rFonts w:ascii="Arial" w:hAnsi="Arial" w:cs="Arial"/>
                <w:noProof/>
                <w:webHidden/>
              </w:rPr>
              <w:fldChar w:fldCharType="end"/>
            </w:r>
          </w:hyperlink>
        </w:p>
        <w:p w14:paraId="6F2123E7" w14:textId="4353FD04" w:rsidR="004C6E93" w:rsidRPr="00705B56" w:rsidRDefault="008D6BF0">
          <w:pPr>
            <w:pStyle w:val="TOC1"/>
            <w:tabs>
              <w:tab w:val="right" w:leader="dot" w:pos="10196"/>
            </w:tabs>
            <w:rPr>
              <w:rFonts w:ascii="Arial" w:hAnsi="Arial" w:cs="Arial"/>
              <w:noProof/>
              <w:sz w:val="24"/>
              <w:szCs w:val="24"/>
            </w:rPr>
          </w:pPr>
          <w:hyperlink w:anchor="_Toc211532699" w:history="1">
            <w:r w:rsidR="004C6E93" w:rsidRPr="00705B56">
              <w:rPr>
                <w:rStyle w:val="Hyperlink"/>
                <w:rFonts w:ascii="Arial" w:hAnsi="Arial" w:cs="Arial"/>
                <w:b/>
                <w:bCs/>
                <w:noProof/>
                <w:lang w:val="sq-AL"/>
              </w:rPr>
              <w:t>V. OBJEKTIVAT STRATEGJIKE DHE VEPRIMET PRIORITARE</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_Toc211532699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46</w:t>
            </w:r>
            <w:r w:rsidR="004C6E93" w:rsidRPr="00705B56">
              <w:rPr>
                <w:rFonts w:ascii="Arial" w:hAnsi="Arial" w:cs="Arial"/>
                <w:noProof/>
                <w:webHidden/>
              </w:rPr>
              <w:fldChar w:fldCharType="end"/>
            </w:r>
          </w:hyperlink>
        </w:p>
        <w:p w14:paraId="656B5A5D" w14:textId="0EB38756" w:rsidR="004C6E93" w:rsidRPr="00705B56" w:rsidRDefault="008D6BF0">
          <w:pPr>
            <w:pStyle w:val="TOC2"/>
            <w:tabs>
              <w:tab w:val="right" w:leader="dot" w:pos="10196"/>
            </w:tabs>
            <w:rPr>
              <w:rFonts w:ascii="Arial" w:hAnsi="Arial" w:cs="Arial"/>
              <w:noProof/>
              <w:sz w:val="24"/>
              <w:szCs w:val="24"/>
            </w:rPr>
          </w:pPr>
          <w:hyperlink w:anchor="_Toc211532700" w:history="1">
            <w:r w:rsidR="004C6E93" w:rsidRPr="00705B56">
              <w:rPr>
                <w:rStyle w:val="Hyperlink"/>
                <w:rFonts w:ascii="Arial" w:hAnsi="Arial" w:cs="Arial"/>
                <w:b/>
                <w:bCs/>
                <w:noProof/>
                <w:lang w:val="sq-AL"/>
              </w:rPr>
              <w:t>Vizioni dhe objektivat strategjike</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_Toc211532700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46</w:t>
            </w:r>
            <w:r w:rsidR="004C6E93" w:rsidRPr="00705B56">
              <w:rPr>
                <w:rFonts w:ascii="Arial" w:hAnsi="Arial" w:cs="Arial"/>
                <w:noProof/>
                <w:webHidden/>
              </w:rPr>
              <w:fldChar w:fldCharType="end"/>
            </w:r>
          </w:hyperlink>
        </w:p>
        <w:p w14:paraId="62768EF4" w14:textId="10128D9A" w:rsidR="004C6E93" w:rsidRPr="00705B56" w:rsidRDefault="008D6BF0">
          <w:pPr>
            <w:pStyle w:val="TOC3"/>
            <w:tabs>
              <w:tab w:val="right" w:leader="dot" w:pos="10196"/>
            </w:tabs>
            <w:rPr>
              <w:rFonts w:ascii="Arial" w:hAnsi="Arial" w:cs="Arial"/>
              <w:noProof/>
              <w:sz w:val="24"/>
              <w:szCs w:val="24"/>
            </w:rPr>
          </w:pPr>
          <w:hyperlink w:anchor="_Toc211532701" w:history="1">
            <w:r w:rsidR="004C6E93" w:rsidRPr="00705B56">
              <w:rPr>
                <w:rStyle w:val="Hyperlink"/>
                <w:rFonts w:ascii="Arial" w:hAnsi="Arial" w:cs="Arial"/>
                <w:noProof/>
                <w:lang w:val="sq-AL"/>
              </w:rPr>
              <w:t>Vizioni afatgjatë i përshtatjes për Kosovën</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_Toc211532701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46</w:t>
            </w:r>
            <w:r w:rsidR="004C6E93" w:rsidRPr="00705B56">
              <w:rPr>
                <w:rFonts w:ascii="Arial" w:hAnsi="Arial" w:cs="Arial"/>
                <w:noProof/>
                <w:webHidden/>
              </w:rPr>
              <w:fldChar w:fldCharType="end"/>
            </w:r>
          </w:hyperlink>
        </w:p>
        <w:p w14:paraId="7957196D" w14:textId="4CDF636B" w:rsidR="004C6E93" w:rsidRPr="00705B56" w:rsidRDefault="008D6BF0">
          <w:pPr>
            <w:pStyle w:val="TOC2"/>
            <w:tabs>
              <w:tab w:val="right" w:leader="dot" w:pos="10196"/>
            </w:tabs>
            <w:rPr>
              <w:rFonts w:ascii="Arial" w:hAnsi="Arial" w:cs="Arial"/>
              <w:noProof/>
              <w:sz w:val="24"/>
              <w:szCs w:val="24"/>
            </w:rPr>
          </w:pPr>
          <w:hyperlink w:anchor="_Toc211532702" w:history="1">
            <w:r w:rsidR="004C6E93" w:rsidRPr="00705B56">
              <w:rPr>
                <w:rStyle w:val="Hyperlink"/>
                <w:rFonts w:ascii="Arial" w:hAnsi="Arial" w:cs="Arial"/>
                <w:b/>
                <w:bCs/>
                <w:noProof/>
                <w:lang w:val="sq-AL"/>
              </w:rPr>
              <w:t>Objektivat strategjikë</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_Toc211532702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46</w:t>
            </w:r>
            <w:r w:rsidR="004C6E93" w:rsidRPr="00705B56">
              <w:rPr>
                <w:rFonts w:ascii="Arial" w:hAnsi="Arial" w:cs="Arial"/>
                <w:noProof/>
                <w:webHidden/>
              </w:rPr>
              <w:fldChar w:fldCharType="end"/>
            </w:r>
          </w:hyperlink>
        </w:p>
        <w:p w14:paraId="1D77754B" w14:textId="65880BF0" w:rsidR="004C6E93" w:rsidRPr="00705B56" w:rsidRDefault="008D6BF0">
          <w:pPr>
            <w:pStyle w:val="TOC2"/>
            <w:tabs>
              <w:tab w:val="right" w:leader="dot" w:pos="10196"/>
            </w:tabs>
            <w:rPr>
              <w:rFonts w:ascii="Arial" w:hAnsi="Arial" w:cs="Arial"/>
              <w:noProof/>
              <w:sz w:val="24"/>
              <w:szCs w:val="24"/>
            </w:rPr>
          </w:pPr>
          <w:hyperlink w:anchor="_Toc211532703" w:history="1">
            <w:r w:rsidR="004C6E93" w:rsidRPr="00705B56">
              <w:rPr>
                <w:rStyle w:val="Hyperlink"/>
                <w:rFonts w:ascii="Arial" w:hAnsi="Arial" w:cs="Arial"/>
                <w:noProof/>
                <w:lang w:val="sq-AL"/>
              </w:rPr>
              <w:t>MENAXHIMI I RESURSEVE UJORE</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_Toc211532703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47</w:t>
            </w:r>
            <w:r w:rsidR="004C6E93" w:rsidRPr="00705B56">
              <w:rPr>
                <w:rFonts w:ascii="Arial" w:hAnsi="Arial" w:cs="Arial"/>
                <w:noProof/>
                <w:webHidden/>
              </w:rPr>
              <w:fldChar w:fldCharType="end"/>
            </w:r>
          </w:hyperlink>
        </w:p>
        <w:p w14:paraId="0ADB7A1E" w14:textId="1BCA3FA9" w:rsidR="004C6E93" w:rsidRPr="00705B56" w:rsidRDefault="008D6BF0">
          <w:pPr>
            <w:pStyle w:val="TOC3"/>
            <w:tabs>
              <w:tab w:val="right" w:leader="dot" w:pos="10196"/>
            </w:tabs>
            <w:rPr>
              <w:rFonts w:ascii="Arial" w:hAnsi="Arial" w:cs="Arial"/>
              <w:noProof/>
              <w:sz w:val="24"/>
              <w:szCs w:val="24"/>
            </w:rPr>
          </w:pPr>
          <w:hyperlink w:anchor="_Toc211532704" w:history="1">
            <w:r w:rsidR="004C6E93" w:rsidRPr="00705B56">
              <w:rPr>
                <w:rStyle w:val="Hyperlink"/>
                <w:rFonts w:ascii="Arial" w:hAnsi="Arial" w:cs="Arial"/>
                <w:noProof/>
                <w:lang w:val="sq-AL"/>
              </w:rPr>
              <w:t>Menaxhimi i qëndrueshëm i pellgjeve lumore</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_Toc211532704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56</w:t>
            </w:r>
            <w:r w:rsidR="004C6E93" w:rsidRPr="00705B56">
              <w:rPr>
                <w:rFonts w:ascii="Arial" w:hAnsi="Arial" w:cs="Arial"/>
                <w:noProof/>
                <w:webHidden/>
              </w:rPr>
              <w:fldChar w:fldCharType="end"/>
            </w:r>
          </w:hyperlink>
        </w:p>
        <w:p w14:paraId="20E88966" w14:textId="42028CBC" w:rsidR="004C6E93" w:rsidRPr="00705B56" w:rsidRDefault="008D6BF0">
          <w:pPr>
            <w:pStyle w:val="TOC2"/>
            <w:tabs>
              <w:tab w:val="right" w:leader="dot" w:pos="10196"/>
            </w:tabs>
            <w:rPr>
              <w:rFonts w:ascii="Arial" w:hAnsi="Arial" w:cs="Arial"/>
              <w:noProof/>
              <w:sz w:val="24"/>
              <w:szCs w:val="24"/>
            </w:rPr>
          </w:pPr>
          <w:hyperlink w:anchor="_Toc211532705" w:history="1">
            <w:r w:rsidR="004C6E93" w:rsidRPr="00705B56">
              <w:rPr>
                <w:rStyle w:val="Hyperlink"/>
                <w:rFonts w:ascii="Arial" w:hAnsi="Arial" w:cs="Arial"/>
                <w:noProof/>
                <w:lang w:val="sq-AL"/>
              </w:rPr>
              <w:t>SEKTORI I ENERGJISË</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_Toc211532705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63</w:t>
            </w:r>
            <w:r w:rsidR="004C6E93" w:rsidRPr="00705B56">
              <w:rPr>
                <w:rFonts w:ascii="Arial" w:hAnsi="Arial" w:cs="Arial"/>
                <w:noProof/>
                <w:webHidden/>
              </w:rPr>
              <w:fldChar w:fldCharType="end"/>
            </w:r>
          </w:hyperlink>
        </w:p>
        <w:p w14:paraId="13EBBFE3" w14:textId="36D7C5CE" w:rsidR="004C6E93" w:rsidRPr="00705B56" w:rsidRDefault="008D6BF0">
          <w:pPr>
            <w:pStyle w:val="TOC2"/>
            <w:tabs>
              <w:tab w:val="right" w:leader="dot" w:pos="10196"/>
            </w:tabs>
            <w:rPr>
              <w:rFonts w:ascii="Arial" w:hAnsi="Arial" w:cs="Arial"/>
              <w:noProof/>
              <w:sz w:val="24"/>
              <w:szCs w:val="24"/>
            </w:rPr>
          </w:pPr>
          <w:hyperlink w:anchor="_Toc211532706" w:history="1">
            <w:r w:rsidR="004C6E93" w:rsidRPr="00705B56">
              <w:rPr>
                <w:rStyle w:val="Hyperlink"/>
                <w:rFonts w:ascii="Arial" w:hAnsi="Arial" w:cs="Arial"/>
                <w:noProof/>
              </w:rPr>
              <w:t>Diversifikimi i burimeve të energjisë dhe përmirësimi i efiçiencës energjetike</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_Toc211532706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66</w:t>
            </w:r>
            <w:r w:rsidR="004C6E93" w:rsidRPr="00705B56">
              <w:rPr>
                <w:rFonts w:ascii="Arial" w:hAnsi="Arial" w:cs="Arial"/>
                <w:noProof/>
                <w:webHidden/>
              </w:rPr>
              <w:fldChar w:fldCharType="end"/>
            </w:r>
          </w:hyperlink>
        </w:p>
        <w:p w14:paraId="562D12EC" w14:textId="4CDA530A" w:rsidR="004C6E93" w:rsidRPr="00705B56" w:rsidRDefault="008D6BF0">
          <w:pPr>
            <w:pStyle w:val="TOC3"/>
            <w:tabs>
              <w:tab w:val="right" w:leader="dot" w:pos="10196"/>
            </w:tabs>
            <w:rPr>
              <w:rFonts w:ascii="Arial" w:hAnsi="Arial" w:cs="Arial"/>
              <w:noProof/>
              <w:sz w:val="24"/>
              <w:szCs w:val="24"/>
            </w:rPr>
          </w:pPr>
          <w:hyperlink w:anchor="_Toc211532707" w:history="1">
            <w:r w:rsidR="004C6E93" w:rsidRPr="00705B56">
              <w:rPr>
                <w:rStyle w:val="Hyperlink"/>
                <w:rFonts w:ascii="Arial" w:hAnsi="Arial" w:cs="Arial"/>
                <w:noProof/>
                <w:lang w:val="sq-AL"/>
              </w:rPr>
              <w:t>Forcimi i qëndrueshmërisë së rrjetit energjetik ndaj ndryshimeve klimatike</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_Toc211532707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68</w:t>
            </w:r>
            <w:r w:rsidR="004C6E93" w:rsidRPr="00705B56">
              <w:rPr>
                <w:rFonts w:ascii="Arial" w:hAnsi="Arial" w:cs="Arial"/>
                <w:noProof/>
                <w:webHidden/>
              </w:rPr>
              <w:fldChar w:fldCharType="end"/>
            </w:r>
          </w:hyperlink>
        </w:p>
        <w:p w14:paraId="1A3BCF10" w14:textId="038B3BA7" w:rsidR="004C6E93" w:rsidRPr="00705B56" w:rsidRDefault="008D6BF0">
          <w:pPr>
            <w:pStyle w:val="TOC2"/>
            <w:tabs>
              <w:tab w:val="right" w:leader="dot" w:pos="10196"/>
            </w:tabs>
            <w:rPr>
              <w:rFonts w:ascii="Arial" w:hAnsi="Arial" w:cs="Arial"/>
              <w:noProof/>
              <w:sz w:val="24"/>
              <w:szCs w:val="24"/>
            </w:rPr>
          </w:pPr>
          <w:hyperlink w:anchor="_Toc211532708" w:history="1">
            <w:r w:rsidR="004C6E93" w:rsidRPr="00705B56">
              <w:rPr>
                <w:rStyle w:val="Hyperlink"/>
                <w:rFonts w:ascii="Arial" w:hAnsi="Arial" w:cs="Arial"/>
                <w:noProof/>
                <w:lang w:val="sq-AL"/>
              </w:rPr>
              <w:t>PËRSHTATJA E BUJQËSISË DHE PYLLTARISË</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_Toc211532708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73</w:t>
            </w:r>
            <w:r w:rsidR="004C6E93" w:rsidRPr="00705B56">
              <w:rPr>
                <w:rFonts w:ascii="Arial" w:hAnsi="Arial" w:cs="Arial"/>
                <w:noProof/>
                <w:webHidden/>
              </w:rPr>
              <w:fldChar w:fldCharType="end"/>
            </w:r>
          </w:hyperlink>
        </w:p>
        <w:p w14:paraId="03835ECD" w14:textId="273DD965" w:rsidR="004C6E93" w:rsidRPr="00705B56" w:rsidRDefault="008D6BF0">
          <w:pPr>
            <w:pStyle w:val="TOC3"/>
            <w:tabs>
              <w:tab w:val="right" w:leader="dot" w:pos="10196"/>
            </w:tabs>
            <w:rPr>
              <w:rFonts w:ascii="Arial" w:hAnsi="Arial" w:cs="Arial"/>
              <w:noProof/>
              <w:sz w:val="24"/>
              <w:szCs w:val="24"/>
            </w:rPr>
          </w:pPr>
          <w:hyperlink w:anchor="_Toc211532709" w:history="1">
            <w:r w:rsidR="004C6E93" w:rsidRPr="00705B56">
              <w:rPr>
                <w:rStyle w:val="Hyperlink"/>
                <w:rFonts w:ascii="Arial" w:hAnsi="Arial" w:cs="Arial"/>
                <w:noProof/>
                <w:lang w:val="sq-AL"/>
              </w:rPr>
              <w:t>Shfrytëzimi i qëndrueshëm i tokës dhe ruajtja e tokës bujqësore</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_Toc211532709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80</w:t>
            </w:r>
            <w:r w:rsidR="004C6E93" w:rsidRPr="00705B56">
              <w:rPr>
                <w:rFonts w:ascii="Arial" w:hAnsi="Arial" w:cs="Arial"/>
                <w:noProof/>
                <w:webHidden/>
              </w:rPr>
              <w:fldChar w:fldCharType="end"/>
            </w:r>
          </w:hyperlink>
        </w:p>
        <w:p w14:paraId="61D8849C" w14:textId="77958CD2" w:rsidR="004C6E93" w:rsidRPr="00705B56" w:rsidRDefault="008D6BF0">
          <w:pPr>
            <w:pStyle w:val="TOC3"/>
            <w:tabs>
              <w:tab w:val="right" w:leader="dot" w:pos="10196"/>
            </w:tabs>
            <w:rPr>
              <w:rFonts w:ascii="Arial" w:hAnsi="Arial" w:cs="Arial"/>
              <w:noProof/>
              <w:sz w:val="24"/>
              <w:szCs w:val="24"/>
            </w:rPr>
          </w:pPr>
          <w:hyperlink w:anchor="_Toc211532710" w:history="1">
            <w:r w:rsidR="004C6E93" w:rsidRPr="00705B56">
              <w:rPr>
                <w:rStyle w:val="Hyperlink"/>
                <w:rFonts w:ascii="Arial" w:hAnsi="Arial" w:cs="Arial"/>
                <w:noProof/>
                <w:lang w:val="sq-AL"/>
              </w:rPr>
              <w:t>Fuqizimi i sistemeve të paralajmërimit të hershëm për fermerët</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_Toc211532710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81</w:t>
            </w:r>
            <w:r w:rsidR="004C6E93" w:rsidRPr="00705B56">
              <w:rPr>
                <w:rFonts w:ascii="Arial" w:hAnsi="Arial" w:cs="Arial"/>
                <w:noProof/>
                <w:webHidden/>
              </w:rPr>
              <w:fldChar w:fldCharType="end"/>
            </w:r>
          </w:hyperlink>
        </w:p>
        <w:p w14:paraId="4A643FF8" w14:textId="55C42D2C" w:rsidR="004C6E93" w:rsidRPr="00705B56" w:rsidRDefault="008D6BF0">
          <w:pPr>
            <w:pStyle w:val="TOC2"/>
            <w:tabs>
              <w:tab w:val="right" w:leader="dot" w:pos="10196"/>
            </w:tabs>
            <w:rPr>
              <w:rFonts w:ascii="Arial" w:hAnsi="Arial" w:cs="Arial"/>
              <w:noProof/>
              <w:sz w:val="24"/>
              <w:szCs w:val="24"/>
            </w:rPr>
          </w:pPr>
          <w:hyperlink w:anchor="_Toc211532711" w:history="1">
            <w:r w:rsidR="004C6E93" w:rsidRPr="00705B56">
              <w:rPr>
                <w:rStyle w:val="Hyperlink"/>
                <w:rFonts w:ascii="Arial" w:hAnsi="Arial" w:cs="Arial"/>
                <w:noProof/>
                <w:lang w:val="sq-AL"/>
              </w:rPr>
              <w:t>PËRSHTATJA E SEKTORIT TË SHËNDETËSISË DHE SOCIAL</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_Toc211532711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84</w:t>
            </w:r>
            <w:r w:rsidR="004C6E93" w:rsidRPr="00705B56">
              <w:rPr>
                <w:rFonts w:ascii="Arial" w:hAnsi="Arial" w:cs="Arial"/>
                <w:noProof/>
                <w:webHidden/>
              </w:rPr>
              <w:fldChar w:fldCharType="end"/>
            </w:r>
          </w:hyperlink>
        </w:p>
        <w:p w14:paraId="02F6EB22" w14:textId="1692CC2D" w:rsidR="004C6E93" w:rsidRPr="00705B56" w:rsidRDefault="008D6BF0">
          <w:pPr>
            <w:pStyle w:val="TOC3"/>
            <w:tabs>
              <w:tab w:val="right" w:leader="dot" w:pos="10196"/>
            </w:tabs>
            <w:rPr>
              <w:rFonts w:ascii="Arial" w:hAnsi="Arial" w:cs="Arial"/>
              <w:noProof/>
              <w:sz w:val="24"/>
              <w:szCs w:val="24"/>
            </w:rPr>
          </w:pPr>
          <w:hyperlink w:anchor="_Toc211532712" w:history="1">
            <w:r w:rsidR="004C6E93" w:rsidRPr="00705B56">
              <w:rPr>
                <w:rStyle w:val="Hyperlink"/>
                <w:rFonts w:ascii="Arial" w:hAnsi="Arial" w:cs="Arial"/>
                <w:noProof/>
                <w:lang w:val="sq-AL"/>
              </w:rPr>
              <w:t>Forcimi  i sistemeve dhe shërbimeve shëndetësore të qëndrueshme ndaj  klimës</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_Toc211532712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90</w:t>
            </w:r>
            <w:r w:rsidR="004C6E93" w:rsidRPr="00705B56">
              <w:rPr>
                <w:rFonts w:ascii="Arial" w:hAnsi="Arial" w:cs="Arial"/>
                <w:noProof/>
                <w:webHidden/>
              </w:rPr>
              <w:fldChar w:fldCharType="end"/>
            </w:r>
          </w:hyperlink>
        </w:p>
        <w:p w14:paraId="55A72941" w14:textId="2398758A" w:rsidR="004C6E93" w:rsidRPr="00705B56" w:rsidRDefault="008D6BF0">
          <w:pPr>
            <w:pStyle w:val="TOC3"/>
            <w:tabs>
              <w:tab w:val="right" w:leader="dot" w:pos="10196"/>
            </w:tabs>
            <w:rPr>
              <w:rFonts w:ascii="Arial" w:hAnsi="Arial" w:cs="Arial"/>
              <w:noProof/>
              <w:sz w:val="24"/>
              <w:szCs w:val="24"/>
            </w:rPr>
          </w:pPr>
          <w:hyperlink w:anchor="_Toc211532713" w:history="1">
            <w:r w:rsidR="004C6E93" w:rsidRPr="00705B56">
              <w:rPr>
                <w:rStyle w:val="Hyperlink"/>
                <w:rFonts w:ascii="Arial" w:hAnsi="Arial" w:cs="Arial"/>
                <w:noProof/>
                <w:lang w:val="sq-AL"/>
              </w:rPr>
              <w:t>Përmirësimi  i mekanizmave të paralajmërimit të hershëm dhe reagimit emergjent të bazuar në komunitet</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_Toc211532713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92</w:t>
            </w:r>
            <w:r w:rsidR="004C6E93" w:rsidRPr="00705B56">
              <w:rPr>
                <w:rFonts w:ascii="Arial" w:hAnsi="Arial" w:cs="Arial"/>
                <w:noProof/>
                <w:webHidden/>
              </w:rPr>
              <w:fldChar w:fldCharType="end"/>
            </w:r>
          </w:hyperlink>
        </w:p>
        <w:p w14:paraId="08E67B69" w14:textId="39ECC7BF" w:rsidR="004C6E93" w:rsidRPr="00705B56" w:rsidRDefault="008D6BF0">
          <w:pPr>
            <w:pStyle w:val="TOC3"/>
            <w:tabs>
              <w:tab w:val="right" w:leader="dot" w:pos="10196"/>
            </w:tabs>
            <w:rPr>
              <w:rFonts w:ascii="Arial" w:hAnsi="Arial" w:cs="Arial"/>
              <w:noProof/>
              <w:sz w:val="24"/>
              <w:szCs w:val="24"/>
            </w:rPr>
          </w:pPr>
          <w:hyperlink w:anchor="_Toc211532714" w:history="1">
            <w:r w:rsidR="004C6E93" w:rsidRPr="00705B56">
              <w:rPr>
                <w:rStyle w:val="Hyperlink"/>
                <w:rFonts w:ascii="Arial" w:hAnsi="Arial" w:cs="Arial"/>
                <w:noProof/>
                <w:lang w:val="sq-AL"/>
              </w:rPr>
              <w:t>Promovimi i masave të mbrojtjes sociale për popullatat e ndjeshme  të prekura nga rreziqet klimatike</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_Toc211532714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94</w:t>
            </w:r>
            <w:r w:rsidR="004C6E93" w:rsidRPr="00705B56">
              <w:rPr>
                <w:rFonts w:ascii="Arial" w:hAnsi="Arial" w:cs="Arial"/>
                <w:noProof/>
                <w:webHidden/>
              </w:rPr>
              <w:fldChar w:fldCharType="end"/>
            </w:r>
          </w:hyperlink>
        </w:p>
        <w:p w14:paraId="0D1918A1" w14:textId="61913207" w:rsidR="004C6E93" w:rsidRPr="00705B56" w:rsidRDefault="008D6BF0">
          <w:pPr>
            <w:pStyle w:val="TOC1"/>
            <w:tabs>
              <w:tab w:val="right" w:leader="dot" w:pos="10196"/>
            </w:tabs>
            <w:rPr>
              <w:rFonts w:ascii="Arial" w:hAnsi="Arial" w:cs="Arial"/>
              <w:noProof/>
              <w:sz w:val="24"/>
              <w:szCs w:val="24"/>
            </w:rPr>
          </w:pPr>
          <w:hyperlink w:anchor="_Toc211532715" w:history="1">
            <w:r w:rsidR="004C6E93" w:rsidRPr="00705B56">
              <w:rPr>
                <w:rStyle w:val="Hyperlink"/>
                <w:rFonts w:ascii="Arial" w:hAnsi="Arial" w:cs="Arial"/>
                <w:b/>
                <w:bCs/>
                <w:noProof/>
                <w:lang w:val="sq-AL"/>
              </w:rPr>
              <w:t>VI. RREGULLAT E ZBATIMIT, MONITORIMIT DHE RAPORTIMIT</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_Toc211532715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97</w:t>
            </w:r>
            <w:r w:rsidR="004C6E93" w:rsidRPr="00705B56">
              <w:rPr>
                <w:rFonts w:ascii="Arial" w:hAnsi="Arial" w:cs="Arial"/>
                <w:noProof/>
                <w:webHidden/>
              </w:rPr>
              <w:fldChar w:fldCharType="end"/>
            </w:r>
          </w:hyperlink>
        </w:p>
        <w:p w14:paraId="16D295C8" w14:textId="1DF945F4" w:rsidR="004C6E93" w:rsidRPr="00705B56" w:rsidRDefault="008D6BF0">
          <w:pPr>
            <w:pStyle w:val="TOC1"/>
            <w:tabs>
              <w:tab w:val="right" w:leader="dot" w:pos="10196"/>
            </w:tabs>
            <w:rPr>
              <w:rFonts w:ascii="Arial" w:hAnsi="Arial" w:cs="Arial"/>
              <w:noProof/>
              <w:sz w:val="24"/>
              <w:szCs w:val="24"/>
            </w:rPr>
          </w:pPr>
          <w:hyperlink w:anchor="_Toc211532716" w:history="1">
            <w:r w:rsidR="004C6E93" w:rsidRPr="00705B56">
              <w:rPr>
                <w:rStyle w:val="Hyperlink"/>
                <w:rFonts w:ascii="Arial" w:hAnsi="Arial" w:cs="Arial"/>
                <w:noProof/>
                <w:lang w:val="sq-AL"/>
              </w:rPr>
              <w:t>Zbatimi</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_Toc211532716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97</w:t>
            </w:r>
            <w:r w:rsidR="004C6E93" w:rsidRPr="00705B56">
              <w:rPr>
                <w:rFonts w:ascii="Arial" w:hAnsi="Arial" w:cs="Arial"/>
                <w:noProof/>
                <w:webHidden/>
              </w:rPr>
              <w:fldChar w:fldCharType="end"/>
            </w:r>
          </w:hyperlink>
        </w:p>
        <w:p w14:paraId="27C8E376" w14:textId="57BA1171" w:rsidR="004C6E93" w:rsidRPr="00705B56" w:rsidRDefault="008D6BF0">
          <w:pPr>
            <w:pStyle w:val="TOC1"/>
            <w:tabs>
              <w:tab w:val="right" w:leader="dot" w:pos="10196"/>
            </w:tabs>
            <w:rPr>
              <w:rFonts w:ascii="Arial" w:hAnsi="Arial" w:cs="Arial"/>
              <w:noProof/>
              <w:sz w:val="24"/>
              <w:szCs w:val="24"/>
            </w:rPr>
          </w:pPr>
          <w:hyperlink w:anchor="_Toc211532717" w:history="1">
            <w:r w:rsidR="004C6E93" w:rsidRPr="00705B56">
              <w:rPr>
                <w:rStyle w:val="Hyperlink"/>
                <w:rFonts w:ascii="Arial" w:hAnsi="Arial" w:cs="Arial"/>
                <w:noProof/>
                <w:lang w:val="sq-AL"/>
              </w:rPr>
              <w:t>Monitorimi dhe raportimi</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_Toc211532717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99</w:t>
            </w:r>
            <w:r w:rsidR="004C6E93" w:rsidRPr="00705B56">
              <w:rPr>
                <w:rFonts w:ascii="Arial" w:hAnsi="Arial" w:cs="Arial"/>
                <w:noProof/>
                <w:webHidden/>
              </w:rPr>
              <w:fldChar w:fldCharType="end"/>
            </w:r>
          </w:hyperlink>
        </w:p>
        <w:p w14:paraId="60CAFC7C" w14:textId="4EA88542" w:rsidR="004C6E93" w:rsidRPr="00705B56" w:rsidRDefault="008D6BF0">
          <w:pPr>
            <w:pStyle w:val="TOC2"/>
            <w:tabs>
              <w:tab w:val="right" w:leader="dot" w:pos="10196"/>
            </w:tabs>
            <w:rPr>
              <w:rFonts w:ascii="Arial" w:hAnsi="Arial" w:cs="Arial"/>
              <w:noProof/>
              <w:sz w:val="24"/>
              <w:szCs w:val="24"/>
            </w:rPr>
          </w:pPr>
          <w:hyperlink w:anchor="_Toc211532718" w:history="1">
            <w:r w:rsidR="004C6E93" w:rsidRPr="00705B56">
              <w:rPr>
                <w:rStyle w:val="Hyperlink"/>
                <w:rFonts w:ascii="Arial" w:hAnsi="Arial" w:cs="Arial"/>
                <w:noProof/>
                <w:lang w:val="sq-AL"/>
              </w:rPr>
              <w:t>Menaxhimi i Resurseve Ujore</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_Toc211532718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101</w:t>
            </w:r>
            <w:r w:rsidR="004C6E93" w:rsidRPr="00705B56">
              <w:rPr>
                <w:rFonts w:ascii="Arial" w:hAnsi="Arial" w:cs="Arial"/>
                <w:noProof/>
                <w:webHidden/>
              </w:rPr>
              <w:fldChar w:fldCharType="end"/>
            </w:r>
          </w:hyperlink>
        </w:p>
        <w:p w14:paraId="6644F9FC" w14:textId="3C7C5CE3" w:rsidR="004C6E93" w:rsidRPr="00705B56" w:rsidRDefault="008D6BF0">
          <w:pPr>
            <w:pStyle w:val="TOC2"/>
            <w:tabs>
              <w:tab w:val="right" w:leader="dot" w:pos="10196"/>
            </w:tabs>
            <w:rPr>
              <w:rFonts w:ascii="Arial" w:hAnsi="Arial" w:cs="Arial"/>
              <w:noProof/>
              <w:sz w:val="24"/>
              <w:szCs w:val="24"/>
            </w:rPr>
          </w:pPr>
          <w:hyperlink w:anchor="_Toc211532719" w:history="1">
            <w:r w:rsidR="004C6E93" w:rsidRPr="00705B56">
              <w:rPr>
                <w:rStyle w:val="Hyperlink"/>
                <w:rFonts w:ascii="Arial" w:hAnsi="Arial" w:cs="Arial"/>
                <w:noProof/>
                <w:lang w:val="sq-AL"/>
              </w:rPr>
              <w:t>Sektori i energjisë</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_Toc211532719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105</w:t>
            </w:r>
            <w:r w:rsidR="004C6E93" w:rsidRPr="00705B56">
              <w:rPr>
                <w:rFonts w:ascii="Arial" w:hAnsi="Arial" w:cs="Arial"/>
                <w:noProof/>
                <w:webHidden/>
              </w:rPr>
              <w:fldChar w:fldCharType="end"/>
            </w:r>
          </w:hyperlink>
        </w:p>
        <w:p w14:paraId="7F3729AF" w14:textId="62725AB2" w:rsidR="004C6E93" w:rsidRPr="00705B56" w:rsidRDefault="008D6BF0">
          <w:pPr>
            <w:pStyle w:val="TOC2"/>
            <w:tabs>
              <w:tab w:val="right" w:leader="dot" w:pos="10196"/>
            </w:tabs>
            <w:rPr>
              <w:rFonts w:ascii="Arial" w:hAnsi="Arial" w:cs="Arial"/>
              <w:noProof/>
              <w:sz w:val="24"/>
              <w:szCs w:val="24"/>
            </w:rPr>
          </w:pPr>
          <w:hyperlink w:anchor="_Toc211532720" w:history="1">
            <w:r w:rsidR="004C6E93" w:rsidRPr="00705B56">
              <w:rPr>
                <w:rStyle w:val="Hyperlink"/>
                <w:rFonts w:ascii="Arial" w:hAnsi="Arial" w:cs="Arial"/>
                <w:noProof/>
                <w:lang w:val="sq-AL"/>
              </w:rPr>
              <w:t>Përshtatja e Sektorit të Bujqësisë dhe Pylltarisë</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_Toc211532720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109</w:t>
            </w:r>
            <w:r w:rsidR="004C6E93" w:rsidRPr="00705B56">
              <w:rPr>
                <w:rFonts w:ascii="Arial" w:hAnsi="Arial" w:cs="Arial"/>
                <w:noProof/>
                <w:webHidden/>
              </w:rPr>
              <w:fldChar w:fldCharType="end"/>
            </w:r>
          </w:hyperlink>
        </w:p>
        <w:p w14:paraId="0247296C" w14:textId="36102DB9" w:rsidR="004C6E93" w:rsidRPr="00705B56" w:rsidRDefault="008D6BF0">
          <w:pPr>
            <w:pStyle w:val="TOC2"/>
            <w:tabs>
              <w:tab w:val="right" w:leader="dot" w:pos="10196"/>
            </w:tabs>
            <w:rPr>
              <w:rFonts w:ascii="Arial" w:hAnsi="Arial" w:cs="Arial"/>
              <w:noProof/>
              <w:sz w:val="24"/>
              <w:szCs w:val="24"/>
            </w:rPr>
          </w:pPr>
          <w:hyperlink w:anchor="_Toc211532721" w:history="1">
            <w:r w:rsidR="004C6E93" w:rsidRPr="00705B56">
              <w:rPr>
                <w:rStyle w:val="Hyperlink"/>
                <w:rFonts w:ascii="Arial" w:hAnsi="Arial" w:cs="Arial"/>
                <w:noProof/>
                <w:lang w:val="sq-AL"/>
              </w:rPr>
              <w:t>Përshtatja e sektorit të shëndetësisë dhe social</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_Toc211532721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114</w:t>
            </w:r>
            <w:r w:rsidR="004C6E93" w:rsidRPr="00705B56">
              <w:rPr>
                <w:rFonts w:ascii="Arial" w:hAnsi="Arial" w:cs="Arial"/>
                <w:noProof/>
                <w:webHidden/>
              </w:rPr>
              <w:fldChar w:fldCharType="end"/>
            </w:r>
          </w:hyperlink>
        </w:p>
        <w:p w14:paraId="7F0CB7AC" w14:textId="75ACD87A" w:rsidR="004C6E93" w:rsidRPr="00705B56" w:rsidRDefault="008D6BF0">
          <w:pPr>
            <w:pStyle w:val="TOC1"/>
            <w:tabs>
              <w:tab w:val="right" w:leader="dot" w:pos="10196"/>
            </w:tabs>
            <w:rPr>
              <w:rFonts w:ascii="Arial" w:hAnsi="Arial" w:cs="Arial"/>
              <w:noProof/>
              <w:sz w:val="24"/>
              <w:szCs w:val="24"/>
            </w:rPr>
          </w:pPr>
          <w:hyperlink w:anchor="_Toc211532722" w:history="1">
            <w:r w:rsidR="004C6E93" w:rsidRPr="00705B56">
              <w:rPr>
                <w:rStyle w:val="Hyperlink"/>
                <w:rFonts w:ascii="Arial" w:hAnsi="Arial" w:cs="Arial"/>
                <w:b/>
                <w:bCs/>
                <w:noProof/>
                <w:lang w:val="sq-AL"/>
              </w:rPr>
              <w:t>VII. NDIKIMI BUXHETOR I ZBATIMIT TË STRATEGJISË</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_Toc211532722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115</w:t>
            </w:r>
            <w:r w:rsidR="004C6E93" w:rsidRPr="00705B56">
              <w:rPr>
                <w:rFonts w:ascii="Arial" w:hAnsi="Arial" w:cs="Arial"/>
                <w:noProof/>
                <w:webHidden/>
              </w:rPr>
              <w:fldChar w:fldCharType="end"/>
            </w:r>
          </w:hyperlink>
        </w:p>
        <w:p w14:paraId="25EF3E78" w14:textId="40A0FA58" w:rsidR="004C6E93" w:rsidRPr="00705B56" w:rsidRDefault="008D6BF0">
          <w:pPr>
            <w:pStyle w:val="TOC2"/>
            <w:tabs>
              <w:tab w:val="right" w:leader="dot" w:pos="10196"/>
            </w:tabs>
            <w:rPr>
              <w:rFonts w:ascii="Arial" w:hAnsi="Arial" w:cs="Arial"/>
              <w:noProof/>
              <w:sz w:val="24"/>
              <w:szCs w:val="24"/>
            </w:rPr>
          </w:pPr>
          <w:hyperlink w:anchor="_Toc211532723" w:history="1">
            <w:r w:rsidR="004C6E93" w:rsidRPr="00705B56">
              <w:rPr>
                <w:rStyle w:val="Hyperlink"/>
                <w:rFonts w:ascii="Arial" w:hAnsi="Arial" w:cs="Arial"/>
                <w:noProof/>
                <w:lang w:val="sq-AL" w:eastAsia="es-ES"/>
              </w:rPr>
              <w:t>Vlerësimi i nevojave financiare për zbatimin e strategjisë</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_Toc211532723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116</w:t>
            </w:r>
            <w:r w:rsidR="004C6E93" w:rsidRPr="00705B56">
              <w:rPr>
                <w:rFonts w:ascii="Arial" w:hAnsi="Arial" w:cs="Arial"/>
                <w:noProof/>
                <w:webHidden/>
              </w:rPr>
              <w:fldChar w:fldCharType="end"/>
            </w:r>
          </w:hyperlink>
        </w:p>
        <w:p w14:paraId="663C4B3F" w14:textId="6C46EFE2" w:rsidR="004C6E93" w:rsidRPr="00705B56" w:rsidRDefault="008D6BF0">
          <w:pPr>
            <w:pStyle w:val="TOC2"/>
            <w:tabs>
              <w:tab w:val="right" w:leader="dot" w:pos="10196"/>
            </w:tabs>
            <w:rPr>
              <w:rFonts w:ascii="Arial" w:hAnsi="Arial" w:cs="Arial"/>
              <w:noProof/>
              <w:sz w:val="24"/>
              <w:szCs w:val="24"/>
            </w:rPr>
          </w:pPr>
          <w:hyperlink w:anchor="_Toc211532724" w:history="1">
            <w:r w:rsidR="004C6E93" w:rsidRPr="00705B56">
              <w:rPr>
                <w:rStyle w:val="Hyperlink"/>
                <w:rFonts w:ascii="Arial" w:hAnsi="Arial" w:cs="Arial"/>
                <w:noProof/>
                <w:lang w:val="sq-AL" w:eastAsia="es-ES"/>
              </w:rPr>
              <w:t>Mjetet e zbatimit: burimet e mundshme të financimit dhe instrumentet</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_Toc211532724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116</w:t>
            </w:r>
            <w:r w:rsidR="004C6E93" w:rsidRPr="00705B56">
              <w:rPr>
                <w:rFonts w:ascii="Arial" w:hAnsi="Arial" w:cs="Arial"/>
                <w:noProof/>
                <w:webHidden/>
              </w:rPr>
              <w:fldChar w:fldCharType="end"/>
            </w:r>
          </w:hyperlink>
        </w:p>
        <w:p w14:paraId="321F9EEE" w14:textId="209CED17" w:rsidR="004C6E93" w:rsidRPr="00705B56" w:rsidRDefault="008D6BF0">
          <w:pPr>
            <w:pStyle w:val="TOC1"/>
            <w:tabs>
              <w:tab w:val="right" w:leader="dot" w:pos="10196"/>
            </w:tabs>
            <w:rPr>
              <w:rFonts w:ascii="Arial" w:hAnsi="Arial" w:cs="Arial"/>
              <w:noProof/>
              <w:sz w:val="24"/>
              <w:szCs w:val="24"/>
            </w:rPr>
          </w:pPr>
          <w:hyperlink w:anchor="_Toc211532725" w:history="1">
            <w:r w:rsidR="004C6E93" w:rsidRPr="00705B56">
              <w:rPr>
                <w:rStyle w:val="Hyperlink"/>
                <w:rFonts w:ascii="Arial" w:hAnsi="Arial" w:cs="Arial"/>
                <w:noProof/>
                <w:lang w:val="sq-AL"/>
              </w:rPr>
              <w:t>Shtojca I: Plani i veprimit për menaxhimin e resurseve ujore -  VËREJTE -Analiza Financiare nuk është përfundimtare</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_Toc211532725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126</w:t>
            </w:r>
            <w:r w:rsidR="004C6E93" w:rsidRPr="00705B56">
              <w:rPr>
                <w:rFonts w:ascii="Arial" w:hAnsi="Arial" w:cs="Arial"/>
                <w:noProof/>
                <w:webHidden/>
              </w:rPr>
              <w:fldChar w:fldCharType="end"/>
            </w:r>
          </w:hyperlink>
        </w:p>
        <w:p w14:paraId="0220F1A6" w14:textId="1F413CD8" w:rsidR="004C6E93" w:rsidRPr="00705B56" w:rsidRDefault="008D6BF0">
          <w:pPr>
            <w:pStyle w:val="TOC1"/>
            <w:tabs>
              <w:tab w:val="right" w:leader="dot" w:pos="10196"/>
            </w:tabs>
            <w:rPr>
              <w:rFonts w:ascii="Arial" w:hAnsi="Arial" w:cs="Arial"/>
              <w:noProof/>
              <w:sz w:val="24"/>
              <w:szCs w:val="24"/>
            </w:rPr>
          </w:pPr>
          <w:hyperlink w:anchor="_Toc211532726" w:history="1">
            <w:r w:rsidR="004C6E93" w:rsidRPr="00705B56">
              <w:rPr>
                <w:rStyle w:val="Hyperlink"/>
                <w:rFonts w:ascii="Arial" w:hAnsi="Arial" w:cs="Arial"/>
                <w:noProof/>
                <w:lang w:val="sq-AL"/>
              </w:rPr>
              <w:t>Shtojca II: Plani i Veprimit për Sektorin e Energjisë</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_Toc211532726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139</w:t>
            </w:r>
            <w:r w:rsidR="004C6E93" w:rsidRPr="00705B56">
              <w:rPr>
                <w:rFonts w:ascii="Arial" w:hAnsi="Arial" w:cs="Arial"/>
                <w:noProof/>
                <w:webHidden/>
              </w:rPr>
              <w:fldChar w:fldCharType="end"/>
            </w:r>
          </w:hyperlink>
        </w:p>
        <w:p w14:paraId="44E310F8" w14:textId="2762E77F" w:rsidR="004C6E93" w:rsidRPr="00705B56" w:rsidRDefault="008D6BF0">
          <w:pPr>
            <w:pStyle w:val="TOC1"/>
            <w:tabs>
              <w:tab w:val="right" w:leader="dot" w:pos="10196"/>
            </w:tabs>
            <w:rPr>
              <w:rFonts w:ascii="Arial" w:hAnsi="Arial" w:cs="Arial"/>
              <w:noProof/>
              <w:sz w:val="24"/>
              <w:szCs w:val="24"/>
            </w:rPr>
          </w:pPr>
          <w:hyperlink w:anchor="_Toc211532727" w:history="1">
            <w:r w:rsidR="004C6E93" w:rsidRPr="00705B56">
              <w:rPr>
                <w:rStyle w:val="Hyperlink"/>
                <w:rFonts w:ascii="Arial" w:hAnsi="Arial" w:cs="Arial"/>
                <w:b/>
                <w:bCs/>
                <w:noProof/>
                <w:lang w:val="sq-AL"/>
              </w:rPr>
              <w:t>Shtojca III: Plani i Veprimit për Përshtatjen e Sektorit të Bujqësisë dhe Pylltarisë</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_Toc211532727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155</w:t>
            </w:r>
            <w:r w:rsidR="004C6E93" w:rsidRPr="00705B56">
              <w:rPr>
                <w:rFonts w:ascii="Arial" w:hAnsi="Arial" w:cs="Arial"/>
                <w:noProof/>
                <w:webHidden/>
              </w:rPr>
              <w:fldChar w:fldCharType="end"/>
            </w:r>
          </w:hyperlink>
        </w:p>
        <w:p w14:paraId="560EE59E" w14:textId="76ED17B4" w:rsidR="004C6E93" w:rsidRPr="00705B56" w:rsidRDefault="008D6BF0">
          <w:pPr>
            <w:pStyle w:val="TOC1"/>
            <w:tabs>
              <w:tab w:val="right" w:leader="dot" w:pos="10196"/>
            </w:tabs>
            <w:rPr>
              <w:rFonts w:ascii="Arial" w:hAnsi="Arial" w:cs="Arial"/>
              <w:noProof/>
              <w:sz w:val="24"/>
              <w:szCs w:val="24"/>
            </w:rPr>
          </w:pPr>
          <w:hyperlink w:anchor="_Toc211532728" w:history="1">
            <w:r w:rsidR="004C6E93" w:rsidRPr="00705B56">
              <w:rPr>
                <w:rStyle w:val="Hyperlink"/>
                <w:rFonts w:ascii="Arial" w:hAnsi="Arial" w:cs="Arial"/>
                <w:b/>
                <w:bCs/>
                <w:noProof/>
                <w:lang w:val="sq-AL"/>
              </w:rPr>
              <w:t>Shtojca IV: Plani i Veprimit për Përshtatjen e Sektorit të Shëndetësisë dhe Social</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_Toc211532728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168</w:t>
            </w:r>
            <w:r w:rsidR="004C6E93" w:rsidRPr="00705B56">
              <w:rPr>
                <w:rFonts w:ascii="Arial" w:hAnsi="Arial" w:cs="Arial"/>
                <w:noProof/>
                <w:webHidden/>
              </w:rPr>
              <w:fldChar w:fldCharType="end"/>
            </w:r>
          </w:hyperlink>
        </w:p>
        <w:p w14:paraId="5EF0BD53" w14:textId="148BC1FB" w:rsidR="009E0311" w:rsidRPr="00705B56" w:rsidRDefault="00492F15" w:rsidP="00BA67DD">
          <w:pPr>
            <w:rPr>
              <w:rFonts w:ascii="Arial" w:hAnsi="Arial" w:cs="Arial"/>
              <w:lang w:val="sq-AL"/>
            </w:rPr>
          </w:pPr>
          <w:r w:rsidRPr="00705B56">
            <w:rPr>
              <w:rFonts w:ascii="Arial" w:hAnsi="Arial" w:cs="Arial"/>
              <w:b/>
              <w:bCs/>
              <w:sz w:val="20"/>
              <w:szCs w:val="20"/>
              <w:lang w:val="sq-AL"/>
            </w:rPr>
            <w:fldChar w:fldCharType="end"/>
          </w:r>
        </w:p>
      </w:sdtContent>
    </w:sdt>
    <w:p w14:paraId="5620E431" w14:textId="77777777" w:rsidR="000B25F0" w:rsidRPr="00705B56" w:rsidRDefault="000B25F0">
      <w:pPr>
        <w:spacing w:before="0" w:line="278" w:lineRule="auto"/>
        <w:rPr>
          <w:rFonts w:ascii="Arial" w:eastAsiaTheme="majorEastAsia" w:hAnsi="Arial" w:cs="Arial"/>
          <w:b/>
          <w:bCs/>
          <w:color w:val="22635D"/>
          <w:kern w:val="0"/>
          <w:sz w:val="32"/>
          <w:szCs w:val="32"/>
          <w:lang w:val="sq-AL" w:eastAsia="es-ES"/>
          <w14:ligatures w14:val="none"/>
        </w:rPr>
      </w:pPr>
      <w:r w:rsidRPr="00705B56">
        <w:rPr>
          <w:rFonts w:ascii="Arial" w:hAnsi="Arial" w:cs="Arial"/>
          <w:b/>
          <w:bCs/>
          <w:color w:val="22635D"/>
          <w:lang w:val="sq-AL"/>
        </w:rPr>
        <w:br w:type="page"/>
      </w:r>
    </w:p>
    <w:p w14:paraId="23187F99" w14:textId="096A8A97" w:rsidR="00384CD1" w:rsidRPr="00705B56" w:rsidRDefault="00384CD1" w:rsidP="00384CD1">
      <w:pPr>
        <w:pStyle w:val="TOCHeading"/>
        <w:rPr>
          <w:rFonts w:ascii="Arial" w:hAnsi="Arial" w:cs="Arial"/>
          <w:b/>
          <w:bCs/>
          <w:color w:val="22635D"/>
          <w:lang w:val="sq-AL"/>
        </w:rPr>
      </w:pPr>
      <w:r w:rsidRPr="00705B56">
        <w:rPr>
          <w:rFonts w:ascii="Arial" w:hAnsi="Arial" w:cs="Arial"/>
          <w:b/>
          <w:bCs/>
          <w:color w:val="22635D"/>
          <w:lang w:val="sq-AL"/>
        </w:rPr>
        <w:lastRenderedPageBreak/>
        <w:t>FIGUR</w:t>
      </w:r>
      <w:r w:rsidR="004C4BEF" w:rsidRPr="00705B56">
        <w:rPr>
          <w:rFonts w:ascii="Arial" w:hAnsi="Arial" w:cs="Arial"/>
          <w:b/>
          <w:bCs/>
          <w:color w:val="22635D"/>
          <w:lang w:val="sq-AL"/>
        </w:rPr>
        <w:t>AT</w:t>
      </w:r>
    </w:p>
    <w:p w14:paraId="23DC9B8B" w14:textId="77777777" w:rsidR="004C6E93" w:rsidRPr="00705B56" w:rsidRDefault="00384CD1" w:rsidP="004C6E93">
      <w:pPr>
        <w:pStyle w:val="TableofFigures"/>
        <w:tabs>
          <w:tab w:val="right" w:leader="dot" w:pos="10196"/>
        </w:tabs>
        <w:spacing w:before="0" w:line="240" w:lineRule="auto"/>
        <w:rPr>
          <w:rFonts w:ascii="Arial" w:hAnsi="Arial" w:cs="Arial"/>
          <w:noProof/>
        </w:rPr>
      </w:pPr>
      <w:r w:rsidRPr="00705B56">
        <w:rPr>
          <w:rFonts w:ascii="Arial" w:hAnsi="Arial" w:cs="Arial"/>
          <w:b/>
          <w:bCs/>
          <w:sz w:val="20"/>
          <w:szCs w:val="20"/>
          <w:lang w:val="sq-AL"/>
        </w:rPr>
        <w:fldChar w:fldCharType="begin"/>
      </w:r>
      <w:r w:rsidRPr="00705B56">
        <w:rPr>
          <w:rFonts w:ascii="Arial" w:hAnsi="Arial" w:cs="Arial"/>
          <w:b/>
          <w:bCs/>
          <w:sz w:val="20"/>
          <w:szCs w:val="20"/>
          <w:lang w:val="sq-AL"/>
        </w:rPr>
        <w:instrText xml:space="preserve"> TOC \h \z \c "Figure" </w:instrText>
      </w:r>
      <w:r w:rsidRPr="00705B56">
        <w:rPr>
          <w:rFonts w:ascii="Arial" w:hAnsi="Arial" w:cs="Arial"/>
          <w:b/>
          <w:bCs/>
          <w:sz w:val="20"/>
          <w:szCs w:val="20"/>
          <w:lang w:val="sq-AL"/>
        </w:rPr>
        <w:fldChar w:fldCharType="end"/>
      </w:r>
      <w:r w:rsidR="00452C67" w:rsidRPr="00705B56">
        <w:rPr>
          <w:rFonts w:ascii="Arial" w:hAnsi="Arial" w:cs="Arial"/>
          <w:b/>
          <w:bCs/>
          <w:sz w:val="20"/>
          <w:szCs w:val="20"/>
          <w:lang w:val="sq-AL"/>
        </w:rPr>
        <w:fldChar w:fldCharType="begin"/>
      </w:r>
      <w:r w:rsidR="00452C67" w:rsidRPr="00705B56">
        <w:rPr>
          <w:rFonts w:ascii="Arial" w:hAnsi="Arial" w:cs="Arial"/>
          <w:b/>
          <w:bCs/>
          <w:sz w:val="20"/>
          <w:szCs w:val="20"/>
          <w:lang w:val="sq-AL"/>
        </w:rPr>
        <w:instrText xml:space="preserve"> TOC \h \z \c "Figura" </w:instrText>
      </w:r>
      <w:r w:rsidR="00452C67" w:rsidRPr="00705B56">
        <w:rPr>
          <w:rFonts w:ascii="Arial" w:hAnsi="Arial" w:cs="Arial"/>
          <w:b/>
          <w:bCs/>
          <w:sz w:val="20"/>
          <w:szCs w:val="20"/>
          <w:lang w:val="sq-AL"/>
        </w:rPr>
        <w:fldChar w:fldCharType="separate"/>
      </w:r>
    </w:p>
    <w:p w14:paraId="6147F22B" w14:textId="46C72F91"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02" w:history="1">
        <w:r w:rsidR="004C6E93" w:rsidRPr="00705B56">
          <w:rPr>
            <w:rStyle w:val="Hyperlink"/>
            <w:rFonts w:ascii="Arial" w:hAnsi="Arial" w:cs="Arial"/>
            <w:i/>
            <w:iCs/>
            <w:noProof/>
            <w:sz w:val="20"/>
            <w:szCs w:val="20"/>
          </w:rPr>
          <w:t>Figura 1. Parimet udhëzuese. Burimi: Climate-ADAPT, 2024.</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_Toc211532602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12</w:t>
        </w:r>
        <w:r w:rsidR="004C6E93" w:rsidRPr="00705B56">
          <w:rPr>
            <w:rFonts w:ascii="Arial" w:hAnsi="Arial" w:cs="Arial"/>
            <w:i/>
            <w:iCs/>
            <w:noProof/>
            <w:webHidden/>
            <w:sz w:val="20"/>
            <w:szCs w:val="20"/>
          </w:rPr>
          <w:fldChar w:fldCharType="end"/>
        </w:r>
      </w:hyperlink>
    </w:p>
    <w:p w14:paraId="20225130" w14:textId="49468A0E"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03" w:history="1">
        <w:r w:rsidR="004C6E93" w:rsidRPr="00705B56">
          <w:rPr>
            <w:rStyle w:val="Hyperlink"/>
            <w:rFonts w:ascii="Arial" w:hAnsi="Arial" w:cs="Arial"/>
            <w:i/>
            <w:iCs/>
            <w:noProof/>
            <w:sz w:val="20"/>
            <w:szCs w:val="20"/>
          </w:rPr>
          <w:t>Figura 2. Përcaktimi i rrezikut. Burimi: modifikuar nga IPCC (2014).</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_Toc211532603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15</w:t>
        </w:r>
        <w:r w:rsidR="004C6E93" w:rsidRPr="00705B56">
          <w:rPr>
            <w:rFonts w:ascii="Arial" w:hAnsi="Arial" w:cs="Arial"/>
            <w:i/>
            <w:iCs/>
            <w:noProof/>
            <w:webHidden/>
            <w:sz w:val="20"/>
            <w:szCs w:val="20"/>
          </w:rPr>
          <w:fldChar w:fldCharType="end"/>
        </w:r>
      </w:hyperlink>
    </w:p>
    <w:p w14:paraId="5F9151B0" w14:textId="3CAE78AA"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04" w:history="1">
        <w:r w:rsidR="004C6E93" w:rsidRPr="00705B56">
          <w:rPr>
            <w:rStyle w:val="Hyperlink"/>
            <w:rFonts w:ascii="Arial" w:hAnsi="Arial" w:cs="Arial"/>
            <w:i/>
            <w:iCs/>
            <w:noProof/>
            <w:sz w:val="20"/>
            <w:szCs w:val="20"/>
          </w:rPr>
          <w:t>Figura 3. Marrëdhënia midis ndryshimeve socio-ekonomike, emetimeve të gazrave serrë, ndryshimeve klimatike dhe rreziqeve të lidhura bazuar në skenarë të ndryshëm të emetimeve. Burimi: IPCC (2023)</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_Toc211532604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17</w:t>
        </w:r>
        <w:r w:rsidR="004C6E93" w:rsidRPr="00705B56">
          <w:rPr>
            <w:rFonts w:ascii="Arial" w:hAnsi="Arial" w:cs="Arial"/>
            <w:i/>
            <w:iCs/>
            <w:noProof/>
            <w:webHidden/>
            <w:sz w:val="20"/>
            <w:szCs w:val="20"/>
          </w:rPr>
          <w:fldChar w:fldCharType="end"/>
        </w:r>
      </w:hyperlink>
    </w:p>
    <w:p w14:paraId="64F7B011" w14:textId="21050024"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05" w:history="1">
        <w:r w:rsidR="004C6E93" w:rsidRPr="00705B56">
          <w:rPr>
            <w:rStyle w:val="Hyperlink"/>
            <w:rFonts w:ascii="Arial" w:hAnsi="Arial" w:cs="Arial"/>
            <w:i/>
            <w:iCs/>
            <w:noProof/>
            <w:sz w:val="20"/>
            <w:szCs w:val="20"/>
          </w:rPr>
          <w:t>Figura 4. Zinxhiri i Ndikimit të Përgjithshëm.Burimi: MMPHI, 2025.</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_Toc211532605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18</w:t>
        </w:r>
        <w:r w:rsidR="004C6E93" w:rsidRPr="00705B56">
          <w:rPr>
            <w:rFonts w:ascii="Arial" w:hAnsi="Arial" w:cs="Arial"/>
            <w:i/>
            <w:iCs/>
            <w:noProof/>
            <w:webHidden/>
            <w:sz w:val="20"/>
            <w:szCs w:val="20"/>
          </w:rPr>
          <w:fldChar w:fldCharType="end"/>
        </w:r>
      </w:hyperlink>
    </w:p>
    <w:p w14:paraId="0D2A61EF" w14:textId="3EF54877"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06" w:history="1">
        <w:r w:rsidR="004C6E93" w:rsidRPr="00705B56">
          <w:rPr>
            <w:rStyle w:val="Hyperlink"/>
            <w:rFonts w:ascii="Arial" w:hAnsi="Arial" w:cs="Arial"/>
            <w:i/>
            <w:iCs/>
            <w:noProof/>
            <w:sz w:val="20"/>
            <w:szCs w:val="20"/>
          </w:rPr>
          <w:t>Figura 5. Pellgjet e Lumenjve të Kosovës.</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_Toc211532606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22</w:t>
        </w:r>
        <w:r w:rsidR="004C6E93" w:rsidRPr="00705B56">
          <w:rPr>
            <w:rFonts w:ascii="Arial" w:hAnsi="Arial" w:cs="Arial"/>
            <w:i/>
            <w:iCs/>
            <w:noProof/>
            <w:webHidden/>
            <w:sz w:val="20"/>
            <w:szCs w:val="20"/>
          </w:rPr>
          <w:fldChar w:fldCharType="end"/>
        </w:r>
      </w:hyperlink>
    </w:p>
    <w:p w14:paraId="2DFBB490" w14:textId="3E1AF42A"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07" w:history="1">
        <w:r w:rsidR="004C6E93" w:rsidRPr="00705B56">
          <w:rPr>
            <w:rStyle w:val="Hyperlink"/>
            <w:rFonts w:ascii="Arial" w:hAnsi="Arial" w:cs="Arial"/>
            <w:i/>
            <w:iCs/>
            <w:noProof/>
            <w:sz w:val="20"/>
            <w:szCs w:val="20"/>
          </w:rPr>
          <w:t>Figura 6. Ndryshimi në shpërndarjen e temperaturës mesatare të ajrit sipërfaqësor në Kosovë, e rritur me afërsisht 1.2°C gjatë disa dekadave të fundit. Burimi: Climate Change Knowledge Portal, World Bank (Portali i Njohurive për Ndryshimet Klimatike, Banka Botërore).</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_Toc211532607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23</w:t>
        </w:r>
        <w:r w:rsidR="004C6E93" w:rsidRPr="00705B56">
          <w:rPr>
            <w:rFonts w:ascii="Arial" w:hAnsi="Arial" w:cs="Arial"/>
            <w:i/>
            <w:iCs/>
            <w:noProof/>
            <w:webHidden/>
            <w:sz w:val="20"/>
            <w:szCs w:val="20"/>
          </w:rPr>
          <w:fldChar w:fldCharType="end"/>
        </w:r>
      </w:hyperlink>
    </w:p>
    <w:p w14:paraId="2C4ACEA2" w14:textId="7A4FBE1A"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08" w:history="1">
        <w:r w:rsidR="004C6E93" w:rsidRPr="00705B56">
          <w:rPr>
            <w:rStyle w:val="Hyperlink"/>
            <w:rFonts w:ascii="Arial" w:hAnsi="Arial" w:cs="Arial"/>
            <w:i/>
            <w:iCs/>
            <w:noProof/>
            <w:sz w:val="20"/>
            <w:szCs w:val="20"/>
          </w:rPr>
          <w:t>Figura 7. Harta e ndjeshmërisë ndaj rrëshqitjeve të tokës. Burimi: MMPHI, 2025; Harta Evropiane e Ndjeshmërisë ndaj Rrëshqitjeve të Tokës V2 (ELSUS v2), Komisioni Evropian - Qendra e Përbashkët e Kërkimeve (BE/JRC).</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_Toc211532608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26</w:t>
        </w:r>
        <w:r w:rsidR="004C6E93" w:rsidRPr="00705B56">
          <w:rPr>
            <w:rFonts w:ascii="Arial" w:hAnsi="Arial" w:cs="Arial"/>
            <w:i/>
            <w:iCs/>
            <w:noProof/>
            <w:webHidden/>
            <w:sz w:val="20"/>
            <w:szCs w:val="20"/>
          </w:rPr>
          <w:fldChar w:fldCharType="end"/>
        </w:r>
      </w:hyperlink>
    </w:p>
    <w:p w14:paraId="4CE5D9EB" w14:textId="209E1D6B"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09" w:history="1">
        <w:r w:rsidR="004C6E93" w:rsidRPr="00705B56">
          <w:rPr>
            <w:rStyle w:val="Hyperlink"/>
            <w:rFonts w:ascii="Arial" w:hAnsi="Arial" w:cs="Arial"/>
            <w:i/>
            <w:iCs/>
            <w:noProof/>
            <w:sz w:val="20"/>
            <w:szCs w:val="20"/>
          </w:rPr>
          <w:t>Figura 8. “Vija ngrohëse” për Kosovën</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_Toc211532609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26</w:t>
        </w:r>
        <w:r w:rsidR="004C6E93" w:rsidRPr="00705B56">
          <w:rPr>
            <w:rFonts w:ascii="Arial" w:hAnsi="Arial" w:cs="Arial"/>
            <w:i/>
            <w:iCs/>
            <w:noProof/>
            <w:webHidden/>
            <w:sz w:val="20"/>
            <w:szCs w:val="20"/>
          </w:rPr>
          <w:fldChar w:fldCharType="end"/>
        </w:r>
      </w:hyperlink>
    </w:p>
    <w:p w14:paraId="28E5E7A3" w14:textId="6DF9BB94"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10" w:history="1">
        <w:r w:rsidR="004C6E93" w:rsidRPr="00705B56">
          <w:rPr>
            <w:rStyle w:val="Hyperlink"/>
            <w:rFonts w:ascii="Arial" w:hAnsi="Arial" w:cs="Arial"/>
            <w:i/>
            <w:iCs/>
            <w:noProof/>
            <w:sz w:val="20"/>
            <w:szCs w:val="20"/>
          </w:rPr>
          <w:t xml:space="preserve">Figura 9. Harta e Rrezikut nga Përmbytjet: </w:t>
        </w:r>
        <w:r w:rsidR="004C6E93" w:rsidRPr="00705B56">
          <w:rPr>
            <w:rStyle w:val="Hyperlink"/>
            <w:rFonts w:ascii="Arial" w:hAnsi="Arial" w:cs="Arial"/>
            <w:i/>
            <w:iCs/>
            <w:noProof/>
            <w:sz w:val="20"/>
            <w:szCs w:val="20"/>
            <w:lang w:val="es-ES"/>
          </w:rPr>
          <w:t>Burimi: Nimani, A., Muzaqi, D., &amp; Idrizi, B. (2024). Identifikimi dhe hartëzimi i zonave potencialisht të prirura ndaj përmbytjeve duke përdorur vendimmarrje shumëkriterëshe të bazuar në GIS dhe procesin e hierarkisë analitike për territorin e Kosovës.</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_Toc211532610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28</w:t>
        </w:r>
        <w:r w:rsidR="004C6E93" w:rsidRPr="00705B56">
          <w:rPr>
            <w:rFonts w:ascii="Arial" w:hAnsi="Arial" w:cs="Arial"/>
            <w:i/>
            <w:iCs/>
            <w:noProof/>
            <w:webHidden/>
            <w:sz w:val="20"/>
            <w:szCs w:val="20"/>
          </w:rPr>
          <w:fldChar w:fldCharType="end"/>
        </w:r>
      </w:hyperlink>
    </w:p>
    <w:p w14:paraId="16F414D6" w14:textId="296A4C31"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11" w:history="1">
        <w:r w:rsidR="004C6E93" w:rsidRPr="00705B56">
          <w:rPr>
            <w:rStyle w:val="Hyperlink"/>
            <w:rFonts w:ascii="Arial" w:hAnsi="Arial" w:cs="Arial"/>
            <w:i/>
            <w:iCs/>
            <w:noProof/>
            <w:sz w:val="20"/>
            <w:szCs w:val="20"/>
          </w:rPr>
          <w:t>Figura 10. Harta e popullsisë së prekur në skenarin e përmbytjeve me probabilitet të lartë. Burimi: MMPHI, WBIF, IPF11</w:t>
        </w:r>
        <w:r w:rsidR="004C6E93" w:rsidRPr="00705B56">
          <w:rPr>
            <w:rStyle w:val="Hyperlink"/>
            <w:rFonts w:ascii="Arial" w:hAnsi="Arial" w:cs="Arial"/>
            <w:i/>
            <w:iCs/>
            <w:noProof/>
            <w:sz w:val="20"/>
            <w:szCs w:val="20"/>
            <w:lang w:val="sq-AL"/>
          </w:rPr>
          <w:t>..</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_Toc211532611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29</w:t>
        </w:r>
        <w:r w:rsidR="004C6E93" w:rsidRPr="00705B56">
          <w:rPr>
            <w:rFonts w:ascii="Arial" w:hAnsi="Arial" w:cs="Arial"/>
            <w:i/>
            <w:iCs/>
            <w:noProof/>
            <w:webHidden/>
            <w:sz w:val="20"/>
            <w:szCs w:val="20"/>
          </w:rPr>
          <w:fldChar w:fldCharType="end"/>
        </w:r>
      </w:hyperlink>
    </w:p>
    <w:p w14:paraId="2CD00732" w14:textId="52BE9D5C"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12" w:history="1">
        <w:r w:rsidR="004C6E93" w:rsidRPr="00705B56">
          <w:rPr>
            <w:rStyle w:val="Hyperlink"/>
            <w:rFonts w:ascii="Arial" w:hAnsi="Arial" w:cs="Arial"/>
            <w:i/>
            <w:iCs/>
            <w:noProof/>
            <w:sz w:val="20"/>
            <w:szCs w:val="20"/>
          </w:rPr>
          <w:t>Figura 11. Harta e popullsisë së prekur në skenarin e përmbytjeve me probabilitet të mesëm. Burimi: MMPHI, WBIF, IPF11</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_Toc211532612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29</w:t>
        </w:r>
        <w:r w:rsidR="004C6E93" w:rsidRPr="00705B56">
          <w:rPr>
            <w:rFonts w:ascii="Arial" w:hAnsi="Arial" w:cs="Arial"/>
            <w:i/>
            <w:iCs/>
            <w:noProof/>
            <w:webHidden/>
            <w:sz w:val="20"/>
            <w:szCs w:val="20"/>
          </w:rPr>
          <w:fldChar w:fldCharType="end"/>
        </w:r>
      </w:hyperlink>
    </w:p>
    <w:p w14:paraId="43B0DE82" w14:textId="3F45B875"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13" w:history="1">
        <w:r w:rsidR="004C6E93" w:rsidRPr="00705B56">
          <w:rPr>
            <w:rStyle w:val="Hyperlink"/>
            <w:rFonts w:ascii="Arial" w:hAnsi="Arial" w:cs="Arial"/>
            <w:i/>
            <w:iCs/>
            <w:noProof/>
            <w:sz w:val="20"/>
            <w:szCs w:val="20"/>
          </w:rPr>
          <w:t>Figura 12. Harta e popullsisë së prekur në skenarin e përmbytjeve me probabilitet të ulët. Burimi: MMPHI, WBIF, IPF11</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_Toc211532613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30</w:t>
        </w:r>
        <w:r w:rsidR="004C6E93" w:rsidRPr="00705B56">
          <w:rPr>
            <w:rFonts w:ascii="Arial" w:hAnsi="Arial" w:cs="Arial"/>
            <w:i/>
            <w:iCs/>
            <w:noProof/>
            <w:webHidden/>
            <w:sz w:val="20"/>
            <w:szCs w:val="20"/>
          </w:rPr>
          <w:fldChar w:fldCharType="end"/>
        </w:r>
      </w:hyperlink>
    </w:p>
    <w:p w14:paraId="7354F6CB" w14:textId="65032220"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14" w:history="1">
        <w:r w:rsidR="004C6E93" w:rsidRPr="00705B56">
          <w:rPr>
            <w:rStyle w:val="Hyperlink"/>
            <w:rFonts w:ascii="Arial" w:hAnsi="Arial" w:cs="Arial"/>
            <w:i/>
            <w:iCs/>
            <w:noProof/>
            <w:sz w:val="20"/>
            <w:szCs w:val="20"/>
          </w:rPr>
          <w:t>Figura 13. Harta e vlerës ekonomike të dëmeve (në euro) në skenarin e përmbytjeve me probabilitet të lartë. Burimi: MMPHI, WBIF, IPF11.</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_Toc211532614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31</w:t>
        </w:r>
        <w:r w:rsidR="004C6E93" w:rsidRPr="00705B56">
          <w:rPr>
            <w:rFonts w:ascii="Arial" w:hAnsi="Arial" w:cs="Arial"/>
            <w:i/>
            <w:iCs/>
            <w:noProof/>
            <w:webHidden/>
            <w:sz w:val="20"/>
            <w:szCs w:val="20"/>
          </w:rPr>
          <w:fldChar w:fldCharType="end"/>
        </w:r>
      </w:hyperlink>
    </w:p>
    <w:p w14:paraId="1D8CB439" w14:textId="0CB7C85B"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15" w:history="1">
        <w:r w:rsidR="004C6E93" w:rsidRPr="00705B56">
          <w:rPr>
            <w:rStyle w:val="Hyperlink"/>
            <w:rFonts w:ascii="Arial" w:hAnsi="Arial" w:cs="Arial"/>
            <w:i/>
            <w:iCs/>
            <w:noProof/>
            <w:sz w:val="20"/>
            <w:szCs w:val="20"/>
          </w:rPr>
          <w:t>Figura 14. Harta e vlerës ekonomike të dëmeve (në euro) në skenarin e përmbytjeve me probabilitet mesatar. Burimi: MMPHI, WBIF, IPF11.</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_Toc211532615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31</w:t>
        </w:r>
        <w:r w:rsidR="004C6E93" w:rsidRPr="00705B56">
          <w:rPr>
            <w:rFonts w:ascii="Arial" w:hAnsi="Arial" w:cs="Arial"/>
            <w:i/>
            <w:iCs/>
            <w:noProof/>
            <w:webHidden/>
            <w:sz w:val="20"/>
            <w:szCs w:val="20"/>
          </w:rPr>
          <w:fldChar w:fldCharType="end"/>
        </w:r>
      </w:hyperlink>
    </w:p>
    <w:p w14:paraId="39EAA688" w14:textId="3DAFF35C"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16" w:history="1">
        <w:r w:rsidR="004C6E93" w:rsidRPr="00705B56">
          <w:rPr>
            <w:rStyle w:val="Hyperlink"/>
            <w:rFonts w:ascii="Arial" w:hAnsi="Arial" w:cs="Arial"/>
            <w:i/>
            <w:iCs/>
            <w:noProof/>
            <w:sz w:val="20"/>
            <w:szCs w:val="20"/>
          </w:rPr>
          <w:t>Figura 15. Harta e vlerës ekonomike të dëmeve (në euro) në skenarin e përmbytjeve me probabilitet të ulët. Burimi: MMPHI, WBIF, IPF11.</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_Toc211532616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32</w:t>
        </w:r>
        <w:r w:rsidR="004C6E93" w:rsidRPr="00705B56">
          <w:rPr>
            <w:rFonts w:ascii="Arial" w:hAnsi="Arial" w:cs="Arial"/>
            <w:i/>
            <w:iCs/>
            <w:noProof/>
            <w:webHidden/>
            <w:sz w:val="20"/>
            <w:szCs w:val="20"/>
          </w:rPr>
          <w:fldChar w:fldCharType="end"/>
        </w:r>
      </w:hyperlink>
    </w:p>
    <w:p w14:paraId="7A036F3E" w14:textId="07D10885"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17" w:history="1">
        <w:r w:rsidR="004C6E93" w:rsidRPr="00705B56">
          <w:rPr>
            <w:rStyle w:val="Hyperlink"/>
            <w:rFonts w:ascii="Arial" w:hAnsi="Arial" w:cs="Arial"/>
            <w:i/>
            <w:iCs/>
            <w:noProof/>
            <w:sz w:val="20"/>
            <w:szCs w:val="20"/>
          </w:rPr>
          <w:t>Figura 16. Harta e popullsisë së prekur në skenarin e përmbytjeve sipas SCCA-së. Burimi: MMPHI, WBIF, IPF11.</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_Toc211532617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33</w:t>
        </w:r>
        <w:r w:rsidR="004C6E93" w:rsidRPr="00705B56">
          <w:rPr>
            <w:rFonts w:ascii="Arial" w:hAnsi="Arial" w:cs="Arial"/>
            <w:i/>
            <w:iCs/>
            <w:noProof/>
            <w:webHidden/>
            <w:sz w:val="20"/>
            <w:szCs w:val="20"/>
          </w:rPr>
          <w:fldChar w:fldCharType="end"/>
        </w:r>
      </w:hyperlink>
    </w:p>
    <w:p w14:paraId="70CF946F" w14:textId="396C3F84"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18" w:history="1">
        <w:r w:rsidR="004C6E93" w:rsidRPr="00705B56">
          <w:rPr>
            <w:rStyle w:val="Hyperlink"/>
            <w:rFonts w:ascii="Arial" w:hAnsi="Arial" w:cs="Arial"/>
            <w:i/>
            <w:iCs/>
            <w:noProof/>
            <w:sz w:val="20"/>
            <w:szCs w:val="20"/>
          </w:rPr>
          <w:t>Figura 17.  Harta e popullsisë së prekur në skenarin e përmbytjeve sipas SCCB-së. Burimi: MMPHI, WBIF, IPF11.</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_Toc211532618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33</w:t>
        </w:r>
        <w:r w:rsidR="004C6E93" w:rsidRPr="00705B56">
          <w:rPr>
            <w:rFonts w:ascii="Arial" w:hAnsi="Arial" w:cs="Arial"/>
            <w:i/>
            <w:iCs/>
            <w:noProof/>
            <w:webHidden/>
            <w:sz w:val="20"/>
            <w:szCs w:val="20"/>
          </w:rPr>
          <w:fldChar w:fldCharType="end"/>
        </w:r>
      </w:hyperlink>
    </w:p>
    <w:p w14:paraId="667E4A5A" w14:textId="5057E6D0"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19" w:history="1">
        <w:r w:rsidR="004C6E93" w:rsidRPr="00705B56">
          <w:rPr>
            <w:rStyle w:val="Hyperlink"/>
            <w:rFonts w:ascii="Arial" w:hAnsi="Arial" w:cs="Arial"/>
            <w:i/>
            <w:iCs/>
            <w:noProof/>
            <w:sz w:val="20"/>
            <w:szCs w:val="20"/>
          </w:rPr>
          <w:t>Figura 18. Harta e vlerës ekonomike të dëmeve (në euro) në skenarin e përmbytjeve sipas SCCA-së. Burimi: MMPHI, WBIF, IPF11.</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_Toc211532619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34</w:t>
        </w:r>
        <w:r w:rsidR="004C6E93" w:rsidRPr="00705B56">
          <w:rPr>
            <w:rFonts w:ascii="Arial" w:hAnsi="Arial" w:cs="Arial"/>
            <w:i/>
            <w:iCs/>
            <w:noProof/>
            <w:webHidden/>
            <w:sz w:val="20"/>
            <w:szCs w:val="20"/>
          </w:rPr>
          <w:fldChar w:fldCharType="end"/>
        </w:r>
      </w:hyperlink>
    </w:p>
    <w:p w14:paraId="15F74B6B" w14:textId="17B21C32"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20" w:history="1">
        <w:r w:rsidR="004C6E93" w:rsidRPr="00705B56">
          <w:rPr>
            <w:rStyle w:val="Hyperlink"/>
            <w:rFonts w:ascii="Arial" w:hAnsi="Arial" w:cs="Arial"/>
            <w:i/>
            <w:iCs/>
            <w:noProof/>
            <w:sz w:val="20"/>
            <w:szCs w:val="20"/>
          </w:rPr>
          <w:t>Figura 19. Harta e vlerës ekonomike të dëmeve (në euro) në skenarin e përmbytjeve sipas SCCB-së. Burimi: MMPHI, WBIF, IPF11.</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_Toc211532620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35</w:t>
        </w:r>
        <w:r w:rsidR="004C6E93" w:rsidRPr="00705B56">
          <w:rPr>
            <w:rFonts w:ascii="Arial" w:hAnsi="Arial" w:cs="Arial"/>
            <w:i/>
            <w:iCs/>
            <w:noProof/>
            <w:webHidden/>
            <w:sz w:val="20"/>
            <w:szCs w:val="20"/>
          </w:rPr>
          <w:fldChar w:fldCharType="end"/>
        </w:r>
      </w:hyperlink>
    </w:p>
    <w:p w14:paraId="4B1510DA" w14:textId="6EE06744"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21" w:history="1">
        <w:r w:rsidR="004C6E93" w:rsidRPr="00705B56">
          <w:rPr>
            <w:rStyle w:val="Hyperlink"/>
            <w:rFonts w:ascii="Arial" w:hAnsi="Arial" w:cs="Arial"/>
            <w:i/>
            <w:iCs/>
            <w:noProof/>
            <w:sz w:val="20"/>
            <w:szCs w:val="20"/>
          </w:rPr>
          <w:t>Figura 20. Dobësitë e mbivendosura në komunat e Kosovës. Burimi: Banka Botërore, GHS-POP R2023A, OpenStreetMap, JBA, CIMA, ELSUS v2</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_Toc211532621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37</w:t>
        </w:r>
        <w:r w:rsidR="004C6E93" w:rsidRPr="00705B56">
          <w:rPr>
            <w:rFonts w:ascii="Arial" w:hAnsi="Arial" w:cs="Arial"/>
            <w:i/>
            <w:iCs/>
            <w:noProof/>
            <w:webHidden/>
            <w:sz w:val="20"/>
            <w:szCs w:val="20"/>
          </w:rPr>
          <w:fldChar w:fldCharType="end"/>
        </w:r>
      </w:hyperlink>
    </w:p>
    <w:p w14:paraId="023451E4" w14:textId="724C1AD3"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22" w:history="1">
        <w:r w:rsidR="004C6E93" w:rsidRPr="00705B56">
          <w:rPr>
            <w:rStyle w:val="Hyperlink"/>
            <w:rFonts w:ascii="Arial" w:hAnsi="Arial" w:cs="Arial"/>
            <w:i/>
            <w:iCs/>
            <w:noProof/>
            <w:sz w:val="20"/>
            <w:szCs w:val="20"/>
          </w:rPr>
          <w:t>Figura 21. Shkalla e urbanizimit të komunave të Kosovës. Burimi: Banka Botërore, GHS-POP R2023A.</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_Toc211532622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38</w:t>
        </w:r>
        <w:r w:rsidR="004C6E93" w:rsidRPr="00705B56">
          <w:rPr>
            <w:rFonts w:ascii="Arial" w:hAnsi="Arial" w:cs="Arial"/>
            <w:i/>
            <w:iCs/>
            <w:noProof/>
            <w:webHidden/>
            <w:sz w:val="20"/>
            <w:szCs w:val="20"/>
          </w:rPr>
          <w:fldChar w:fldCharType="end"/>
        </w:r>
      </w:hyperlink>
    </w:p>
    <w:p w14:paraId="2C365160" w14:textId="6BF79CD2"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23" w:history="1">
        <w:r w:rsidR="004C6E93" w:rsidRPr="00705B56">
          <w:rPr>
            <w:rStyle w:val="Hyperlink"/>
            <w:rFonts w:ascii="Arial" w:hAnsi="Arial" w:cs="Arial"/>
            <w:i/>
            <w:iCs/>
            <w:noProof/>
            <w:sz w:val="20"/>
            <w:szCs w:val="20"/>
          </w:rPr>
          <w:t>Figura 22. Faktorët përcaktues të cenueshmërisë socioekonomike.  Burimi: Banka Botërore, MONSTAT, GHS-POP R2023A, OpenStreetMap.</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_Toc211532623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39</w:t>
        </w:r>
        <w:r w:rsidR="004C6E93" w:rsidRPr="00705B56">
          <w:rPr>
            <w:rFonts w:ascii="Arial" w:hAnsi="Arial" w:cs="Arial"/>
            <w:i/>
            <w:iCs/>
            <w:noProof/>
            <w:webHidden/>
            <w:sz w:val="20"/>
            <w:szCs w:val="20"/>
          </w:rPr>
          <w:fldChar w:fldCharType="end"/>
        </w:r>
      </w:hyperlink>
    </w:p>
    <w:p w14:paraId="3ADC9689" w14:textId="070C7CCE"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24" w:history="1">
        <w:r w:rsidR="004C6E93" w:rsidRPr="00705B56">
          <w:rPr>
            <w:rStyle w:val="Hyperlink"/>
            <w:rFonts w:ascii="Arial" w:hAnsi="Arial" w:cs="Arial"/>
            <w:i/>
            <w:iCs/>
            <w:noProof/>
            <w:sz w:val="20"/>
            <w:szCs w:val="20"/>
          </w:rPr>
          <w:t>Figura 23. Temperatura mesatare e parashikuar e sipërfaqes në Kosovë (periudha referuese 1995 – 2014). Burimi: MMPHI (2025) bazuar në NDC-në e Parë dhe Vullnetare të Kosovës - Banka Botërore. Portali i Njohurive për Ndryshimet Klimatike.</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_Toc211532624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40</w:t>
        </w:r>
        <w:r w:rsidR="004C6E93" w:rsidRPr="00705B56">
          <w:rPr>
            <w:rFonts w:ascii="Arial" w:hAnsi="Arial" w:cs="Arial"/>
            <w:i/>
            <w:iCs/>
            <w:noProof/>
            <w:webHidden/>
            <w:sz w:val="20"/>
            <w:szCs w:val="20"/>
          </w:rPr>
          <w:fldChar w:fldCharType="end"/>
        </w:r>
      </w:hyperlink>
    </w:p>
    <w:p w14:paraId="3B87DB43" w14:textId="3867B86A"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25" w:history="1">
        <w:r w:rsidR="004C6E93" w:rsidRPr="00705B56">
          <w:rPr>
            <w:rStyle w:val="Hyperlink"/>
            <w:rFonts w:ascii="Arial" w:hAnsi="Arial" w:cs="Arial"/>
            <w:i/>
            <w:iCs/>
            <w:noProof/>
            <w:sz w:val="20"/>
            <w:szCs w:val="20"/>
          </w:rPr>
          <w:t>Figura 24. Anomalia e ndryshimit të përqindjes së reshjeve të parashikuara për vitet 2080-2099 në Kosovë (periudha referuese 1950-2014). Burimi: MMPHI (2025) bazuar në NDC-në e Parë dhe Vullnetare të Kosovës - Banka Botërore. Portali i Njohurive për Ndryshimet Klimatike.</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_Toc211532625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40</w:t>
        </w:r>
        <w:r w:rsidR="004C6E93" w:rsidRPr="00705B56">
          <w:rPr>
            <w:rFonts w:ascii="Arial" w:hAnsi="Arial" w:cs="Arial"/>
            <w:i/>
            <w:iCs/>
            <w:noProof/>
            <w:webHidden/>
            <w:sz w:val="20"/>
            <w:szCs w:val="20"/>
          </w:rPr>
          <w:fldChar w:fldCharType="end"/>
        </w:r>
      </w:hyperlink>
    </w:p>
    <w:p w14:paraId="65F37CD8" w14:textId="59A36F91"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26" w:history="1">
        <w:r w:rsidR="004C6E93" w:rsidRPr="00705B56">
          <w:rPr>
            <w:rStyle w:val="Hyperlink"/>
            <w:rFonts w:ascii="Arial" w:hAnsi="Arial" w:cs="Arial"/>
            <w:i/>
            <w:iCs/>
            <w:noProof/>
            <w:sz w:val="20"/>
            <w:szCs w:val="20"/>
          </w:rPr>
          <w:t>Figura 25. Ndikimet e kombinuara ekonomike sipas skenarëve të rritjes trendore dhe optimiste sipas RCP 2.6, RCP 4.5 dhe RCP 8.5., pa investime në përshtatje (paneli i sipërm) dhe me investime në përshtatje (paneli i poshtëm). Burimi: Vlerësimet e Bankës Botërore me të dhëna nga JBA, IIASA dhe CIMA</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_Toc211532626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45</w:t>
        </w:r>
        <w:r w:rsidR="004C6E93" w:rsidRPr="00705B56">
          <w:rPr>
            <w:rFonts w:ascii="Arial" w:hAnsi="Arial" w:cs="Arial"/>
            <w:i/>
            <w:iCs/>
            <w:noProof/>
            <w:webHidden/>
            <w:sz w:val="20"/>
            <w:szCs w:val="20"/>
          </w:rPr>
          <w:fldChar w:fldCharType="end"/>
        </w:r>
      </w:hyperlink>
    </w:p>
    <w:p w14:paraId="49094CB3" w14:textId="76FB6172"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27" w:history="1">
        <w:r w:rsidR="004C6E93" w:rsidRPr="00705B56">
          <w:rPr>
            <w:rStyle w:val="Hyperlink"/>
            <w:rFonts w:ascii="Arial" w:hAnsi="Arial" w:cs="Arial"/>
            <w:i/>
            <w:iCs/>
            <w:noProof/>
            <w:sz w:val="20"/>
            <w:szCs w:val="20"/>
          </w:rPr>
          <w:t>Figura 26. Zinxhiri i ndikimit për sektorin e Menaxhimit të Burimeve Ujore. Burimi: MMPHI, 2025.</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_Toc211532627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49</w:t>
        </w:r>
        <w:r w:rsidR="004C6E93" w:rsidRPr="00705B56">
          <w:rPr>
            <w:rFonts w:ascii="Arial" w:hAnsi="Arial" w:cs="Arial"/>
            <w:i/>
            <w:iCs/>
            <w:noProof/>
            <w:webHidden/>
            <w:sz w:val="20"/>
            <w:szCs w:val="20"/>
          </w:rPr>
          <w:fldChar w:fldCharType="end"/>
        </w:r>
      </w:hyperlink>
    </w:p>
    <w:p w14:paraId="04D04DE4" w14:textId="4BDED826"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28" w:history="1">
        <w:r w:rsidR="004C6E93" w:rsidRPr="00705B56">
          <w:rPr>
            <w:rStyle w:val="Hyperlink"/>
            <w:rFonts w:ascii="Arial" w:hAnsi="Arial" w:cs="Arial"/>
            <w:i/>
            <w:iCs/>
            <w:noProof/>
            <w:sz w:val="20"/>
            <w:szCs w:val="20"/>
          </w:rPr>
          <w:t>Figura 27. Zinxhiri i ndikimit për sektorin e energjisë. Burimi: MMPHI, 2025</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_Toc211532628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64</w:t>
        </w:r>
        <w:r w:rsidR="004C6E93" w:rsidRPr="00705B56">
          <w:rPr>
            <w:rFonts w:ascii="Arial" w:hAnsi="Arial" w:cs="Arial"/>
            <w:i/>
            <w:iCs/>
            <w:noProof/>
            <w:webHidden/>
            <w:sz w:val="20"/>
            <w:szCs w:val="20"/>
          </w:rPr>
          <w:fldChar w:fldCharType="end"/>
        </w:r>
      </w:hyperlink>
    </w:p>
    <w:p w14:paraId="4648D5A8" w14:textId="6ED45B0E"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29" w:history="1">
        <w:r w:rsidR="004C6E93" w:rsidRPr="00705B56">
          <w:rPr>
            <w:rStyle w:val="Hyperlink"/>
            <w:rFonts w:ascii="Arial" w:hAnsi="Arial" w:cs="Arial"/>
            <w:i/>
            <w:iCs/>
            <w:noProof/>
            <w:sz w:val="20"/>
            <w:szCs w:val="20"/>
          </w:rPr>
          <w:t>Figura 28. Zinxhiri i ndikimit për sektorin e bujqësisë. Burimi: MMPHI, 2025.</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_Toc211532629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75</w:t>
        </w:r>
        <w:r w:rsidR="004C6E93" w:rsidRPr="00705B56">
          <w:rPr>
            <w:rFonts w:ascii="Arial" w:hAnsi="Arial" w:cs="Arial"/>
            <w:i/>
            <w:iCs/>
            <w:noProof/>
            <w:webHidden/>
            <w:sz w:val="20"/>
            <w:szCs w:val="20"/>
          </w:rPr>
          <w:fldChar w:fldCharType="end"/>
        </w:r>
      </w:hyperlink>
    </w:p>
    <w:p w14:paraId="73395FDA" w14:textId="5A20FF80"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30" w:history="1">
        <w:r w:rsidR="004C6E93" w:rsidRPr="00705B56">
          <w:rPr>
            <w:rStyle w:val="Hyperlink"/>
            <w:rFonts w:ascii="Arial" w:hAnsi="Arial" w:cs="Arial"/>
            <w:i/>
            <w:iCs/>
            <w:noProof/>
            <w:sz w:val="20"/>
            <w:szCs w:val="20"/>
          </w:rPr>
          <w:t>Figura 29. Zinxhiri i ndikimit për sektorin e Pylltarisë. Burimi: MMPHI, 2025.</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_Toc211532630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76</w:t>
        </w:r>
        <w:r w:rsidR="004C6E93" w:rsidRPr="00705B56">
          <w:rPr>
            <w:rFonts w:ascii="Arial" w:hAnsi="Arial" w:cs="Arial"/>
            <w:i/>
            <w:iCs/>
            <w:noProof/>
            <w:webHidden/>
            <w:sz w:val="20"/>
            <w:szCs w:val="20"/>
          </w:rPr>
          <w:fldChar w:fldCharType="end"/>
        </w:r>
      </w:hyperlink>
    </w:p>
    <w:p w14:paraId="7B1F1585" w14:textId="17FE1B72"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31" w:history="1">
        <w:r w:rsidR="004C6E93" w:rsidRPr="00705B56">
          <w:rPr>
            <w:rStyle w:val="Hyperlink"/>
            <w:rFonts w:ascii="Arial" w:hAnsi="Arial" w:cs="Arial"/>
            <w:i/>
            <w:iCs/>
            <w:noProof/>
            <w:sz w:val="20"/>
            <w:szCs w:val="20"/>
          </w:rPr>
          <w:t>Figura 30. Zinxhiri i ndikimit për sektorin social. Burimi: MMPHII, 2025.</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_Toc211532631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87</w:t>
        </w:r>
        <w:r w:rsidR="004C6E93" w:rsidRPr="00705B56">
          <w:rPr>
            <w:rFonts w:ascii="Arial" w:hAnsi="Arial" w:cs="Arial"/>
            <w:i/>
            <w:iCs/>
            <w:noProof/>
            <w:webHidden/>
            <w:sz w:val="20"/>
            <w:szCs w:val="20"/>
          </w:rPr>
          <w:fldChar w:fldCharType="end"/>
        </w:r>
      </w:hyperlink>
    </w:p>
    <w:p w14:paraId="72897BBC" w14:textId="75E0BA79"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32" w:history="1">
        <w:r w:rsidR="004C6E93" w:rsidRPr="00705B56">
          <w:rPr>
            <w:rStyle w:val="Hyperlink"/>
            <w:rFonts w:ascii="Arial" w:hAnsi="Arial" w:cs="Arial"/>
            <w:i/>
            <w:iCs/>
            <w:noProof/>
            <w:sz w:val="20"/>
            <w:szCs w:val="20"/>
          </w:rPr>
          <w:t>Figura 31. Zinxhiri i ndikimit për sektorin e shëndetësisë. Burimi: MMPHI, 2025.</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_Toc211532632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88</w:t>
        </w:r>
        <w:r w:rsidR="004C6E93" w:rsidRPr="00705B56">
          <w:rPr>
            <w:rFonts w:ascii="Arial" w:hAnsi="Arial" w:cs="Arial"/>
            <w:i/>
            <w:iCs/>
            <w:noProof/>
            <w:webHidden/>
            <w:sz w:val="20"/>
            <w:szCs w:val="20"/>
          </w:rPr>
          <w:fldChar w:fldCharType="end"/>
        </w:r>
      </w:hyperlink>
    </w:p>
    <w:p w14:paraId="1F5CD535" w14:textId="4E161E8A" w:rsidR="004C6E93" w:rsidRPr="00705B56" w:rsidRDefault="008D6BF0" w:rsidP="004C6E93">
      <w:pPr>
        <w:pStyle w:val="TableofFigures"/>
        <w:tabs>
          <w:tab w:val="right" w:leader="dot" w:pos="10196"/>
        </w:tabs>
        <w:spacing w:before="0" w:line="240" w:lineRule="auto"/>
        <w:rPr>
          <w:rFonts w:ascii="Arial" w:hAnsi="Arial" w:cs="Arial"/>
          <w:i/>
          <w:iCs/>
          <w:noProof/>
          <w:sz w:val="20"/>
          <w:szCs w:val="20"/>
        </w:rPr>
      </w:pPr>
      <w:hyperlink w:anchor="_Toc211532633" w:history="1">
        <w:r w:rsidR="004C6E93" w:rsidRPr="00705B56">
          <w:rPr>
            <w:rStyle w:val="Hyperlink"/>
            <w:rFonts w:ascii="Arial" w:hAnsi="Arial" w:cs="Arial"/>
            <w:i/>
            <w:iCs/>
            <w:noProof/>
            <w:sz w:val="20"/>
            <w:szCs w:val="20"/>
          </w:rPr>
          <w:t>Figura 32. Financimi i klimës nga aktori publik (miliardë dollarë amerikanë). Burimi: Iniciativa e Politikave Klimatike, 2023.</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_Toc211532633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118</w:t>
        </w:r>
        <w:r w:rsidR="004C6E93" w:rsidRPr="00705B56">
          <w:rPr>
            <w:rFonts w:ascii="Arial" w:hAnsi="Arial" w:cs="Arial"/>
            <w:i/>
            <w:iCs/>
            <w:noProof/>
            <w:webHidden/>
            <w:sz w:val="20"/>
            <w:szCs w:val="20"/>
          </w:rPr>
          <w:fldChar w:fldCharType="end"/>
        </w:r>
      </w:hyperlink>
    </w:p>
    <w:p w14:paraId="476C1A1C" w14:textId="768BD403" w:rsidR="004C6E93" w:rsidRPr="00705B56" w:rsidRDefault="008D6BF0" w:rsidP="004C6E93">
      <w:pPr>
        <w:pStyle w:val="TableofFigures"/>
        <w:tabs>
          <w:tab w:val="right" w:leader="dot" w:pos="10196"/>
        </w:tabs>
        <w:spacing w:before="0" w:line="240" w:lineRule="auto"/>
        <w:rPr>
          <w:rFonts w:ascii="Arial" w:hAnsi="Arial" w:cs="Arial"/>
          <w:noProof/>
          <w:sz w:val="24"/>
          <w:szCs w:val="24"/>
        </w:rPr>
      </w:pPr>
      <w:hyperlink w:anchor="_Toc211532634" w:history="1">
        <w:r w:rsidR="004C6E93" w:rsidRPr="00705B56">
          <w:rPr>
            <w:rStyle w:val="Hyperlink"/>
            <w:rFonts w:ascii="Arial" w:hAnsi="Arial" w:cs="Arial"/>
            <w:i/>
            <w:iCs/>
            <w:noProof/>
            <w:sz w:val="20"/>
            <w:szCs w:val="20"/>
          </w:rPr>
          <w:t>Figura 33.Flukset e financimit për klimën në Ballkanin Perëndimor nga MDB-të, periudha 2015-2023. Burimi: MMPHI (2025) bazuar në Raportin e Përbashkët Financiar të Klimës MDB 2023.</w:t>
        </w:r>
        <w:r w:rsidR="004C6E93" w:rsidRPr="00705B56">
          <w:rPr>
            <w:rFonts w:ascii="Arial" w:hAnsi="Arial" w:cs="Arial"/>
            <w:i/>
            <w:iCs/>
            <w:noProof/>
            <w:webHidden/>
            <w:sz w:val="20"/>
            <w:szCs w:val="20"/>
          </w:rPr>
          <w:tab/>
        </w:r>
        <w:r w:rsidR="004C6E93" w:rsidRPr="00705B56">
          <w:rPr>
            <w:rFonts w:ascii="Arial" w:hAnsi="Arial" w:cs="Arial"/>
            <w:i/>
            <w:iCs/>
            <w:noProof/>
            <w:webHidden/>
            <w:sz w:val="20"/>
            <w:szCs w:val="20"/>
          </w:rPr>
          <w:fldChar w:fldCharType="begin"/>
        </w:r>
        <w:r w:rsidR="004C6E93" w:rsidRPr="00705B56">
          <w:rPr>
            <w:rFonts w:ascii="Arial" w:hAnsi="Arial" w:cs="Arial"/>
            <w:i/>
            <w:iCs/>
            <w:noProof/>
            <w:webHidden/>
            <w:sz w:val="20"/>
            <w:szCs w:val="20"/>
          </w:rPr>
          <w:instrText xml:space="preserve"> PAGEREF _Toc211532634 \h </w:instrText>
        </w:r>
        <w:r w:rsidR="004C6E93" w:rsidRPr="00705B56">
          <w:rPr>
            <w:rFonts w:ascii="Arial" w:hAnsi="Arial" w:cs="Arial"/>
            <w:i/>
            <w:iCs/>
            <w:noProof/>
            <w:webHidden/>
            <w:sz w:val="20"/>
            <w:szCs w:val="20"/>
          </w:rPr>
        </w:r>
        <w:r w:rsidR="004C6E93" w:rsidRPr="00705B56">
          <w:rPr>
            <w:rFonts w:ascii="Arial" w:hAnsi="Arial" w:cs="Arial"/>
            <w:i/>
            <w:iCs/>
            <w:noProof/>
            <w:webHidden/>
            <w:sz w:val="20"/>
            <w:szCs w:val="20"/>
          </w:rPr>
          <w:fldChar w:fldCharType="separate"/>
        </w:r>
        <w:r w:rsidR="004C6E93" w:rsidRPr="00705B56">
          <w:rPr>
            <w:rFonts w:ascii="Arial" w:hAnsi="Arial" w:cs="Arial"/>
            <w:i/>
            <w:iCs/>
            <w:noProof/>
            <w:webHidden/>
            <w:sz w:val="20"/>
            <w:szCs w:val="20"/>
          </w:rPr>
          <w:t>121</w:t>
        </w:r>
        <w:r w:rsidR="004C6E93" w:rsidRPr="00705B56">
          <w:rPr>
            <w:rFonts w:ascii="Arial" w:hAnsi="Arial" w:cs="Arial"/>
            <w:i/>
            <w:iCs/>
            <w:noProof/>
            <w:webHidden/>
            <w:sz w:val="20"/>
            <w:szCs w:val="20"/>
          </w:rPr>
          <w:fldChar w:fldCharType="end"/>
        </w:r>
      </w:hyperlink>
    </w:p>
    <w:p w14:paraId="6F51A8ED" w14:textId="045DF905" w:rsidR="00384CD1" w:rsidRPr="00705B56" w:rsidRDefault="00452C67" w:rsidP="00905BF3">
      <w:pPr>
        <w:spacing w:before="0" w:line="240" w:lineRule="auto"/>
        <w:rPr>
          <w:rFonts w:ascii="Arial" w:hAnsi="Arial" w:cs="Arial"/>
          <w:b/>
          <w:bCs/>
          <w:lang w:val="sq-AL"/>
        </w:rPr>
      </w:pPr>
      <w:r w:rsidRPr="00705B56">
        <w:rPr>
          <w:rFonts w:ascii="Arial" w:hAnsi="Arial" w:cs="Arial"/>
          <w:b/>
          <w:bCs/>
          <w:sz w:val="20"/>
          <w:szCs w:val="20"/>
          <w:lang w:val="sq-AL"/>
        </w:rPr>
        <w:fldChar w:fldCharType="end"/>
      </w:r>
    </w:p>
    <w:p w14:paraId="7E7815B4" w14:textId="3363FFFF" w:rsidR="00384CD1" w:rsidRPr="00705B56" w:rsidRDefault="00384CD1" w:rsidP="00384CD1">
      <w:pPr>
        <w:pStyle w:val="TOCHeading"/>
        <w:rPr>
          <w:rFonts w:ascii="Arial" w:hAnsi="Arial" w:cs="Arial"/>
          <w:b/>
          <w:bCs/>
          <w:color w:val="22635D"/>
          <w:lang w:val="sq-AL"/>
        </w:rPr>
      </w:pPr>
      <w:r w:rsidRPr="00705B56">
        <w:rPr>
          <w:rFonts w:ascii="Arial" w:hAnsi="Arial" w:cs="Arial"/>
          <w:b/>
          <w:bCs/>
          <w:color w:val="22635D"/>
          <w:lang w:val="sq-AL"/>
        </w:rPr>
        <w:lastRenderedPageBreak/>
        <w:t>TAB</w:t>
      </w:r>
      <w:r w:rsidR="004C4BEF" w:rsidRPr="00705B56">
        <w:rPr>
          <w:rFonts w:ascii="Arial" w:hAnsi="Arial" w:cs="Arial"/>
          <w:b/>
          <w:bCs/>
          <w:color w:val="22635D"/>
          <w:lang w:val="sq-AL"/>
        </w:rPr>
        <w:t>ELAT</w:t>
      </w:r>
    </w:p>
    <w:p w14:paraId="0C7C7752" w14:textId="1787EE75" w:rsidR="004C6E93" w:rsidRPr="00705B56" w:rsidRDefault="00AC3FCB" w:rsidP="00C65386">
      <w:pPr>
        <w:pStyle w:val="TableofFigures"/>
        <w:tabs>
          <w:tab w:val="right" w:leader="dot" w:pos="10196"/>
        </w:tabs>
        <w:spacing w:before="0" w:line="240" w:lineRule="auto"/>
        <w:rPr>
          <w:rFonts w:ascii="Arial" w:hAnsi="Arial" w:cs="Arial"/>
          <w:noProof/>
        </w:rPr>
      </w:pPr>
      <w:r w:rsidRPr="00705B56">
        <w:rPr>
          <w:rFonts w:ascii="Arial" w:hAnsi="Arial" w:cs="Arial"/>
          <w:b/>
          <w:bCs/>
          <w:lang w:val="sq-AL"/>
        </w:rPr>
        <w:fldChar w:fldCharType="begin"/>
      </w:r>
      <w:r w:rsidRPr="00705B56">
        <w:rPr>
          <w:rFonts w:ascii="Arial" w:hAnsi="Arial" w:cs="Arial"/>
          <w:b/>
          <w:bCs/>
          <w:lang w:val="sq-AL"/>
        </w:rPr>
        <w:instrText xml:space="preserve"> TOC \h \z \c "Tabela" </w:instrText>
      </w:r>
      <w:r w:rsidRPr="00705B56">
        <w:rPr>
          <w:rFonts w:ascii="Arial" w:hAnsi="Arial" w:cs="Arial"/>
          <w:b/>
          <w:bCs/>
          <w:lang w:val="sq-AL"/>
        </w:rPr>
        <w:fldChar w:fldCharType="separate"/>
      </w:r>
    </w:p>
    <w:p w14:paraId="1DFA4EBF" w14:textId="5375589D" w:rsidR="004C6E93" w:rsidRPr="00705B56" w:rsidRDefault="008D6BF0" w:rsidP="004C6E93">
      <w:pPr>
        <w:pStyle w:val="TableofFigures"/>
        <w:tabs>
          <w:tab w:val="right" w:leader="dot" w:pos="10196"/>
        </w:tabs>
        <w:spacing w:before="0" w:line="240" w:lineRule="auto"/>
        <w:rPr>
          <w:rFonts w:ascii="Arial" w:hAnsi="Arial" w:cs="Arial"/>
          <w:noProof/>
          <w:sz w:val="24"/>
          <w:szCs w:val="24"/>
        </w:rPr>
      </w:pPr>
      <w:hyperlink w:anchor="_Toc211532729" w:history="1">
        <w:r w:rsidR="004C6E93" w:rsidRPr="00705B56">
          <w:rPr>
            <w:rStyle w:val="Hyperlink"/>
            <w:rFonts w:ascii="Arial" w:hAnsi="Arial" w:cs="Arial"/>
            <w:noProof/>
          </w:rPr>
          <w:t>Tabela 1.Rezultatet e vlerësimit të rrezikut nga përmbytjet për skenarin bazë aktual në Kosovë, si dhe për tre skenarë të parashikuar në të ardhmen bazuar në shtigjet klimatike RCP 2.6, RCP 4.5 dhe RCP 8.5.</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_Toc211532729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23</w:t>
        </w:r>
        <w:r w:rsidR="004C6E93" w:rsidRPr="00705B56">
          <w:rPr>
            <w:rFonts w:ascii="Arial" w:hAnsi="Arial" w:cs="Arial"/>
            <w:noProof/>
            <w:webHidden/>
          </w:rPr>
          <w:fldChar w:fldCharType="end"/>
        </w:r>
      </w:hyperlink>
    </w:p>
    <w:p w14:paraId="26ABB394" w14:textId="32B8ED44" w:rsidR="004C6E93" w:rsidRPr="00705B56" w:rsidRDefault="008D6BF0" w:rsidP="004C6E93">
      <w:pPr>
        <w:pStyle w:val="TableofFigures"/>
        <w:tabs>
          <w:tab w:val="right" w:leader="dot" w:pos="10196"/>
        </w:tabs>
        <w:spacing w:before="0" w:line="240" w:lineRule="auto"/>
        <w:rPr>
          <w:rFonts w:ascii="Arial" w:hAnsi="Arial" w:cs="Arial"/>
          <w:noProof/>
          <w:sz w:val="24"/>
          <w:szCs w:val="24"/>
        </w:rPr>
      </w:pPr>
      <w:hyperlink w:anchor="_Toc211532730" w:history="1">
        <w:r w:rsidR="004C6E93" w:rsidRPr="00705B56">
          <w:rPr>
            <w:rStyle w:val="Hyperlink"/>
            <w:rFonts w:ascii="Arial" w:hAnsi="Arial" w:cs="Arial"/>
            <w:noProof/>
          </w:rPr>
          <w:t>Tabela 2. Komunat më të ekspozuara, të renditura nga ekspozimi më i lartë në atë më të ulët, sipas llojit të rrezikut. Burimi: Banka Botërore, GHS-POP R2023A, OpenStreetMap, JBA, CIMA, ELSUS v2</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_Toc211532730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36</w:t>
        </w:r>
        <w:r w:rsidR="004C6E93" w:rsidRPr="00705B56">
          <w:rPr>
            <w:rFonts w:ascii="Arial" w:hAnsi="Arial" w:cs="Arial"/>
            <w:noProof/>
            <w:webHidden/>
          </w:rPr>
          <w:fldChar w:fldCharType="end"/>
        </w:r>
      </w:hyperlink>
    </w:p>
    <w:p w14:paraId="24150577" w14:textId="0AEDDFC2" w:rsidR="004C6E93" w:rsidRPr="00705B56" w:rsidRDefault="008D6BF0" w:rsidP="004C6E93">
      <w:pPr>
        <w:pStyle w:val="TableofFigures"/>
        <w:tabs>
          <w:tab w:val="right" w:leader="dot" w:pos="10196"/>
        </w:tabs>
        <w:spacing w:before="0" w:line="240" w:lineRule="auto"/>
        <w:rPr>
          <w:rFonts w:ascii="Arial" w:hAnsi="Arial" w:cs="Arial"/>
          <w:noProof/>
          <w:sz w:val="24"/>
          <w:szCs w:val="24"/>
        </w:rPr>
      </w:pPr>
      <w:hyperlink w:anchor="_Toc211532731" w:history="1">
        <w:r w:rsidR="004C6E93" w:rsidRPr="00705B56">
          <w:rPr>
            <w:rStyle w:val="Hyperlink"/>
            <w:rFonts w:ascii="Arial" w:hAnsi="Arial" w:cs="Arial"/>
            <w:noProof/>
          </w:rPr>
          <w:t>Tabela 3. Humbjet e parashikuara të prodhimit në nivelin e PBB-së dhe ndikimi i përshtatjes sipas skenarëve të rritjes së trendit RCP 2.6, RCP 4.5 dhe RCP 8.5</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_Toc211532731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42</w:t>
        </w:r>
        <w:r w:rsidR="004C6E93" w:rsidRPr="00705B56">
          <w:rPr>
            <w:rFonts w:ascii="Arial" w:hAnsi="Arial" w:cs="Arial"/>
            <w:noProof/>
            <w:webHidden/>
          </w:rPr>
          <w:fldChar w:fldCharType="end"/>
        </w:r>
      </w:hyperlink>
    </w:p>
    <w:p w14:paraId="557F71C2" w14:textId="40D20100" w:rsidR="004C6E93" w:rsidRPr="00705B56" w:rsidRDefault="008D6BF0" w:rsidP="004C6E93">
      <w:pPr>
        <w:pStyle w:val="TableofFigures"/>
        <w:tabs>
          <w:tab w:val="right" w:leader="dot" w:pos="10196"/>
        </w:tabs>
        <w:spacing w:before="0" w:line="240" w:lineRule="auto"/>
        <w:rPr>
          <w:rFonts w:ascii="Arial" w:hAnsi="Arial" w:cs="Arial"/>
          <w:noProof/>
          <w:sz w:val="24"/>
          <w:szCs w:val="24"/>
        </w:rPr>
      </w:pPr>
      <w:hyperlink w:anchor="_Toc211532732" w:history="1">
        <w:r w:rsidR="004C6E93" w:rsidRPr="00705B56">
          <w:rPr>
            <w:rStyle w:val="Hyperlink"/>
            <w:rFonts w:ascii="Arial" w:hAnsi="Arial" w:cs="Arial"/>
            <w:noProof/>
          </w:rPr>
          <w:t>Tabela 4. Sfidat kryesore të përshtatjes për secilin sektor. Burimi: MMPHI, 2025.</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_Toc211532732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47</w:t>
        </w:r>
        <w:r w:rsidR="004C6E93" w:rsidRPr="00705B56">
          <w:rPr>
            <w:rFonts w:ascii="Arial" w:hAnsi="Arial" w:cs="Arial"/>
            <w:noProof/>
            <w:webHidden/>
          </w:rPr>
          <w:fldChar w:fldCharType="end"/>
        </w:r>
      </w:hyperlink>
    </w:p>
    <w:p w14:paraId="153BFCEA" w14:textId="072356F8" w:rsidR="004C6E93" w:rsidRPr="00705B56" w:rsidRDefault="008D6BF0" w:rsidP="004C6E93">
      <w:pPr>
        <w:pStyle w:val="TableofFigures"/>
        <w:tabs>
          <w:tab w:val="right" w:leader="dot" w:pos="10196"/>
        </w:tabs>
        <w:spacing w:before="0" w:line="240" w:lineRule="auto"/>
        <w:rPr>
          <w:rFonts w:ascii="Arial" w:hAnsi="Arial" w:cs="Arial"/>
          <w:noProof/>
          <w:sz w:val="24"/>
          <w:szCs w:val="24"/>
        </w:rPr>
      </w:pPr>
      <w:hyperlink w:anchor="_Toc211532733" w:history="1">
        <w:r w:rsidR="004C6E93" w:rsidRPr="00705B56">
          <w:rPr>
            <w:rStyle w:val="Hyperlink"/>
            <w:rFonts w:ascii="Arial" w:hAnsi="Arial" w:cs="Arial"/>
            <w:noProof/>
          </w:rPr>
          <w:t>Tabela 5. Investimi total i nevojshëm i vlerësuar. Burimi: MMPHI,2025</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_Toc211532733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116</w:t>
        </w:r>
        <w:r w:rsidR="004C6E93" w:rsidRPr="00705B56">
          <w:rPr>
            <w:rFonts w:ascii="Arial" w:hAnsi="Arial" w:cs="Arial"/>
            <w:noProof/>
            <w:webHidden/>
          </w:rPr>
          <w:fldChar w:fldCharType="end"/>
        </w:r>
      </w:hyperlink>
    </w:p>
    <w:p w14:paraId="396263E4" w14:textId="3E6D0029" w:rsidR="004C6E93" w:rsidRPr="00705B56" w:rsidRDefault="008D6BF0" w:rsidP="004C6E93">
      <w:pPr>
        <w:pStyle w:val="TableofFigures"/>
        <w:tabs>
          <w:tab w:val="right" w:leader="dot" w:pos="10196"/>
        </w:tabs>
        <w:spacing w:before="0" w:line="240" w:lineRule="auto"/>
        <w:rPr>
          <w:rFonts w:ascii="Arial" w:hAnsi="Arial" w:cs="Arial"/>
          <w:noProof/>
          <w:sz w:val="24"/>
          <w:szCs w:val="24"/>
        </w:rPr>
      </w:pPr>
      <w:hyperlink w:anchor="_Toc211532734" w:history="1">
        <w:r w:rsidR="004C6E93" w:rsidRPr="00705B56">
          <w:rPr>
            <w:rStyle w:val="Hyperlink"/>
            <w:rFonts w:ascii="Arial" w:hAnsi="Arial" w:cs="Arial"/>
            <w:noProof/>
          </w:rPr>
          <w:t>Tabela 6.  Burimet publike të financimit, tabela përmbledhëse</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_Toc211532734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118</w:t>
        </w:r>
        <w:r w:rsidR="004C6E93" w:rsidRPr="00705B56">
          <w:rPr>
            <w:rFonts w:ascii="Arial" w:hAnsi="Arial" w:cs="Arial"/>
            <w:noProof/>
            <w:webHidden/>
          </w:rPr>
          <w:fldChar w:fldCharType="end"/>
        </w:r>
      </w:hyperlink>
    </w:p>
    <w:p w14:paraId="0E9EF53A" w14:textId="3DA357A0" w:rsidR="004C6E93" w:rsidRPr="00705B56" w:rsidRDefault="008D6BF0" w:rsidP="004C6E93">
      <w:pPr>
        <w:pStyle w:val="TableofFigures"/>
        <w:tabs>
          <w:tab w:val="right" w:leader="dot" w:pos="10196"/>
        </w:tabs>
        <w:spacing w:before="0" w:line="240" w:lineRule="auto"/>
        <w:rPr>
          <w:rFonts w:ascii="Arial" w:hAnsi="Arial" w:cs="Arial"/>
          <w:noProof/>
          <w:sz w:val="24"/>
          <w:szCs w:val="24"/>
        </w:rPr>
      </w:pPr>
      <w:hyperlink w:anchor="_Toc211532735" w:history="1">
        <w:r w:rsidR="004C6E93" w:rsidRPr="00705B56">
          <w:rPr>
            <w:rStyle w:val="Hyperlink"/>
            <w:rFonts w:ascii="Arial" w:hAnsi="Arial" w:cs="Arial"/>
            <w:noProof/>
          </w:rPr>
          <w:t>Tabela 7. Burimet private të financimit në Kosovë, tabela përmbledhëse</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_Toc211532735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122</w:t>
        </w:r>
        <w:r w:rsidR="004C6E93" w:rsidRPr="00705B56">
          <w:rPr>
            <w:rFonts w:ascii="Arial" w:hAnsi="Arial" w:cs="Arial"/>
            <w:noProof/>
            <w:webHidden/>
          </w:rPr>
          <w:fldChar w:fldCharType="end"/>
        </w:r>
      </w:hyperlink>
    </w:p>
    <w:p w14:paraId="03326BEB" w14:textId="56363631" w:rsidR="004C6E93" w:rsidRPr="00705B56" w:rsidRDefault="008D6BF0" w:rsidP="004C6E93">
      <w:pPr>
        <w:pStyle w:val="TableofFigures"/>
        <w:tabs>
          <w:tab w:val="right" w:leader="dot" w:pos="10196"/>
        </w:tabs>
        <w:spacing w:before="0" w:line="240" w:lineRule="auto"/>
        <w:rPr>
          <w:rFonts w:ascii="Arial" w:hAnsi="Arial" w:cs="Arial"/>
          <w:noProof/>
          <w:sz w:val="24"/>
          <w:szCs w:val="24"/>
        </w:rPr>
      </w:pPr>
      <w:hyperlink w:anchor="_Toc211532736" w:history="1">
        <w:r w:rsidR="004C6E93" w:rsidRPr="00705B56">
          <w:rPr>
            <w:rStyle w:val="Hyperlink"/>
            <w:rFonts w:ascii="Arial" w:hAnsi="Arial" w:cs="Arial"/>
            <w:noProof/>
          </w:rPr>
          <w:t>Tabela 8. Plani i Veprimit për Sektorin e Burimeve Ujor. Burimi: MMPHI, 2025.</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_Toc211532736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126</w:t>
        </w:r>
        <w:r w:rsidR="004C6E93" w:rsidRPr="00705B56">
          <w:rPr>
            <w:rFonts w:ascii="Arial" w:hAnsi="Arial" w:cs="Arial"/>
            <w:noProof/>
            <w:webHidden/>
          </w:rPr>
          <w:fldChar w:fldCharType="end"/>
        </w:r>
      </w:hyperlink>
    </w:p>
    <w:p w14:paraId="4062D28A" w14:textId="7351BFAD" w:rsidR="004C6E93" w:rsidRPr="00705B56" w:rsidRDefault="008D6BF0" w:rsidP="004C6E93">
      <w:pPr>
        <w:pStyle w:val="TableofFigures"/>
        <w:tabs>
          <w:tab w:val="right" w:leader="dot" w:pos="10196"/>
        </w:tabs>
        <w:spacing w:before="0" w:line="240" w:lineRule="auto"/>
        <w:rPr>
          <w:rFonts w:ascii="Arial" w:hAnsi="Arial" w:cs="Arial"/>
          <w:noProof/>
          <w:sz w:val="24"/>
          <w:szCs w:val="24"/>
        </w:rPr>
      </w:pPr>
      <w:hyperlink w:anchor="_Toc211532737" w:history="1">
        <w:r w:rsidR="004C6E93" w:rsidRPr="00705B56">
          <w:rPr>
            <w:rStyle w:val="Hyperlink"/>
            <w:rFonts w:ascii="Arial" w:hAnsi="Arial" w:cs="Arial"/>
            <w:noProof/>
          </w:rPr>
          <w:t>Tabela 9. Plani i Veprimit për Sektorin e Energjisë. Burimi: MMPHI, 2025.</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_Toc211532737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139</w:t>
        </w:r>
        <w:r w:rsidR="004C6E93" w:rsidRPr="00705B56">
          <w:rPr>
            <w:rFonts w:ascii="Arial" w:hAnsi="Arial" w:cs="Arial"/>
            <w:noProof/>
            <w:webHidden/>
          </w:rPr>
          <w:fldChar w:fldCharType="end"/>
        </w:r>
      </w:hyperlink>
    </w:p>
    <w:p w14:paraId="2A33CC82" w14:textId="2325F068" w:rsidR="004C6E93" w:rsidRPr="00705B56" w:rsidRDefault="008D6BF0" w:rsidP="004C6E93">
      <w:pPr>
        <w:pStyle w:val="TableofFigures"/>
        <w:tabs>
          <w:tab w:val="right" w:leader="dot" w:pos="10196"/>
        </w:tabs>
        <w:spacing w:before="0" w:line="240" w:lineRule="auto"/>
        <w:rPr>
          <w:rFonts w:ascii="Arial" w:hAnsi="Arial" w:cs="Arial"/>
          <w:noProof/>
          <w:sz w:val="24"/>
          <w:szCs w:val="24"/>
        </w:rPr>
      </w:pPr>
      <w:hyperlink w:anchor="_Toc211532738" w:history="1">
        <w:r w:rsidR="004C6E93" w:rsidRPr="00705B56">
          <w:rPr>
            <w:rStyle w:val="Hyperlink"/>
            <w:rFonts w:ascii="Arial" w:hAnsi="Arial" w:cs="Arial"/>
            <w:noProof/>
          </w:rPr>
          <w:t>Tabela 10. Plani i Veprimit për Sektorin e Bujqësisë dhe Pylltarisë. Burimi: MMPHI, 2025.</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_Toc211532738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155</w:t>
        </w:r>
        <w:r w:rsidR="004C6E93" w:rsidRPr="00705B56">
          <w:rPr>
            <w:rFonts w:ascii="Arial" w:hAnsi="Arial" w:cs="Arial"/>
            <w:noProof/>
            <w:webHidden/>
          </w:rPr>
          <w:fldChar w:fldCharType="end"/>
        </w:r>
      </w:hyperlink>
    </w:p>
    <w:p w14:paraId="20394F93" w14:textId="5451B1F2" w:rsidR="004C6E93" w:rsidRPr="00705B56" w:rsidRDefault="008D6BF0" w:rsidP="004C6E93">
      <w:pPr>
        <w:pStyle w:val="TableofFigures"/>
        <w:tabs>
          <w:tab w:val="right" w:leader="dot" w:pos="10196"/>
        </w:tabs>
        <w:spacing w:before="0" w:line="240" w:lineRule="auto"/>
        <w:rPr>
          <w:rFonts w:ascii="Arial" w:hAnsi="Arial" w:cs="Arial"/>
          <w:noProof/>
          <w:sz w:val="24"/>
          <w:szCs w:val="24"/>
        </w:rPr>
      </w:pPr>
      <w:hyperlink w:anchor="_Toc211532739" w:history="1">
        <w:r w:rsidR="004C6E93" w:rsidRPr="00705B56">
          <w:rPr>
            <w:rStyle w:val="Hyperlink"/>
            <w:rFonts w:ascii="Arial" w:hAnsi="Arial" w:cs="Arial"/>
            <w:noProof/>
          </w:rPr>
          <w:t>Tabela 11. Plani i Veprimit për Sektorin e Shëndetësisë dhe Social. Burimi: MMPHI, 2025.</w:t>
        </w:r>
        <w:r w:rsidR="004C6E93" w:rsidRPr="00705B56">
          <w:rPr>
            <w:rFonts w:ascii="Arial" w:hAnsi="Arial" w:cs="Arial"/>
            <w:noProof/>
            <w:webHidden/>
          </w:rPr>
          <w:tab/>
        </w:r>
        <w:r w:rsidR="004C6E93" w:rsidRPr="00705B56">
          <w:rPr>
            <w:rFonts w:ascii="Arial" w:hAnsi="Arial" w:cs="Arial"/>
            <w:noProof/>
            <w:webHidden/>
          </w:rPr>
          <w:fldChar w:fldCharType="begin"/>
        </w:r>
        <w:r w:rsidR="004C6E93" w:rsidRPr="00705B56">
          <w:rPr>
            <w:rFonts w:ascii="Arial" w:hAnsi="Arial" w:cs="Arial"/>
            <w:noProof/>
            <w:webHidden/>
          </w:rPr>
          <w:instrText xml:space="preserve"> PAGEREF _Toc211532739 \h </w:instrText>
        </w:r>
        <w:r w:rsidR="004C6E93" w:rsidRPr="00705B56">
          <w:rPr>
            <w:rFonts w:ascii="Arial" w:hAnsi="Arial" w:cs="Arial"/>
            <w:noProof/>
            <w:webHidden/>
          </w:rPr>
        </w:r>
        <w:r w:rsidR="004C6E93" w:rsidRPr="00705B56">
          <w:rPr>
            <w:rFonts w:ascii="Arial" w:hAnsi="Arial" w:cs="Arial"/>
            <w:noProof/>
            <w:webHidden/>
          </w:rPr>
          <w:fldChar w:fldCharType="separate"/>
        </w:r>
        <w:r w:rsidR="004C6E93" w:rsidRPr="00705B56">
          <w:rPr>
            <w:rFonts w:ascii="Arial" w:hAnsi="Arial" w:cs="Arial"/>
            <w:noProof/>
            <w:webHidden/>
          </w:rPr>
          <w:t>168</w:t>
        </w:r>
        <w:r w:rsidR="004C6E93" w:rsidRPr="00705B56">
          <w:rPr>
            <w:rFonts w:ascii="Arial" w:hAnsi="Arial" w:cs="Arial"/>
            <w:noProof/>
            <w:webHidden/>
          </w:rPr>
          <w:fldChar w:fldCharType="end"/>
        </w:r>
      </w:hyperlink>
    </w:p>
    <w:p w14:paraId="38C468E7" w14:textId="697F6641" w:rsidR="003769F4" w:rsidRPr="00705B56" w:rsidRDefault="00AC3FCB" w:rsidP="00905BF3">
      <w:pPr>
        <w:spacing w:before="0" w:line="240" w:lineRule="auto"/>
        <w:rPr>
          <w:rFonts w:ascii="Arial" w:hAnsi="Arial" w:cs="Arial"/>
          <w:b/>
          <w:bCs/>
          <w:lang w:val="sq-AL"/>
        </w:rPr>
      </w:pPr>
      <w:r w:rsidRPr="00705B56">
        <w:rPr>
          <w:rFonts w:ascii="Arial" w:hAnsi="Arial" w:cs="Arial"/>
          <w:b/>
          <w:bCs/>
          <w:lang w:val="sq-AL"/>
        </w:rPr>
        <w:fldChar w:fldCharType="end"/>
      </w:r>
    </w:p>
    <w:p w14:paraId="6404220C" w14:textId="77777777" w:rsidR="003769F4" w:rsidRPr="00705B56" w:rsidRDefault="003769F4">
      <w:pPr>
        <w:spacing w:before="0" w:line="278" w:lineRule="auto"/>
        <w:rPr>
          <w:rFonts w:ascii="Arial" w:eastAsiaTheme="majorEastAsia" w:hAnsi="Arial" w:cs="Arial"/>
          <w:b/>
          <w:bCs/>
          <w:color w:val="22635D"/>
          <w:kern w:val="0"/>
          <w:sz w:val="32"/>
          <w:szCs w:val="32"/>
          <w:lang w:val="sq-AL" w:eastAsia="es-ES"/>
          <w14:ligatures w14:val="none"/>
        </w:rPr>
      </w:pPr>
      <w:r w:rsidRPr="00705B56">
        <w:rPr>
          <w:rFonts w:ascii="Arial" w:eastAsiaTheme="majorEastAsia" w:hAnsi="Arial" w:cs="Arial"/>
          <w:b/>
          <w:bCs/>
          <w:color w:val="22635D"/>
          <w:kern w:val="0"/>
          <w:sz w:val="32"/>
          <w:szCs w:val="32"/>
          <w:lang w:val="sq-AL" w:eastAsia="es-ES"/>
          <w14:ligatures w14:val="none"/>
        </w:rPr>
        <w:br w:type="page"/>
      </w:r>
    </w:p>
    <w:p w14:paraId="1C4A031B" w14:textId="3A0DA2B3" w:rsidR="00E03B48" w:rsidRPr="00705B56" w:rsidRDefault="002A3AB8">
      <w:pPr>
        <w:spacing w:before="0" w:line="278" w:lineRule="auto"/>
        <w:rPr>
          <w:rFonts w:ascii="Arial" w:eastAsiaTheme="majorEastAsia" w:hAnsi="Arial" w:cs="Arial"/>
          <w:b/>
          <w:bCs/>
          <w:color w:val="22635D"/>
          <w:kern w:val="0"/>
          <w:sz w:val="32"/>
          <w:szCs w:val="32"/>
          <w:lang w:val="sq-AL" w:eastAsia="es-ES"/>
          <w14:ligatures w14:val="none"/>
        </w:rPr>
      </w:pPr>
      <w:r w:rsidRPr="00705B56">
        <w:rPr>
          <w:rFonts w:ascii="Arial" w:eastAsiaTheme="majorEastAsia" w:hAnsi="Arial" w:cs="Arial"/>
          <w:b/>
          <w:bCs/>
          <w:color w:val="22635D"/>
          <w:kern w:val="0"/>
          <w:sz w:val="32"/>
          <w:szCs w:val="32"/>
          <w:lang w:val="sq-AL" w:eastAsia="es-ES"/>
          <w14:ligatures w14:val="none"/>
        </w:rPr>
        <w:lastRenderedPageBreak/>
        <w:t>SHKURTESAT</w:t>
      </w:r>
    </w:p>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0"/>
        <w:gridCol w:w="7826"/>
      </w:tblGrid>
      <w:tr w:rsidR="00E03B48" w:rsidRPr="00705B56" w14:paraId="58C834AD" w14:textId="77777777" w:rsidTr="00E03B48">
        <w:tc>
          <w:tcPr>
            <w:tcW w:w="1166" w:type="pct"/>
            <w:vAlign w:val="center"/>
          </w:tcPr>
          <w:p w14:paraId="5E65D802"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AAL</w:t>
            </w:r>
          </w:p>
        </w:tc>
        <w:tc>
          <w:tcPr>
            <w:tcW w:w="3834" w:type="pct"/>
            <w:vAlign w:val="center"/>
          </w:tcPr>
          <w:p w14:paraId="041C9D39" w14:textId="01E5B65F"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Humbje Mesatare Vjetore</w:t>
            </w:r>
          </w:p>
        </w:tc>
      </w:tr>
      <w:tr w:rsidR="00E03B48" w:rsidRPr="00705B56" w14:paraId="3ACEF56F" w14:textId="77777777" w:rsidTr="00E03B48">
        <w:tc>
          <w:tcPr>
            <w:tcW w:w="1166" w:type="pct"/>
            <w:vAlign w:val="center"/>
          </w:tcPr>
          <w:p w14:paraId="1399A7B1"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ALPEX</w:t>
            </w:r>
          </w:p>
        </w:tc>
        <w:tc>
          <w:tcPr>
            <w:tcW w:w="3834" w:type="pct"/>
            <w:vAlign w:val="center"/>
          </w:tcPr>
          <w:p w14:paraId="08C2F8C9" w14:textId="6EC7EB57"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Bursa Shqiptare e Energjisë</w:t>
            </w:r>
          </w:p>
        </w:tc>
      </w:tr>
      <w:tr w:rsidR="00E03B48" w:rsidRPr="00705B56" w14:paraId="3F9DC5AF" w14:textId="77777777" w:rsidTr="00E03B48">
        <w:tc>
          <w:tcPr>
            <w:tcW w:w="1166" w:type="pct"/>
            <w:vAlign w:val="center"/>
          </w:tcPr>
          <w:p w14:paraId="30AA88EE"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CCDR</w:t>
            </w:r>
          </w:p>
        </w:tc>
        <w:tc>
          <w:tcPr>
            <w:tcW w:w="3834" w:type="pct"/>
            <w:vAlign w:val="center"/>
          </w:tcPr>
          <w:p w14:paraId="1953D1A1" w14:textId="0CEC61C3"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Raporti i Bankës Botërore për Klimën dhe Zhvillimin në Vend</w:t>
            </w:r>
          </w:p>
        </w:tc>
      </w:tr>
      <w:tr w:rsidR="00E03B48" w:rsidRPr="00705B56" w14:paraId="425FB533" w14:textId="77777777" w:rsidTr="00E03B48">
        <w:tc>
          <w:tcPr>
            <w:tcW w:w="1166" w:type="pct"/>
            <w:vAlign w:val="center"/>
          </w:tcPr>
          <w:p w14:paraId="22B5AD42"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CIMA</w:t>
            </w:r>
          </w:p>
        </w:tc>
        <w:tc>
          <w:tcPr>
            <w:tcW w:w="3834" w:type="pct"/>
            <w:vAlign w:val="center"/>
          </w:tcPr>
          <w:p w14:paraId="2EC478EC" w14:textId="2B4327C5"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Qendra për Monitorimin e Mjedisit</w:t>
            </w:r>
          </w:p>
        </w:tc>
      </w:tr>
      <w:tr w:rsidR="00E03B48" w:rsidRPr="00705B56" w14:paraId="6D71DA2C" w14:textId="77777777" w:rsidTr="00E03B48">
        <w:tc>
          <w:tcPr>
            <w:tcW w:w="1166" w:type="pct"/>
            <w:vAlign w:val="center"/>
          </w:tcPr>
          <w:p w14:paraId="6CB73998"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CSOs</w:t>
            </w:r>
          </w:p>
        </w:tc>
        <w:tc>
          <w:tcPr>
            <w:tcW w:w="3834" w:type="pct"/>
            <w:vAlign w:val="center"/>
          </w:tcPr>
          <w:p w14:paraId="4C2974C7" w14:textId="7992FC47"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Qendra për Monitorimin e Mjedisit</w:t>
            </w:r>
          </w:p>
        </w:tc>
      </w:tr>
      <w:tr w:rsidR="00E03B48" w:rsidRPr="00705B56" w14:paraId="41F8D76F" w14:textId="77777777" w:rsidTr="00E03B48">
        <w:tc>
          <w:tcPr>
            <w:tcW w:w="1166" w:type="pct"/>
            <w:vAlign w:val="center"/>
          </w:tcPr>
          <w:p w14:paraId="43CBA8B2"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EBRD</w:t>
            </w:r>
          </w:p>
        </w:tc>
        <w:tc>
          <w:tcPr>
            <w:tcW w:w="3834" w:type="pct"/>
            <w:vAlign w:val="center"/>
          </w:tcPr>
          <w:p w14:paraId="77137EEA" w14:textId="56A2C57F"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Banka Evropiane për Rindërtim dhe Zhvillim</w:t>
            </w:r>
          </w:p>
        </w:tc>
      </w:tr>
      <w:tr w:rsidR="00E03B48" w:rsidRPr="00705B56" w14:paraId="581F640C" w14:textId="77777777" w:rsidTr="00E03B48">
        <w:tc>
          <w:tcPr>
            <w:tcW w:w="1166" w:type="pct"/>
            <w:vAlign w:val="center"/>
          </w:tcPr>
          <w:p w14:paraId="026DA40E"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EC/WBIF</w:t>
            </w:r>
          </w:p>
        </w:tc>
        <w:tc>
          <w:tcPr>
            <w:tcW w:w="3834" w:type="pct"/>
            <w:vAlign w:val="center"/>
          </w:tcPr>
          <w:p w14:paraId="433B61B0" w14:textId="0604890F"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Komisioni Evropian / Korniza Investuese për Ballkanin Perëndimor</w:t>
            </w:r>
          </w:p>
        </w:tc>
      </w:tr>
      <w:tr w:rsidR="00E03B48" w:rsidRPr="00705B56" w14:paraId="6385AF3A" w14:textId="77777777" w:rsidTr="00E03B48">
        <w:tc>
          <w:tcPr>
            <w:tcW w:w="1166" w:type="pct"/>
            <w:vAlign w:val="center"/>
          </w:tcPr>
          <w:p w14:paraId="474DF94D"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ECMWF</w:t>
            </w:r>
          </w:p>
        </w:tc>
        <w:tc>
          <w:tcPr>
            <w:tcW w:w="3834" w:type="pct"/>
            <w:vAlign w:val="center"/>
          </w:tcPr>
          <w:p w14:paraId="1561C9C1" w14:textId="0A339C0E"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Komisioni Evropian / Korniza Investuese për Ballkanin Perëndimor</w:t>
            </w:r>
          </w:p>
        </w:tc>
      </w:tr>
      <w:tr w:rsidR="00E03B48" w:rsidRPr="00705B56" w14:paraId="4128E758" w14:textId="77777777" w:rsidTr="00E03B48">
        <w:tc>
          <w:tcPr>
            <w:tcW w:w="1166" w:type="pct"/>
            <w:vAlign w:val="center"/>
          </w:tcPr>
          <w:p w14:paraId="1AA0342A"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EEA</w:t>
            </w:r>
          </w:p>
        </w:tc>
        <w:tc>
          <w:tcPr>
            <w:tcW w:w="3834" w:type="pct"/>
            <w:vAlign w:val="center"/>
          </w:tcPr>
          <w:p w14:paraId="0EFDFEE9" w14:textId="660AE532"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Komisioni Evropian &amp; Agjencia Evropiane e Mjedisit</w:t>
            </w:r>
          </w:p>
        </w:tc>
      </w:tr>
      <w:tr w:rsidR="00E03B48" w:rsidRPr="00705B56" w14:paraId="159060ED" w14:textId="77777777" w:rsidTr="00E03B48">
        <w:tc>
          <w:tcPr>
            <w:tcW w:w="1166" w:type="pct"/>
            <w:vAlign w:val="center"/>
          </w:tcPr>
          <w:p w14:paraId="593FE55F"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EMA</w:t>
            </w:r>
          </w:p>
        </w:tc>
        <w:tc>
          <w:tcPr>
            <w:tcW w:w="3834" w:type="pct"/>
            <w:vAlign w:val="center"/>
          </w:tcPr>
          <w:p w14:paraId="034F5584" w14:textId="3D531739"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Agjencia për Menaxhimin e Emergjencave</w:t>
            </w:r>
          </w:p>
        </w:tc>
      </w:tr>
      <w:tr w:rsidR="00E03B48" w:rsidRPr="00705B56" w14:paraId="2A343E37" w14:textId="77777777" w:rsidTr="00E03B48">
        <w:tc>
          <w:tcPr>
            <w:tcW w:w="1166" w:type="pct"/>
            <w:vAlign w:val="center"/>
          </w:tcPr>
          <w:p w14:paraId="5EE331E0"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ENTSO-E</w:t>
            </w:r>
          </w:p>
        </w:tc>
        <w:tc>
          <w:tcPr>
            <w:tcW w:w="3834" w:type="pct"/>
            <w:vAlign w:val="center"/>
          </w:tcPr>
          <w:p w14:paraId="4CFD3DAF" w14:textId="13FAF61B"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Rrjeti Evropian i Operatorëve të Sistemeve të Transmetimit për Energji Elektrike</w:t>
            </w:r>
          </w:p>
        </w:tc>
      </w:tr>
      <w:tr w:rsidR="00E03B48" w:rsidRPr="00705B56" w14:paraId="0AEABE8A" w14:textId="77777777" w:rsidTr="00E03B48">
        <w:tc>
          <w:tcPr>
            <w:tcW w:w="1166" w:type="pct"/>
            <w:vAlign w:val="center"/>
          </w:tcPr>
          <w:p w14:paraId="31437D14"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EU</w:t>
            </w:r>
          </w:p>
        </w:tc>
        <w:tc>
          <w:tcPr>
            <w:tcW w:w="3834" w:type="pct"/>
            <w:vAlign w:val="center"/>
          </w:tcPr>
          <w:p w14:paraId="05222B7B" w14:textId="7B6E0C2F"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Bashkimi Evropian</w:t>
            </w:r>
          </w:p>
        </w:tc>
      </w:tr>
      <w:tr w:rsidR="00E03B48" w:rsidRPr="00705B56" w14:paraId="2107124E" w14:textId="77777777" w:rsidTr="00E03B48">
        <w:tc>
          <w:tcPr>
            <w:tcW w:w="1166" w:type="pct"/>
            <w:vAlign w:val="center"/>
          </w:tcPr>
          <w:p w14:paraId="6A9C7817"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EWS</w:t>
            </w:r>
          </w:p>
        </w:tc>
        <w:tc>
          <w:tcPr>
            <w:tcW w:w="3834" w:type="pct"/>
            <w:vAlign w:val="center"/>
          </w:tcPr>
          <w:p w14:paraId="0FB800E5" w14:textId="3374E951"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Sisteme të Paralajmërimit të Hershëm</w:t>
            </w:r>
          </w:p>
        </w:tc>
      </w:tr>
      <w:tr w:rsidR="00E03B48" w:rsidRPr="00705B56" w14:paraId="2C27EFD8" w14:textId="77777777" w:rsidTr="00E03B48">
        <w:tc>
          <w:tcPr>
            <w:tcW w:w="1166" w:type="pct"/>
            <w:vAlign w:val="center"/>
          </w:tcPr>
          <w:p w14:paraId="27560E42"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FRMPs</w:t>
            </w:r>
          </w:p>
        </w:tc>
        <w:tc>
          <w:tcPr>
            <w:tcW w:w="3834" w:type="pct"/>
            <w:vAlign w:val="center"/>
          </w:tcPr>
          <w:p w14:paraId="2B6DBE3D" w14:textId="5C6BA86B"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Planet për Menaxhimin e Rrezikut nga Përmbytjet</w:t>
            </w:r>
          </w:p>
        </w:tc>
      </w:tr>
      <w:tr w:rsidR="00E03B48" w:rsidRPr="00705B56" w14:paraId="4AE5090E" w14:textId="77777777" w:rsidTr="00E03B48">
        <w:tc>
          <w:tcPr>
            <w:tcW w:w="1166" w:type="pct"/>
            <w:vAlign w:val="center"/>
          </w:tcPr>
          <w:p w14:paraId="13290877"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GDP</w:t>
            </w:r>
          </w:p>
        </w:tc>
        <w:tc>
          <w:tcPr>
            <w:tcW w:w="3834" w:type="pct"/>
            <w:vAlign w:val="center"/>
          </w:tcPr>
          <w:p w14:paraId="28366C4A" w14:textId="4082169F"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Prodhimi i Brendshëm Bruto</w:t>
            </w:r>
          </w:p>
        </w:tc>
      </w:tr>
      <w:tr w:rsidR="00E03B48" w:rsidRPr="00705B56" w14:paraId="3E2D82B2" w14:textId="77777777" w:rsidTr="00E03B48">
        <w:tc>
          <w:tcPr>
            <w:tcW w:w="1166" w:type="pct"/>
            <w:vAlign w:val="center"/>
          </w:tcPr>
          <w:p w14:paraId="4F994470"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GHG</w:t>
            </w:r>
          </w:p>
        </w:tc>
        <w:tc>
          <w:tcPr>
            <w:tcW w:w="3834" w:type="pct"/>
            <w:vAlign w:val="center"/>
          </w:tcPr>
          <w:p w14:paraId="45E35B2C" w14:textId="03DE6A3D"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Gazra Serre</w:t>
            </w:r>
          </w:p>
        </w:tc>
      </w:tr>
      <w:tr w:rsidR="00E03B48" w:rsidRPr="00705B56" w14:paraId="7E126CF0" w14:textId="77777777" w:rsidTr="00E03B48">
        <w:tc>
          <w:tcPr>
            <w:tcW w:w="1166" w:type="pct"/>
            <w:vAlign w:val="center"/>
          </w:tcPr>
          <w:p w14:paraId="72FBCD17"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GIZ</w:t>
            </w:r>
          </w:p>
        </w:tc>
        <w:tc>
          <w:tcPr>
            <w:tcW w:w="3834" w:type="pct"/>
            <w:vAlign w:val="center"/>
          </w:tcPr>
          <w:p w14:paraId="40F7D0CF" w14:textId="0CCB346C"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Shoqëria Gjermane për Bashkëpunim Ndërkombëtar</w:t>
            </w:r>
          </w:p>
        </w:tc>
      </w:tr>
      <w:tr w:rsidR="00E03B48" w:rsidRPr="00705B56" w14:paraId="543430DC" w14:textId="77777777" w:rsidTr="00E03B48">
        <w:tc>
          <w:tcPr>
            <w:tcW w:w="1166" w:type="pct"/>
            <w:vAlign w:val="center"/>
          </w:tcPr>
          <w:p w14:paraId="23EA27EE"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GRK</w:t>
            </w:r>
          </w:p>
        </w:tc>
        <w:tc>
          <w:tcPr>
            <w:tcW w:w="3834" w:type="pct"/>
            <w:vAlign w:val="center"/>
          </w:tcPr>
          <w:p w14:paraId="690A88EF" w14:textId="73DB98A3"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Udhëzim Administrativ</w:t>
            </w:r>
          </w:p>
        </w:tc>
      </w:tr>
      <w:tr w:rsidR="00E03B48" w:rsidRPr="00705B56" w14:paraId="3506AAA3" w14:textId="77777777" w:rsidTr="00E03B48">
        <w:tc>
          <w:tcPr>
            <w:tcW w:w="1166" w:type="pct"/>
            <w:vAlign w:val="center"/>
          </w:tcPr>
          <w:p w14:paraId="7143414F"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HIS</w:t>
            </w:r>
          </w:p>
        </w:tc>
        <w:tc>
          <w:tcPr>
            <w:tcW w:w="3834" w:type="pct"/>
            <w:vAlign w:val="center"/>
          </w:tcPr>
          <w:p w14:paraId="3C2D684A" w14:textId="73FD4FAB"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Sistemi i Informacionit Shëndetësor</w:t>
            </w:r>
          </w:p>
        </w:tc>
      </w:tr>
      <w:tr w:rsidR="00E03B48" w:rsidRPr="00705B56" w14:paraId="200F7918" w14:textId="77777777" w:rsidTr="00E03B48">
        <w:tc>
          <w:tcPr>
            <w:tcW w:w="1166" w:type="pct"/>
            <w:vAlign w:val="center"/>
          </w:tcPr>
          <w:p w14:paraId="5BCCFB31"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HSS</w:t>
            </w:r>
          </w:p>
        </w:tc>
        <w:tc>
          <w:tcPr>
            <w:tcW w:w="3834" w:type="pct"/>
            <w:vAlign w:val="center"/>
          </w:tcPr>
          <w:p w14:paraId="61CD67AE" w14:textId="44C9B47A" w:rsidR="00E03B48" w:rsidRPr="00705B56" w:rsidRDefault="00BE39C7" w:rsidP="00A50A28">
            <w:pPr>
              <w:spacing w:before="0" w:line="240" w:lineRule="auto"/>
              <w:rPr>
                <w:rFonts w:ascii="Arial" w:hAnsi="Arial" w:cs="Arial"/>
                <w:sz w:val="20"/>
                <w:szCs w:val="20"/>
                <w:lang w:val="sq-AL"/>
              </w:rPr>
            </w:pPr>
            <w:r w:rsidRPr="00705B56">
              <w:rPr>
                <w:rFonts w:ascii="Arial" w:hAnsi="Arial" w:cs="Arial"/>
                <w:sz w:val="20"/>
                <w:szCs w:val="20"/>
                <w:lang w:val="sq-AL"/>
              </w:rPr>
              <w:t>Strategjia</w:t>
            </w:r>
            <w:r w:rsidR="00A50A28" w:rsidRPr="00705B56">
              <w:rPr>
                <w:rFonts w:ascii="Arial" w:hAnsi="Arial" w:cs="Arial"/>
                <w:sz w:val="20"/>
                <w:szCs w:val="20"/>
                <w:lang w:val="sq-AL"/>
              </w:rPr>
              <w:t xml:space="preserve"> për Sektorin e Shëndetësisë</w:t>
            </w:r>
          </w:p>
        </w:tc>
      </w:tr>
      <w:tr w:rsidR="00E03B48" w:rsidRPr="00705B56" w14:paraId="50714546" w14:textId="77777777" w:rsidTr="00E03B48">
        <w:tc>
          <w:tcPr>
            <w:tcW w:w="1166" w:type="pct"/>
            <w:vAlign w:val="center"/>
          </w:tcPr>
          <w:p w14:paraId="0CA5635E"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IHMK</w:t>
            </w:r>
          </w:p>
        </w:tc>
        <w:tc>
          <w:tcPr>
            <w:tcW w:w="3834" w:type="pct"/>
            <w:vAlign w:val="center"/>
          </w:tcPr>
          <w:p w14:paraId="3FE1B1DD" w14:textId="434A9C4C"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Instituti Hidrometeorologjik i Kosovës</w:t>
            </w:r>
          </w:p>
        </w:tc>
      </w:tr>
      <w:tr w:rsidR="00E03B48" w:rsidRPr="00705B56" w14:paraId="665D35A1" w14:textId="77777777" w:rsidTr="00E03B48">
        <w:tc>
          <w:tcPr>
            <w:tcW w:w="1166" w:type="pct"/>
            <w:vAlign w:val="center"/>
          </w:tcPr>
          <w:p w14:paraId="247B6E0A"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IPCC</w:t>
            </w:r>
          </w:p>
        </w:tc>
        <w:tc>
          <w:tcPr>
            <w:tcW w:w="3834" w:type="pct"/>
            <w:vAlign w:val="center"/>
          </w:tcPr>
          <w:p w14:paraId="2E3946C8" w14:textId="0E482282"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Paneli Ndërqeveritar për Ndryshimet Klimatike</w:t>
            </w:r>
          </w:p>
        </w:tc>
      </w:tr>
      <w:tr w:rsidR="00E03B48" w:rsidRPr="00705B56" w14:paraId="6ED648AD" w14:textId="77777777" w:rsidTr="00E03B48">
        <w:tc>
          <w:tcPr>
            <w:tcW w:w="1166" w:type="pct"/>
            <w:vAlign w:val="center"/>
          </w:tcPr>
          <w:p w14:paraId="20DF4C90" w14:textId="091D7D3F" w:rsidR="00E03B48" w:rsidRPr="00705B56" w:rsidRDefault="00BE39C7"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STRATEGJIA</w:t>
            </w:r>
          </w:p>
        </w:tc>
        <w:tc>
          <w:tcPr>
            <w:tcW w:w="3834" w:type="pct"/>
            <w:vAlign w:val="center"/>
          </w:tcPr>
          <w:p w14:paraId="3188F972" w14:textId="4B5A93F5" w:rsidR="00E03B48" w:rsidRPr="00705B56" w:rsidRDefault="00BE39C7" w:rsidP="00A50A28">
            <w:pPr>
              <w:spacing w:before="0" w:line="240" w:lineRule="auto"/>
              <w:rPr>
                <w:rFonts w:ascii="Arial" w:hAnsi="Arial" w:cs="Arial"/>
                <w:sz w:val="20"/>
                <w:szCs w:val="20"/>
                <w:lang w:val="sq-AL"/>
              </w:rPr>
            </w:pPr>
            <w:r w:rsidRPr="00705B56">
              <w:rPr>
                <w:rFonts w:ascii="Arial" w:hAnsi="Arial" w:cs="Arial"/>
                <w:sz w:val="20"/>
                <w:szCs w:val="20"/>
                <w:lang w:val="sq-AL"/>
              </w:rPr>
              <w:t>Strategjia</w:t>
            </w:r>
            <w:r w:rsidR="00A50A28" w:rsidRPr="00705B56">
              <w:rPr>
                <w:rFonts w:ascii="Arial" w:hAnsi="Arial" w:cs="Arial"/>
                <w:sz w:val="20"/>
                <w:szCs w:val="20"/>
                <w:lang w:val="sq-AL"/>
              </w:rPr>
              <w:t xml:space="preserve"> e Kosovës për Përshtatje ndaj Ndryshimeve Klimatike</w:t>
            </w:r>
          </w:p>
        </w:tc>
      </w:tr>
      <w:tr w:rsidR="00E03B48" w:rsidRPr="00705B56" w14:paraId="6E956DFE" w14:textId="77777777" w:rsidTr="00E03B48">
        <w:tc>
          <w:tcPr>
            <w:tcW w:w="1166" w:type="pct"/>
            <w:vAlign w:val="center"/>
          </w:tcPr>
          <w:p w14:paraId="2DAF12E1"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MAFRD</w:t>
            </w:r>
          </w:p>
        </w:tc>
        <w:tc>
          <w:tcPr>
            <w:tcW w:w="3834" w:type="pct"/>
            <w:vAlign w:val="center"/>
          </w:tcPr>
          <w:p w14:paraId="3074094C" w14:textId="5FC38447"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Ministria e Bujqësisë, Pylltarisë dhe Zhvillimit Rural</w:t>
            </w:r>
          </w:p>
        </w:tc>
      </w:tr>
      <w:tr w:rsidR="00E03B48" w:rsidRPr="00705B56" w14:paraId="316CF870" w14:textId="77777777" w:rsidTr="00E03B48">
        <w:tc>
          <w:tcPr>
            <w:tcW w:w="1166" w:type="pct"/>
            <w:vAlign w:val="center"/>
          </w:tcPr>
          <w:p w14:paraId="75A98AC1"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MCC</w:t>
            </w:r>
          </w:p>
        </w:tc>
        <w:tc>
          <w:tcPr>
            <w:tcW w:w="3834" w:type="pct"/>
            <w:vAlign w:val="center"/>
          </w:tcPr>
          <w:p w14:paraId="043CF418" w14:textId="0ED109C3"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Korporata e Sfidës së Mijëvjeçarit</w:t>
            </w:r>
          </w:p>
        </w:tc>
      </w:tr>
      <w:tr w:rsidR="00E03B48" w:rsidRPr="00705B56" w14:paraId="24F572E2" w14:textId="77777777" w:rsidTr="00E03B48">
        <w:tc>
          <w:tcPr>
            <w:tcW w:w="1166" w:type="pct"/>
            <w:vAlign w:val="center"/>
          </w:tcPr>
          <w:p w14:paraId="3C83B19C" w14:textId="697D30B3" w:rsidR="00E03B48" w:rsidRPr="00705B56" w:rsidRDefault="00BD6094"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MMPHI</w:t>
            </w:r>
          </w:p>
        </w:tc>
        <w:tc>
          <w:tcPr>
            <w:tcW w:w="3834" w:type="pct"/>
            <w:vAlign w:val="center"/>
          </w:tcPr>
          <w:p w14:paraId="23418E1B" w14:textId="2B9857D3"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Ministria e Mjedisit, Planifikimit Hapësinor dhe Infrastrukturës</w:t>
            </w:r>
          </w:p>
        </w:tc>
      </w:tr>
      <w:tr w:rsidR="00E03B48" w:rsidRPr="00705B56" w14:paraId="0783AE1F" w14:textId="77777777" w:rsidTr="00E03B48">
        <w:tc>
          <w:tcPr>
            <w:tcW w:w="1166" w:type="pct"/>
            <w:vAlign w:val="center"/>
          </w:tcPr>
          <w:p w14:paraId="7745101B"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MoH</w:t>
            </w:r>
          </w:p>
        </w:tc>
        <w:tc>
          <w:tcPr>
            <w:tcW w:w="3834" w:type="pct"/>
            <w:vAlign w:val="center"/>
          </w:tcPr>
          <w:p w14:paraId="2F87CB01" w14:textId="067072F1"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Ministria e Shëndetësisë</w:t>
            </w:r>
          </w:p>
        </w:tc>
      </w:tr>
      <w:tr w:rsidR="00E03B48" w:rsidRPr="00705B56" w14:paraId="01052964" w14:textId="77777777" w:rsidTr="00E03B48">
        <w:tc>
          <w:tcPr>
            <w:tcW w:w="1166" w:type="pct"/>
            <w:vAlign w:val="center"/>
          </w:tcPr>
          <w:p w14:paraId="61BB9D0C"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NAP</w:t>
            </w:r>
          </w:p>
        </w:tc>
        <w:tc>
          <w:tcPr>
            <w:tcW w:w="3834" w:type="pct"/>
            <w:vAlign w:val="center"/>
          </w:tcPr>
          <w:p w14:paraId="7584C1A1" w14:textId="4868C81B"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Plani Kombëtar i Përshtatjes</w:t>
            </w:r>
          </w:p>
        </w:tc>
      </w:tr>
      <w:tr w:rsidR="00E03B48" w:rsidRPr="00705B56" w14:paraId="1A93DC93" w14:textId="77777777" w:rsidTr="00E03B48">
        <w:tc>
          <w:tcPr>
            <w:tcW w:w="1166" w:type="pct"/>
            <w:vAlign w:val="center"/>
          </w:tcPr>
          <w:p w14:paraId="3E118405"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NAS</w:t>
            </w:r>
          </w:p>
        </w:tc>
        <w:tc>
          <w:tcPr>
            <w:tcW w:w="3834" w:type="pct"/>
            <w:vAlign w:val="center"/>
          </w:tcPr>
          <w:p w14:paraId="4102917A" w14:textId="6CEAEF13" w:rsidR="00E03B48" w:rsidRPr="00705B56" w:rsidRDefault="00BE39C7" w:rsidP="00A50A28">
            <w:pPr>
              <w:spacing w:before="0" w:line="240" w:lineRule="auto"/>
              <w:rPr>
                <w:rFonts w:ascii="Arial" w:hAnsi="Arial" w:cs="Arial"/>
                <w:sz w:val="20"/>
                <w:szCs w:val="20"/>
                <w:lang w:val="sq-AL"/>
              </w:rPr>
            </w:pPr>
            <w:r w:rsidRPr="00705B56">
              <w:rPr>
                <w:rFonts w:ascii="Arial" w:hAnsi="Arial" w:cs="Arial"/>
                <w:sz w:val="20"/>
                <w:szCs w:val="20"/>
                <w:lang w:val="sq-AL"/>
              </w:rPr>
              <w:t>Strategjia</w:t>
            </w:r>
            <w:r w:rsidR="00A50A28" w:rsidRPr="00705B56">
              <w:rPr>
                <w:rFonts w:ascii="Arial" w:hAnsi="Arial" w:cs="Arial"/>
                <w:sz w:val="20"/>
                <w:szCs w:val="20"/>
                <w:lang w:val="sq-AL"/>
              </w:rPr>
              <w:t xml:space="preserve"> Kombëtare e Përshtatjes</w:t>
            </w:r>
          </w:p>
        </w:tc>
      </w:tr>
      <w:tr w:rsidR="00E03B48" w:rsidRPr="00705B56" w14:paraId="4E0F63B2" w14:textId="77777777" w:rsidTr="00E03B48">
        <w:tc>
          <w:tcPr>
            <w:tcW w:w="1166" w:type="pct"/>
            <w:vAlign w:val="center"/>
          </w:tcPr>
          <w:p w14:paraId="3581B26B"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NCCC</w:t>
            </w:r>
          </w:p>
        </w:tc>
        <w:tc>
          <w:tcPr>
            <w:tcW w:w="3834" w:type="pct"/>
            <w:vAlign w:val="center"/>
          </w:tcPr>
          <w:p w14:paraId="4BA6837E" w14:textId="13E383E8"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Këshilli Kombëtar për Ndryshimet Klimatike</w:t>
            </w:r>
          </w:p>
        </w:tc>
      </w:tr>
      <w:tr w:rsidR="00E03B48" w:rsidRPr="00705B56" w14:paraId="3862EEE6" w14:textId="77777777" w:rsidTr="00E03B48">
        <w:tc>
          <w:tcPr>
            <w:tcW w:w="1166" w:type="pct"/>
            <w:vAlign w:val="center"/>
          </w:tcPr>
          <w:p w14:paraId="3F708539"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NDC</w:t>
            </w:r>
          </w:p>
        </w:tc>
        <w:tc>
          <w:tcPr>
            <w:tcW w:w="3834" w:type="pct"/>
            <w:vAlign w:val="center"/>
          </w:tcPr>
          <w:p w14:paraId="5AB3A237" w14:textId="2FE39F1D"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Kontributi i Përcaktuar Kombëtar</w:t>
            </w:r>
          </w:p>
        </w:tc>
      </w:tr>
      <w:tr w:rsidR="00E03B48" w:rsidRPr="00705B56" w14:paraId="647DCCCB" w14:textId="77777777" w:rsidTr="00E03B48">
        <w:tc>
          <w:tcPr>
            <w:tcW w:w="1166" w:type="pct"/>
            <w:vAlign w:val="center"/>
          </w:tcPr>
          <w:p w14:paraId="4673BC01"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NDSP</w:t>
            </w:r>
          </w:p>
        </w:tc>
        <w:tc>
          <w:tcPr>
            <w:tcW w:w="3834" w:type="pct"/>
            <w:vAlign w:val="center"/>
          </w:tcPr>
          <w:p w14:paraId="61005305" w14:textId="0BE29A46" w:rsidR="00E03B48" w:rsidRPr="00705B56" w:rsidRDefault="00BE39C7" w:rsidP="00A50A28">
            <w:pPr>
              <w:spacing w:before="0" w:line="240" w:lineRule="auto"/>
              <w:rPr>
                <w:rFonts w:ascii="Arial" w:hAnsi="Arial" w:cs="Arial"/>
                <w:sz w:val="20"/>
                <w:szCs w:val="20"/>
                <w:lang w:val="sq-AL"/>
              </w:rPr>
            </w:pPr>
            <w:r w:rsidRPr="00705B56">
              <w:rPr>
                <w:rFonts w:ascii="Arial" w:hAnsi="Arial" w:cs="Arial"/>
                <w:sz w:val="20"/>
                <w:szCs w:val="20"/>
                <w:lang w:val="sq-AL"/>
              </w:rPr>
              <w:t>Strategjia</w:t>
            </w:r>
            <w:r w:rsidR="00A50A28" w:rsidRPr="00705B56">
              <w:rPr>
                <w:rFonts w:ascii="Arial" w:hAnsi="Arial" w:cs="Arial"/>
                <w:sz w:val="20"/>
                <w:szCs w:val="20"/>
                <w:lang w:val="sq-AL"/>
              </w:rPr>
              <w:t xml:space="preserve"> dhe Plani Kombëtar i Zhvillimit</w:t>
            </w:r>
          </w:p>
        </w:tc>
      </w:tr>
      <w:tr w:rsidR="00E03B48" w:rsidRPr="00705B56" w14:paraId="4BE7FFBB" w14:textId="77777777" w:rsidTr="00E03B48">
        <w:tc>
          <w:tcPr>
            <w:tcW w:w="1166" w:type="pct"/>
            <w:vAlign w:val="center"/>
          </w:tcPr>
          <w:p w14:paraId="492669C1"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NECP</w:t>
            </w:r>
          </w:p>
        </w:tc>
        <w:tc>
          <w:tcPr>
            <w:tcW w:w="3834" w:type="pct"/>
            <w:vAlign w:val="center"/>
          </w:tcPr>
          <w:p w14:paraId="61B3DB11" w14:textId="22FFDE80"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Plani Kombëtar për Energji dhe Klimë</w:t>
            </w:r>
          </w:p>
        </w:tc>
      </w:tr>
      <w:tr w:rsidR="00E03B48" w:rsidRPr="00705B56" w14:paraId="030CF1AE" w14:textId="77777777" w:rsidTr="00E03B48">
        <w:tc>
          <w:tcPr>
            <w:tcW w:w="1166" w:type="pct"/>
            <w:vAlign w:val="center"/>
          </w:tcPr>
          <w:p w14:paraId="1E4A79A2"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NIPH</w:t>
            </w:r>
          </w:p>
        </w:tc>
        <w:tc>
          <w:tcPr>
            <w:tcW w:w="3834" w:type="pct"/>
            <w:vAlign w:val="center"/>
          </w:tcPr>
          <w:p w14:paraId="2A290762" w14:textId="61B60276"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Instituti Kombëtar i Shëndetësisë Publike</w:t>
            </w:r>
          </w:p>
        </w:tc>
      </w:tr>
      <w:tr w:rsidR="00E03B48" w:rsidRPr="00705B56" w14:paraId="4838A2BA" w14:textId="77777777" w:rsidTr="00E03B48">
        <w:tc>
          <w:tcPr>
            <w:tcW w:w="1166" w:type="pct"/>
            <w:vAlign w:val="center"/>
          </w:tcPr>
          <w:p w14:paraId="22A040BB"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NZEBs</w:t>
            </w:r>
          </w:p>
        </w:tc>
        <w:tc>
          <w:tcPr>
            <w:tcW w:w="3834" w:type="pct"/>
            <w:vAlign w:val="center"/>
          </w:tcPr>
          <w:p w14:paraId="78E01954" w14:textId="152501CE"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Ndërtesa me Konsum Gati-Zero të Energjisë</w:t>
            </w:r>
          </w:p>
        </w:tc>
      </w:tr>
      <w:tr w:rsidR="00E03B48" w:rsidRPr="00705B56" w14:paraId="109927C1" w14:textId="77777777" w:rsidTr="00E03B48">
        <w:tc>
          <w:tcPr>
            <w:tcW w:w="1166" w:type="pct"/>
            <w:vAlign w:val="center"/>
          </w:tcPr>
          <w:p w14:paraId="3FC7931C"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PFRA</w:t>
            </w:r>
          </w:p>
        </w:tc>
        <w:tc>
          <w:tcPr>
            <w:tcW w:w="3834" w:type="pct"/>
            <w:vAlign w:val="center"/>
          </w:tcPr>
          <w:p w14:paraId="66637555" w14:textId="385CA527"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Vlerësimi Paraprak i Rrezikut nga Përmbytjet</w:t>
            </w:r>
          </w:p>
        </w:tc>
      </w:tr>
      <w:tr w:rsidR="00E03B48" w:rsidRPr="00705B56" w14:paraId="32257D96" w14:textId="77777777" w:rsidTr="00E03B48">
        <w:tc>
          <w:tcPr>
            <w:tcW w:w="1166" w:type="pct"/>
            <w:vAlign w:val="center"/>
          </w:tcPr>
          <w:p w14:paraId="5E96E3D7"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PV</w:t>
            </w:r>
          </w:p>
        </w:tc>
        <w:tc>
          <w:tcPr>
            <w:tcW w:w="3834" w:type="pct"/>
            <w:vAlign w:val="center"/>
          </w:tcPr>
          <w:p w14:paraId="5DAF88F1" w14:textId="3409513C"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Fotovoltaik Solar</w:t>
            </w:r>
          </w:p>
        </w:tc>
      </w:tr>
      <w:tr w:rsidR="00E03B48" w:rsidRPr="00705B56" w14:paraId="03FC7A46" w14:textId="77777777" w:rsidTr="00E03B48">
        <w:tc>
          <w:tcPr>
            <w:tcW w:w="1166" w:type="pct"/>
            <w:vAlign w:val="center"/>
          </w:tcPr>
          <w:p w14:paraId="634FBCE1"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RBDA</w:t>
            </w:r>
          </w:p>
        </w:tc>
        <w:tc>
          <w:tcPr>
            <w:tcW w:w="3834" w:type="pct"/>
            <w:vAlign w:val="center"/>
          </w:tcPr>
          <w:p w14:paraId="050DF855" w14:textId="45334BE5"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Autoriteti i Rajonit të Pellgjeve Lumore</w:t>
            </w:r>
          </w:p>
        </w:tc>
      </w:tr>
      <w:tr w:rsidR="00E03B48" w:rsidRPr="00705B56" w14:paraId="6F991741" w14:textId="77777777" w:rsidTr="00E03B48">
        <w:tc>
          <w:tcPr>
            <w:tcW w:w="1166" w:type="pct"/>
            <w:vAlign w:val="center"/>
          </w:tcPr>
          <w:p w14:paraId="07EB750C"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RCP</w:t>
            </w:r>
          </w:p>
        </w:tc>
        <w:tc>
          <w:tcPr>
            <w:tcW w:w="3834" w:type="pct"/>
            <w:vAlign w:val="center"/>
          </w:tcPr>
          <w:p w14:paraId="6EF607E0" w14:textId="33D7054A"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Skenar i Përqendrimeve Përfaqësuese</w:t>
            </w:r>
          </w:p>
        </w:tc>
      </w:tr>
      <w:tr w:rsidR="00E03B48" w:rsidRPr="00705B56" w14:paraId="36530BF7" w14:textId="77777777" w:rsidTr="00E03B48">
        <w:tc>
          <w:tcPr>
            <w:tcW w:w="1166" w:type="pct"/>
            <w:vAlign w:val="center"/>
          </w:tcPr>
          <w:p w14:paraId="5F1E149E"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RWCs</w:t>
            </w:r>
          </w:p>
        </w:tc>
        <w:tc>
          <w:tcPr>
            <w:tcW w:w="3834" w:type="pct"/>
            <w:vAlign w:val="center"/>
          </w:tcPr>
          <w:p w14:paraId="2009E2EB" w14:textId="64EC740F"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Kompanitë Rajonale të Ujit</w:t>
            </w:r>
          </w:p>
        </w:tc>
      </w:tr>
      <w:tr w:rsidR="00E03B48" w:rsidRPr="00705B56" w14:paraId="25C29F1A" w14:textId="77777777" w:rsidTr="00E03B48">
        <w:tc>
          <w:tcPr>
            <w:tcW w:w="1166" w:type="pct"/>
            <w:vAlign w:val="center"/>
          </w:tcPr>
          <w:p w14:paraId="2AFEDE38"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SARD</w:t>
            </w:r>
          </w:p>
        </w:tc>
        <w:tc>
          <w:tcPr>
            <w:tcW w:w="3834" w:type="pct"/>
            <w:vAlign w:val="center"/>
          </w:tcPr>
          <w:p w14:paraId="0E9FDBDE" w14:textId="0F453857" w:rsidR="00E03B48" w:rsidRPr="00705B56" w:rsidRDefault="00BE39C7" w:rsidP="00A50A28">
            <w:pPr>
              <w:spacing w:before="0" w:line="240" w:lineRule="auto"/>
              <w:rPr>
                <w:rFonts w:ascii="Arial" w:hAnsi="Arial" w:cs="Arial"/>
                <w:sz w:val="20"/>
                <w:szCs w:val="20"/>
                <w:lang w:val="sq-AL"/>
              </w:rPr>
            </w:pPr>
            <w:r w:rsidRPr="00705B56">
              <w:rPr>
                <w:rFonts w:ascii="Arial" w:hAnsi="Arial" w:cs="Arial"/>
                <w:sz w:val="20"/>
                <w:szCs w:val="20"/>
                <w:lang w:val="sq-AL"/>
              </w:rPr>
              <w:t>Strategjia</w:t>
            </w:r>
            <w:r w:rsidR="00A50A28" w:rsidRPr="00705B56">
              <w:rPr>
                <w:rFonts w:ascii="Arial" w:hAnsi="Arial" w:cs="Arial"/>
                <w:sz w:val="20"/>
                <w:szCs w:val="20"/>
                <w:lang w:val="sq-AL"/>
              </w:rPr>
              <w:t xml:space="preserve"> për Bujqësi të Qëndrueshme dhe Zhvillim Rural</w:t>
            </w:r>
          </w:p>
        </w:tc>
      </w:tr>
      <w:tr w:rsidR="00E03B48" w:rsidRPr="00705B56" w14:paraId="0B4F201D" w14:textId="77777777" w:rsidTr="00E03B48">
        <w:tc>
          <w:tcPr>
            <w:tcW w:w="1166" w:type="pct"/>
            <w:vAlign w:val="center"/>
          </w:tcPr>
          <w:p w14:paraId="365E7EEA"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SAA</w:t>
            </w:r>
          </w:p>
        </w:tc>
        <w:tc>
          <w:tcPr>
            <w:tcW w:w="3834" w:type="pct"/>
            <w:vAlign w:val="center"/>
          </w:tcPr>
          <w:p w14:paraId="6237A202" w14:textId="0D652EF8"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Marrëveshja e Stabilizim-Asociimit</w:t>
            </w:r>
          </w:p>
        </w:tc>
      </w:tr>
      <w:tr w:rsidR="00E03B48" w:rsidRPr="00705B56" w14:paraId="772C6BF2" w14:textId="77777777" w:rsidTr="00E03B48">
        <w:tc>
          <w:tcPr>
            <w:tcW w:w="1166" w:type="pct"/>
            <w:vAlign w:val="center"/>
          </w:tcPr>
          <w:p w14:paraId="758FB5E6"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SCADA/EMS</w:t>
            </w:r>
          </w:p>
        </w:tc>
        <w:tc>
          <w:tcPr>
            <w:tcW w:w="3834" w:type="pct"/>
            <w:vAlign w:val="center"/>
          </w:tcPr>
          <w:p w14:paraId="25422FB1" w14:textId="77059BE1"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Sistemi i Kontrollit Mbikëqyrës dhe Menaxhimit të Energjisë</w:t>
            </w:r>
          </w:p>
        </w:tc>
      </w:tr>
      <w:tr w:rsidR="00E03B48" w:rsidRPr="00705B56" w14:paraId="3E1347A8" w14:textId="77777777" w:rsidTr="00E03B48">
        <w:tc>
          <w:tcPr>
            <w:tcW w:w="1166" w:type="pct"/>
            <w:vAlign w:val="center"/>
          </w:tcPr>
          <w:p w14:paraId="7E360A29"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SDGs</w:t>
            </w:r>
          </w:p>
        </w:tc>
        <w:tc>
          <w:tcPr>
            <w:tcW w:w="3834" w:type="pct"/>
            <w:vAlign w:val="center"/>
          </w:tcPr>
          <w:p w14:paraId="7A30D2C8" w14:textId="6B4FD680"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Objektivat për Zhvillim të Qëndrueshëm</w:t>
            </w:r>
          </w:p>
        </w:tc>
      </w:tr>
      <w:tr w:rsidR="00E03B48" w:rsidRPr="00705B56" w14:paraId="4577E0C4" w14:textId="77777777" w:rsidTr="00E03B48">
        <w:tc>
          <w:tcPr>
            <w:tcW w:w="1166" w:type="pct"/>
            <w:vAlign w:val="center"/>
          </w:tcPr>
          <w:p w14:paraId="04B0BB65"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SPC</w:t>
            </w:r>
          </w:p>
        </w:tc>
        <w:tc>
          <w:tcPr>
            <w:tcW w:w="3834" w:type="pct"/>
            <w:vAlign w:val="center"/>
          </w:tcPr>
          <w:p w14:paraId="0B11D07C" w14:textId="5F9E97C8"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Komiteti për Planifikim Strategjik</w:t>
            </w:r>
          </w:p>
        </w:tc>
      </w:tr>
      <w:tr w:rsidR="00E03B48" w:rsidRPr="00705B56" w14:paraId="7BE99C85" w14:textId="77777777" w:rsidTr="00E03B48">
        <w:tc>
          <w:tcPr>
            <w:tcW w:w="1166" w:type="pct"/>
            <w:vAlign w:val="center"/>
          </w:tcPr>
          <w:p w14:paraId="22F69021"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SPO</w:t>
            </w:r>
          </w:p>
        </w:tc>
        <w:tc>
          <w:tcPr>
            <w:tcW w:w="3834" w:type="pct"/>
            <w:vAlign w:val="center"/>
          </w:tcPr>
          <w:p w14:paraId="6803FC0E" w14:textId="29B50C75"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Zyra për Planifikim Strategjik</w:t>
            </w:r>
          </w:p>
        </w:tc>
      </w:tr>
      <w:tr w:rsidR="00E03B48" w:rsidRPr="00705B56" w14:paraId="7CFF7E30" w14:textId="77777777" w:rsidTr="00E03B48">
        <w:tc>
          <w:tcPr>
            <w:tcW w:w="1166" w:type="pct"/>
            <w:vAlign w:val="center"/>
          </w:tcPr>
          <w:p w14:paraId="4C2688AF"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SSPs</w:t>
            </w:r>
          </w:p>
        </w:tc>
        <w:tc>
          <w:tcPr>
            <w:tcW w:w="3834" w:type="pct"/>
            <w:vAlign w:val="center"/>
          </w:tcPr>
          <w:p w14:paraId="7D5690D7" w14:textId="2CB13BF4"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Skenarët Socio-Ekonomikë të Përbashkët</w:t>
            </w:r>
          </w:p>
        </w:tc>
      </w:tr>
      <w:tr w:rsidR="00E03B48" w:rsidRPr="00705B56" w14:paraId="398A31B7" w14:textId="77777777" w:rsidTr="00E03B48">
        <w:tc>
          <w:tcPr>
            <w:tcW w:w="1166" w:type="pct"/>
            <w:vAlign w:val="center"/>
          </w:tcPr>
          <w:p w14:paraId="709901D4"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UNDP</w:t>
            </w:r>
          </w:p>
        </w:tc>
        <w:tc>
          <w:tcPr>
            <w:tcW w:w="3834" w:type="pct"/>
            <w:vAlign w:val="center"/>
          </w:tcPr>
          <w:p w14:paraId="38E80EBD" w14:textId="6046F0D7"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Programi i Kombeve të Bashkuara për Zhvillim</w:t>
            </w:r>
          </w:p>
        </w:tc>
      </w:tr>
      <w:tr w:rsidR="00E03B48" w:rsidRPr="00705B56" w14:paraId="668E5AAE" w14:textId="77777777" w:rsidTr="00E03B48">
        <w:tc>
          <w:tcPr>
            <w:tcW w:w="1166" w:type="pct"/>
            <w:vAlign w:val="center"/>
          </w:tcPr>
          <w:p w14:paraId="05A21725"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UNFCCC</w:t>
            </w:r>
          </w:p>
        </w:tc>
        <w:tc>
          <w:tcPr>
            <w:tcW w:w="3834" w:type="pct"/>
            <w:vAlign w:val="center"/>
          </w:tcPr>
          <w:p w14:paraId="365E9BDE" w14:textId="0EE30659"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Konventa e Kombeve të Bashkuara për Ndryshimet Klimatike</w:t>
            </w:r>
          </w:p>
        </w:tc>
      </w:tr>
      <w:tr w:rsidR="00E03B48" w:rsidRPr="00705B56" w14:paraId="7AB3644B" w14:textId="77777777" w:rsidTr="00E03B48">
        <w:tc>
          <w:tcPr>
            <w:tcW w:w="1166" w:type="pct"/>
            <w:vAlign w:val="center"/>
          </w:tcPr>
          <w:p w14:paraId="7E39A68A"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USAID</w:t>
            </w:r>
          </w:p>
        </w:tc>
        <w:tc>
          <w:tcPr>
            <w:tcW w:w="3834" w:type="pct"/>
            <w:vAlign w:val="center"/>
          </w:tcPr>
          <w:p w14:paraId="04B6FA77" w14:textId="75545D53"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Agjencia e Shteteve të Bashkuara për Zhvillim Ndërkombëtar</w:t>
            </w:r>
          </w:p>
        </w:tc>
      </w:tr>
      <w:tr w:rsidR="00E03B48" w:rsidRPr="00705B56" w14:paraId="3FE842D5" w14:textId="77777777" w:rsidTr="00E03B48">
        <w:tc>
          <w:tcPr>
            <w:tcW w:w="1166" w:type="pct"/>
            <w:vAlign w:val="center"/>
          </w:tcPr>
          <w:p w14:paraId="4F1B92DF"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WASH</w:t>
            </w:r>
          </w:p>
        </w:tc>
        <w:tc>
          <w:tcPr>
            <w:tcW w:w="3834" w:type="pct"/>
            <w:vAlign w:val="center"/>
          </w:tcPr>
          <w:p w14:paraId="6FDE5824" w14:textId="26D7D121"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 xml:space="preserve">Ujë, </w:t>
            </w:r>
            <w:r w:rsidR="00393F69" w:rsidRPr="00705B56">
              <w:rPr>
                <w:rFonts w:ascii="Arial" w:hAnsi="Arial" w:cs="Arial"/>
                <w:sz w:val="20"/>
                <w:szCs w:val="20"/>
                <w:lang w:val="sq-AL"/>
              </w:rPr>
              <w:t xml:space="preserve"> Sanitacion dhe Higjienë </w:t>
            </w:r>
          </w:p>
        </w:tc>
      </w:tr>
      <w:tr w:rsidR="00E03B48" w:rsidRPr="00705B56" w14:paraId="31418A36" w14:textId="77777777" w:rsidTr="00E03B48">
        <w:tc>
          <w:tcPr>
            <w:tcW w:w="1166" w:type="pct"/>
            <w:vAlign w:val="center"/>
          </w:tcPr>
          <w:p w14:paraId="4C58B2A1"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WBG</w:t>
            </w:r>
          </w:p>
        </w:tc>
        <w:tc>
          <w:tcPr>
            <w:tcW w:w="3834" w:type="pct"/>
            <w:vAlign w:val="center"/>
          </w:tcPr>
          <w:p w14:paraId="01C9AEBF" w14:textId="5674BD90"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Grupi i Bankës Botërore</w:t>
            </w:r>
          </w:p>
        </w:tc>
      </w:tr>
      <w:tr w:rsidR="00E03B48" w:rsidRPr="00705B56" w14:paraId="6858ABDC" w14:textId="77777777" w:rsidTr="00E03B48">
        <w:tc>
          <w:tcPr>
            <w:tcW w:w="1166" w:type="pct"/>
            <w:vAlign w:val="center"/>
          </w:tcPr>
          <w:p w14:paraId="3A6015A2"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WBIF</w:t>
            </w:r>
          </w:p>
        </w:tc>
        <w:tc>
          <w:tcPr>
            <w:tcW w:w="3834" w:type="pct"/>
            <w:vAlign w:val="center"/>
          </w:tcPr>
          <w:p w14:paraId="132AB46E" w14:textId="67A1F5C5"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Korniza Investuese për Ballkanin Perëndimor</w:t>
            </w:r>
          </w:p>
        </w:tc>
      </w:tr>
      <w:tr w:rsidR="00E03B48" w:rsidRPr="00705B56" w14:paraId="0B95BEE5" w14:textId="77777777" w:rsidTr="00E03B48">
        <w:tc>
          <w:tcPr>
            <w:tcW w:w="1166" w:type="pct"/>
            <w:vAlign w:val="center"/>
          </w:tcPr>
          <w:p w14:paraId="2CC61733"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WFD</w:t>
            </w:r>
          </w:p>
        </w:tc>
        <w:tc>
          <w:tcPr>
            <w:tcW w:w="3834" w:type="pct"/>
            <w:vAlign w:val="center"/>
          </w:tcPr>
          <w:p w14:paraId="4674D82B" w14:textId="62EFB657"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Direktivë për Ujërat e BE-së</w:t>
            </w:r>
          </w:p>
        </w:tc>
      </w:tr>
      <w:tr w:rsidR="00E03B48" w:rsidRPr="00705B56" w14:paraId="69E12089" w14:textId="77777777" w:rsidTr="00E03B48">
        <w:tc>
          <w:tcPr>
            <w:tcW w:w="1166" w:type="pct"/>
            <w:vAlign w:val="center"/>
          </w:tcPr>
          <w:p w14:paraId="0AC8FF6E"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WRIPS</w:t>
            </w:r>
          </w:p>
        </w:tc>
        <w:tc>
          <w:tcPr>
            <w:tcW w:w="3834" w:type="pct"/>
            <w:vAlign w:val="center"/>
          </w:tcPr>
          <w:p w14:paraId="5BFBE731" w14:textId="7F52D83B"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Studimi për Përgatitjen e Investimeve në Burimet e Ujit</w:t>
            </w:r>
          </w:p>
        </w:tc>
      </w:tr>
      <w:tr w:rsidR="00E03B48" w:rsidRPr="00705B56" w14:paraId="3C9F356C" w14:textId="77777777" w:rsidTr="00E03B48">
        <w:tc>
          <w:tcPr>
            <w:tcW w:w="1166" w:type="pct"/>
            <w:vAlign w:val="center"/>
          </w:tcPr>
          <w:p w14:paraId="7CAA0A86" w14:textId="77777777" w:rsidR="00E03B48" w:rsidRPr="00705B56" w:rsidRDefault="00E03B48" w:rsidP="00E03B48">
            <w:pPr>
              <w:spacing w:before="0" w:line="240" w:lineRule="auto"/>
              <w:jc w:val="center"/>
              <w:rPr>
                <w:rFonts w:ascii="Arial" w:hAnsi="Arial" w:cs="Arial"/>
                <w:b/>
                <w:bCs/>
                <w:color w:val="22635D"/>
                <w:sz w:val="20"/>
                <w:szCs w:val="20"/>
                <w:lang w:val="sq-AL"/>
              </w:rPr>
            </w:pPr>
            <w:r w:rsidRPr="00705B56">
              <w:rPr>
                <w:rFonts w:ascii="Arial" w:hAnsi="Arial" w:cs="Arial"/>
                <w:b/>
                <w:bCs/>
                <w:color w:val="22635D"/>
                <w:sz w:val="20"/>
                <w:szCs w:val="20"/>
                <w:lang w:val="sq-AL"/>
              </w:rPr>
              <w:t>WRMA</w:t>
            </w:r>
          </w:p>
        </w:tc>
        <w:tc>
          <w:tcPr>
            <w:tcW w:w="3834" w:type="pct"/>
            <w:vAlign w:val="center"/>
          </w:tcPr>
          <w:p w14:paraId="22629FF5" w14:textId="79ABFD22" w:rsidR="00E03B48" w:rsidRPr="00705B56" w:rsidRDefault="00A50A28" w:rsidP="00A50A28">
            <w:pPr>
              <w:spacing w:before="0" w:line="240" w:lineRule="auto"/>
              <w:rPr>
                <w:rFonts w:ascii="Arial" w:hAnsi="Arial" w:cs="Arial"/>
                <w:sz w:val="20"/>
                <w:szCs w:val="20"/>
                <w:lang w:val="sq-AL"/>
              </w:rPr>
            </w:pPr>
            <w:r w:rsidRPr="00705B56">
              <w:rPr>
                <w:rFonts w:ascii="Arial" w:hAnsi="Arial" w:cs="Arial"/>
                <w:sz w:val="20"/>
                <w:szCs w:val="20"/>
                <w:lang w:val="sq-AL"/>
              </w:rPr>
              <w:t>Agjencia për Menaxhimin e Burimeve Ujore</w:t>
            </w:r>
          </w:p>
        </w:tc>
      </w:tr>
    </w:tbl>
    <w:p w14:paraId="7A26C078" w14:textId="77777777" w:rsidR="00DA48FC" w:rsidRPr="00705B56" w:rsidRDefault="00DA48FC" w:rsidP="00DA48FC">
      <w:pPr>
        <w:pStyle w:val="Heading1"/>
        <w:rPr>
          <w:rFonts w:ascii="Arial" w:hAnsi="Arial" w:cs="Arial"/>
          <w:b/>
          <w:bCs/>
          <w:color w:val="22635D"/>
          <w:lang w:val="sq-AL"/>
        </w:rPr>
      </w:pPr>
      <w:bookmarkStart w:id="2" w:name="_Toc202880070"/>
      <w:bookmarkStart w:id="3" w:name="_Toc211532672"/>
      <w:r w:rsidRPr="00705B56">
        <w:rPr>
          <w:rFonts w:ascii="Arial" w:hAnsi="Arial" w:cs="Arial"/>
          <w:b/>
          <w:bCs/>
          <w:color w:val="22635D"/>
          <w:lang w:val="sq-AL"/>
        </w:rPr>
        <w:lastRenderedPageBreak/>
        <w:t xml:space="preserve">I. </w:t>
      </w:r>
      <w:bookmarkEnd w:id="2"/>
      <w:r w:rsidRPr="00705B56">
        <w:rPr>
          <w:rFonts w:ascii="Arial" w:hAnsi="Arial" w:cs="Arial"/>
          <w:b/>
          <w:bCs/>
          <w:color w:val="22635D"/>
          <w:lang w:val="sq-AL"/>
        </w:rPr>
        <w:t>PËRMBLEDHJE EKZEKUTIVE</w:t>
      </w:r>
      <w:bookmarkEnd w:id="3"/>
    </w:p>
    <w:p w14:paraId="7A432241" w14:textId="536D6E3C" w:rsidR="00540947" w:rsidRPr="00705B56" w:rsidRDefault="00540947" w:rsidP="00540947">
      <w:pPr>
        <w:spacing w:before="0"/>
        <w:jc w:val="both"/>
        <w:rPr>
          <w:rFonts w:ascii="Arial" w:eastAsia="Aptos" w:hAnsi="Arial" w:cs="Arial"/>
          <w:lang w:val="sq-AL"/>
        </w:rPr>
      </w:pPr>
      <w:r w:rsidRPr="00705B56">
        <w:rPr>
          <w:rFonts w:ascii="Arial" w:eastAsia="Aptos" w:hAnsi="Arial" w:cs="Arial"/>
          <w:lang w:val="sq-AL"/>
        </w:rPr>
        <w:t>Kosova po përballet gjithnjë e më shumë me sfida të lidhura me ndryshimet klimatike në sektorët kyç. Rritja e shpeshtësisë dhe intensitetit të fenomeneve ekstreme të motit thekson nevojën urgjente për të forcuar përpjekjet për përshtatje dhe për të ndërtuar qëndrueshmëri ndaj ndryshimeve klimatike. Këta faktorë ndikojnë veçanërisht në zonat rurale dhe komunitetet me kapacitet të kufizuar për t’u përshtatur. Në këtë kontekst, forcimi i qëndrueshmërisë klimatike në bujqësi dhe pylltari, menaxhimi i burimeve ujore dhe energji</w:t>
      </w:r>
      <w:r w:rsidR="004816EC" w:rsidRPr="00705B56">
        <w:rPr>
          <w:rFonts w:ascii="Arial" w:eastAsia="Aptos" w:hAnsi="Arial" w:cs="Arial"/>
          <w:lang w:val="sq-AL"/>
        </w:rPr>
        <w:t>tike</w:t>
      </w:r>
      <w:r w:rsidRPr="00705B56">
        <w:rPr>
          <w:rFonts w:ascii="Arial" w:eastAsia="Aptos" w:hAnsi="Arial" w:cs="Arial"/>
          <w:lang w:val="sq-AL"/>
        </w:rPr>
        <w:t xml:space="preserve">  si dhe mbrojtja e shëndetit publik dhe mirëqenies sociale janë prioritete thelbësore për të garantuar stabilitetin afatgjatë ekonomik dhe shoqëror të Kosovës</w:t>
      </w:r>
      <w:r w:rsidRPr="00705B56">
        <w:rPr>
          <w:rFonts w:ascii="Arial" w:eastAsia="Aptos" w:hAnsi="Arial" w:cs="Arial"/>
          <w:vertAlign w:val="superscript"/>
          <w:lang w:val="sq-AL"/>
        </w:rPr>
        <w:footnoteReference w:id="1"/>
      </w:r>
      <w:r w:rsidRPr="00705B56">
        <w:rPr>
          <w:rFonts w:ascii="Arial" w:eastAsia="Aptos" w:hAnsi="Arial" w:cs="Arial"/>
          <w:vertAlign w:val="superscript"/>
          <w:lang w:val="sq-AL"/>
        </w:rPr>
        <w:t>,</w:t>
      </w:r>
      <w:r w:rsidRPr="00705B56">
        <w:rPr>
          <w:rFonts w:ascii="Arial" w:eastAsia="Aptos" w:hAnsi="Arial" w:cs="Arial"/>
          <w:vertAlign w:val="superscript"/>
          <w:lang w:val="sq-AL"/>
        </w:rPr>
        <w:footnoteReference w:id="2"/>
      </w:r>
      <w:r w:rsidRPr="00705B56">
        <w:rPr>
          <w:rFonts w:ascii="Arial" w:eastAsia="Aptos" w:hAnsi="Arial" w:cs="Arial"/>
          <w:vertAlign w:val="superscript"/>
          <w:lang w:val="sq-AL"/>
        </w:rPr>
        <w:t>,</w:t>
      </w:r>
      <w:r w:rsidRPr="00705B56">
        <w:rPr>
          <w:rFonts w:ascii="Arial" w:eastAsia="Aptos" w:hAnsi="Arial" w:cs="Arial"/>
          <w:vertAlign w:val="superscript"/>
          <w:lang w:val="sq-AL"/>
        </w:rPr>
        <w:footnoteReference w:id="3"/>
      </w:r>
      <w:r w:rsidRPr="00705B56">
        <w:rPr>
          <w:rFonts w:ascii="Arial" w:eastAsia="Aptos" w:hAnsi="Arial" w:cs="Arial"/>
          <w:lang w:val="sq-AL"/>
        </w:rPr>
        <w:t xml:space="preserve">. </w:t>
      </w:r>
    </w:p>
    <w:p w14:paraId="7C861FFB" w14:textId="6ACA2B7E" w:rsidR="00540947" w:rsidRPr="00705B56" w:rsidRDefault="00540947" w:rsidP="00540947">
      <w:pPr>
        <w:spacing w:before="0"/>
        <w:jc w:val="both"/>
        <w:rPr>
          <w:rFonts w:ascii="Arial" w:eastAsia="Aptos" w:hAnsi="Arial" w:cs="Arial"/>
          <w:lang w:val="sq-AL"/>
        </w:rPr>
      </w:pPr>
      <w:r w:rsidRPr="00705B56">
        <w:rPr>
          <w:rFonts w:ascii="Arial" w:eastAsia="Aptos" w:hAnsi="Arial" w:cs="Arial"/>
          <w:lang w:val="sq-AL"/>
        </w:rPr>
        <w:t>Hartimi i</w:t>
      </w:r>
      <w:r w:rsidRPr="00705B56">
        <w:rPr>
          <w:rFonts w:ascii="Arial" w:eastAsia="Aptos" w:hAnsi="Arial" w:cs="Arial"/>
          <w:b/>
          <w:bCs/>
          <w:lang w:val="sq-AL"/>
        </w:rPr>
        <w:t xml:space="preserve"> </w:t>
      </w:r>
      <w:r w:rsidRPr="00705B56">
        <w:rPr>
          <w:rFonts w:ascii="Arial" w:eastAsia="Aptos" w:hAnsi="Arial" w:cs="Arial"/>
          <w:bCs/>
          <w:lang w:val="sq-AL"/>
        </w:rPr>
        <w:t xml:space="preserve">Strategjisë për Përshtatje ndaj Ndryshimeve Klimatike </w:t>
      </w:r>
      <w:r w:rsidR="00E913BC" w:rsidRPr="00705B56">
        <w:rPr>
          <w:rFonts w:ascii="Arial" w:eastAsia="Aptos" w:hAnsi="Arial" w:cs="Arial"/>
          <w:bCs/>
          <w:lang w:val="sq-AL"/>
        </w:rPr>
        <w:t>të</w:t>
      </w:r>
      <w:r w:rsidRPr="00705B56">
        <w:rPr>
          <w:rFonts w:ascii="Arial" w:eastAsia="Aptos" w:hAnsi="Arial" w:cs="Arial"/>
          <w:bCs/>
          <w:lang w:val="sq-AL"/>
        </w:rPr>
        <w:t xml:space="preserve"> Kosovës (</w:t>
      </w:r>
      <w:r w:rsidR="00BE39C7" w:rsidRPr="00705B56">
        <w:rPr>
          <w:rFonts w:ascii="Arial" w:eastAsia="Aptos" w:hAnsi="Arial" w:cs="Arial"/>
          <w:bCs/>
          <w:lang w:val="sq-AL"/>
        </w:rPr>
        <w:t>Strategjia</w:t>
      </w:r>
      <w:r w:rsidRPr="00705B56">
        <w:rPr>
          <w:rFonts w:ascii="Arial" w:eastAsia="Aptos" w:hAnsi="Arial" w:cs="Arial"/>
          <w:bCs/>
          <w:lang w:val="sq-AL"/>
        </w:rPr>
        <w:t xml:space="preserve">) </w:t>
      </w:r>
      <w:r w:rsidR="00E913BC" w:rsidRPr="00705B56">
        <w:rPr>
          <w:rFonts w:ascii="Arial" w:eastAsia="Aptos" w:hAnsi="Arial" w:cs="Arial"/>
          <w:lang w:val="sq-AL"/>
        </w:rPr>
        <w:t xml:space="preserve">është </w:t>
      </w:r>
      <w:r w:rsidRPr="00705B56">
        <w:rPr>
          <w:rFonts w:ascii="Arial" w:eastAsia="Aptos" w:hAnsi="Arial" w:cs="Arial"/>
          <w:lang w:val="sq-AL"/>
        </w:rPr>
        <w:t xml:space="preserve">përgjigje ndaj nevojës urgjente për të krijuar një kornizë strategjike kombëtare </w:t>
      </w:r>
      <w:r w:rsidR="004816EC" w:rsidRPr="00705B56">
        <w:rPr>
          <w:rFonts w:ascii="Arial" w:eastAsia="Aptos" w:hAnsi="Arial" w:cs="Arial"/>
          <w:lang w:val="sq-AL"/>
        </w:rPr>
        <w:t>të</w:t>
      </w:r>
      <w:r w:rsidRPr="00705B56">
        <w:rPr>
          <w:rFonts w:ascii="Arial" w:eastAsia="Aptos" w:hAnsi="Arial" w:cs="Arial"/>
          <w:lang w:val="sq-AL"/>
        </w:rPr>
        <w:t xml:space="preserve"> qëndrueshme, gjithëpërfshirëse dhe </w:t>
      </w:r>
      <w:r w:rsidR="004816EC" w:rsidRPr="00705B56">
        <w:rPr>
          <w:rFonts w:ascii="Arial" w:eastAsia="Aptos" w:hAnsi="Arial" w:cs="Arial"/>
          <w:lang w:val="sq-AL"/>
        </w:rPr>
        <w:t>e</w:t>
      </w:r>
      <w:r w:rsidRPr="00705B56">
        <w:rPr>
          <w:rFonts w:ascii="Arial" w:eastAsia="Aptos" w:hAnsi="Arial" w:cs="Arial"/>
          <w:lang w:val="sq-AL"/>
        </w:rPr>
        <w:t xml:space="preserve"> </w:t>
      </w:r>
      <w:r w:rsidR="004816EC" w:rsidRPr="00705B56">
        <w:rPr>
          <w:rFonts w:ascii="Arial" w:eastAsia="Aptos" w:hAnsi="Arial" w:cs="Arial"/>
          <w:lang w:val="sq-AL"/>
        </w:rPr>
        <w:t xml:space="preserve">të </w:t>
      </w:r>
      <w:r w:rsidRPr="00705B56">
        <w:rPr>
          <w:rFonts w:ascii="Arial" w:eastAsia="Aptos" w:hAnsi="Arial" w:cs="Arial"/>
          <w:lang w:val="sq-AL"/>
        </w:rPr>
        <w:t>mbështetur në fakte,</w:t>
      </w:r>
      <w:r w:rsidR="004816EC" w:rsidRPr="00705B56">
        <w:rPr>
          <w:rFonts w:ascii="Arial" w:eastAsia="Aptos" w:hAnsi="Arial" w:cs="Arial"/>
          <w:lang w:val="sq-AL"/>
        </w:rPr>
        <w:t xml:space="preserve"> </w:t>
      </w:r>
      <w:r w:rsidRPr="00705B56">
        <w:rPr>
          <w:rFonts w:ascii="Arial" w:eastAsia="Aptos" w:hAnsi="Arial" w:cs="Arial"/>
          <w:lang w:val="sq-AL"/>
        </w:rPr>
        <w:t xml:space="preserve">për t’u përballur me ndikimet e ndryshimeve klimatike. Startegjia pasqyron përkushtimin tonë ndaj barazisë, qëndrueshmërisë dhe </w:t>
      </w:r>
      <w:r w:rsidR="004816EC" w:rsidRPr="00705B56">
        <w:rPr>
          <w:rFonts w:ascii="Arial" w:eastAsia="Aptos" w:hAnsi="Arial" w:cs="Arial"/>
          <w:lang w:val="sq-AL"/>
        </w:rPr>
        <w:t>përshtatjes</w:t>
      </w:r>
      <w:r w:rsidRPr="00705B56">
        <w:rPr>
          <w:rFonts w:ascii="Arial" w:eastAsia="Aptos" w:hAnsi="Arial" w:cs="Arial"/>
          <w:lang w:val="sq-AL"/>
        </w:rPr>
        <w:t>, duke i dhënë përparësi veprimeve që adresojnë dobësitë strukturore dhe nxisin përshtatje transformuese si në nivel lokal ashtu edhe në atë qendror.</w:t>
      </w:r>
    </w:p>
    <w:p w14:paraId="4085D080" w14:textId="327E907F" w:rsidR="00540947" w:rsidRPr="00705B56" w:rsidRDefault="00BE39C7" w:rsidP="00540947">
      <w:pPr>
        <w:spacing w:before="0"/>
        <w:jc w:val="both"/>
        <w:rPr>
          <w:rFonts w:ascii="Arial" w:eastAsia="Aptos" w:hAnsi="Arial" w:cs="Arial"/>
          <w:lang w:val="sq-AL"/>
        </w:rPr>
      </w:pPr>
      <w:r w:rsidRPr="00705B56">
        <w:rPr>
          <w:rFonts w:ascii="Arial" w:eastAsia="Aptos" w:hAnsi="Arial" w:cs="Arial"/>
          <w:lang w:val="sq-AL"/>
        </w:rPr>
        <w:t>Strategjia</w:t>
      </w:r>
      <w:r w:rsidR="00540947" w:rsidRPr="00705B56">
        <w:rPr>
          <w:rFonts w:ascii="Arial" w:eastAsia="Aptos" w:hAnsi="Arial" w:cs="Arial"/>
          <w:lang w:val="sq-AL"/>
        </w:rPr>
        <w:t xml:space="preserve"> ka një fushëveprim të gjerë dhe ndërsektorial. Ajo përfshin katër sektorë prioritarë, ndërsa trajton gjithashtu edhe tema kyçe si përshtatja e bazuar në </w:t>
      </w:r>
      <w:r w:rsidR="00E913BC" w:rsidRPr="00705B56">
        <w:rPr>
          <w:rFonts w:ascii="Arial" w:eastAsia="Aptos" w:hAnsi="Arial" w:cs="Arial"/>
          <w:lang w:val="sq-AL"/>
        </w:rPr>
        <w:t>zgjidhje të bazuara në natyrë,</w:t>
      </w:r>
      <w:r w:rsidR="00540947" w:rsidRPr="00705B56">
        <w:rPr>
          <w:rFonts w:ascii="Arial" w:eastAsia="Aptos" w:hAnsi="Arial" w:cs="Arial"/>
          <w:lang w:val="sq-AL"/>
        </w:rPr>
        <w:t xml:space="preserve"> zvogëlimi i rrezikut nga fatkeqësitë, dhe integrimi i përshtatjes në planifikimin e zhvillimit. Startegjia vendos gjithashtu themelet për forcimin e kapaciteteve institucionale, mobilizimin e burimeve vendore dhe ndërkombëtare, si dhe përfshirjen e qëndrueshmërisë klimatike në agjendën e zhvillimit të qëndrueshëm të Kosovës.</w:t>
      </w:r>
    </w:p>
    <w:p w14:paraId="689CA320" w14:textId="59B78D57" w:rsidR="00540947" w:rsidRPr="00705B56" w:rsidRDefault="00540947" w:rsidP="00540947">
      <w:pPr>
        <w:spacing w:before="0"/>
        <w:jc w:val="both"/>
        <w:rPr>
          <w:rFonts w:ascii="Arial" w:eastAsia="Aptos" w:hAnsi="Arial" w:cs="Arial"/>
          <w:lang w:val="sq-AL"/>
        </w:rPr>
      </w:pPr>
      <w:r w:rsidRPr="00705B56">
        <w:rPr>
          <w:rFonts w:ascii="Arial" w:eastAsia="Aptos" w:hAnsi="Arial" w:cs="Arial"/>
          <w:lang w:val="sq-AL"/>
        </w:rPr>
        <w:t>Në të njëjtën kohë, hyrja në fuqi e Ligjit Nr. 08/L-250 për Ndryshimet Klimatike</w:t>
      </w:r>
      <w:r w:rsidR="00444A63" w:rsidRPr="00705B56">
        <w:rPr>
          <w:rStyle w:val="FootnoteReference"/>
          <w:rFonts w:ascii="Arial" w:eastAsia="Aptos" w:hAnsi="Arial" w:cs="Arial"/>
          <w:lang w:val="sq-AL"/>
        </w:rPr>
        <w:footnoteReference w:id="4"/>
      </w:r>
      <w:r w:rsidR="00602281" w:rsidRPr="00705B56">
        <w:rPr>
          <w:rFonts w:ascii="Arial" w:eastAsia="Aptos" w:hAnsi="Arial" w:cs="Arial"/>
          <w:lang w:val="sq-AL"/>
        </w:rPr>
        <w:t xml:space="preserve"> (Ligji i Klimës)</w:t>
      </w:r>
      <w:r w:rsidRPr="00705B56">
        <w:rPr>
          <w:rFonts w:ascii="Arial" w:eastAsia="Aptos" w:hAnsi="Arial" w:cs="Arial"/>
          <w:lang w:val="sq-AL"/>
        </w:rPr>
        <w:t xml:space="preserve"> në </w:t>
      </w:r>
      <w:r w:rsidR="004816EC" w:rsidRPr="00705B56">
        <w:rPr>
          <w:rFonts w:ascii="Arial" w:eastAsia="Aptos" w:hAnsi="Arial" w:cs="Arial"/>
          <w:lang w:val="sq-AL"/>
        </w:rPr>
        <w:t>Janar</w:t>
      </w:r>
      <w:r w:rsidRPr="00705B56">
        <w:rPr>
          <w:rFonts w:ascii="Arial" w:eastAsia="Aptos" w:hAnsi="Arial" w:cs="Arial"/>
          <w:lang w:val="sq-AL"/>
        </w:rPr>
        <w:t xml:space="preserve"> të vitit 202</w:t>
      </w:r>
      <w:r w:rsidR="004816EC" w:rsidRPr="00705B56">
        <w:rPr>
          <w:rFonts w:ascii="Arial" w:eastAsia="Aptos" w:hAnsi="Arial" w:cs="Arial"/>
          <w:lang w:val="sq-AL"/>
        </w:rPr>
        <w:t>4</w:t>
      </w:r>
      <w:r w:rsidRPr="00705B56">
        <w:rPr>
          <w:rFonts w:ascii="Arial" w:eastAsia="Aptos" w:hAnsi="Arial" w:cs="Arial"/>
          <w:lang w:val="sq-AL"/>
        </w:rPr>
        <w:t xml:space="preserve"> shënon një moment të rëndësishëm në institucionalizimin e veprimit për klimën në Kosovë. Ky kuadër ligjor ofron bazën për zhvillimin e masave të synuara për zbutje dhe përshtatje ndaj ndryshimeve klimatike, si </w:t>
      </w:r>
      <w:r w:rsidR="00E913BC" w:rsidRPr="00705B56">
        <w:rPr>
          <w:rFonts w:ascii="Arial" w:eastAsia="Aptos" w:hAnsi="Arial" w:cs="Arial"/>
          <w:lang w:val="sq-AL"/>
        </w:rPr>
        <w:t>dhe i</w:t>
      </w:r>
      <w:r w:rsidR="004816EC" w:rsidRPr="00705B56">
        <w:rPr>
          <w:rFonts w:ascii="Arial" w:eastAsia="Aptos" w:hAnsi="Arial" w:cs="Arial"/>
          <w:lang w:val="sq-AL"/>
        </w:rPr>
        <w:t xml:space="preserve"> dha bazë </w:t>
      </w:r>
      <w:r w:rsidRPr="00705B56">
        <w:rPr>
          <w:rFonts w:ascii="Arial" w:eastAsia="Aptos" w:hAnsi="Arial" w:cs="Arial"/>
          <w:lang w:val="sq-AL"/>
        </w:rPr>
        <w:t>themelim</w:t>
      </w:r>
      <w:r w:rsidR="004816EC" w:rsidRPr="00705B56">
        <w:rPr>
          <w:rFonts w:ascii="Arial" w:eastAsia="Aptos" w:hAnsi="Arial" w:cs="Arial"/>
          <w:lang w:val="sq-AL"/>
        </w:rPr>
        <w:t xml:space="preserve">it të </w:t>
      </w:r>
      <w:r w:rsidRPr="00705B56">
        <w:rPr>
          <w:rFonts w:ascii="Arial" w:eastAsia="Aptos" w:hAnsi="Arial" w:cs="Arial"/>
          <w:lang w:val="sq-AL"/>
        </w:rPr>
        <w:t xml:space="preserve"> Këshillit Kombëtar për Ndryshimet Klimatike</w:t>
      </w:r>
      <w:r w:rsidR="004816EC" w:rsidRPr="00705B56">
        <w:rPr>
          <w:rFonts w:ascii="Arial" w:eastAsia="Aptos" w:hAnsi="Arial" w:cs="Arial"/>
          <w:lang w:val="sq-AL"/>
        </w:rPr>
        <w:t xml:space="preserve"> dhe Sekretariatit</w:t>
      </w:r>
      <w:r w:rsidRPr="00705B56">
        <w:rPr>
          <w:rFonts w:ascii="Arial" w:eastAsia="Aptos" w:hAnsi="Arial" w:cs="Arial"/>
          <w:lang w:val="sq-AL"/>
        </w:rPr>
        <w:t xml:space="preserve"> i cili </w:t>
      </w:r>
      <w:r w:rsidR="004816EC" w:rsidRPr="00705B56">
        <w:rPr>
          <w:rFonts w:ascii="Arial" w:eastAsia="Aptos" w:hAnsi="Arial" w:cs="Arial"/>
          <w:lang w:val="sq-AL"/>
        </w:rPr>
        <w:t>vazhdon</w:t>
      </w:r>
      <w:r w:rsidRPr="00705B56">
        <w:rPr>
          <w:rFonts w:ascii="Arial" w:eastAsia="Aptos" w:hAnsi="Arial" w:cs="Arial"/>
          <w:lang w:val="sq-AL"/>
        </w:rPr>
        <w:t xml:space="preserve"> koordinojë përpjekjet ndërsektoriale</w:t>
      </w:r>
      <w:r w:rsidR="004816EC" w:rsidRPr="00705B56">
        <w:rPr>
          <w:rFonts w:ascii="Arial" w:eastAsia="Aptos" w:hAnsi="Arial" w:cs="Arial"/>
          <w:lang w:val="sq-AL"/>
        </w:rPr>
        <w:t xml:space="preserve"> për zbatimin e këtij ligji</w:t>
      </w:r>
      <w:r w:rsidRPr="00705B56">
        <w:rPr>
          <w:rFonts w:ascii="Arial" w:eastAsia="Aptos" w:hAnsi="Arial" w:cs="Arial"/>
          <w:lang w:val="sq-AL"/>
        </w:rPr>
        <w:t>.</w:t>
      </w:r>
    </w:p>
    <w:p w14:paraId="5C2B00A7" w14:textId="02F5EB6B" w:rsidR="00540947" w:rsidRPr="00705B56" w:rsidRDefault="00540947" w:rsidP="00540947">
      <w:pPr>
        <w:spacing w:before="0"/>
        <w:jc w:val="both"/>
        <w:rPr>
          <w:rFonts w:ascii="Arial" w:eastAsia="Aptos" w:hAnsi="Arial" w:cs="Arial"/>
          <w:lang w:val="sq-AL"/>
        </w:rPr>
      </w:pPr>
      <w:r w:rsidRPr="00705B56">
        <w:rPr>
          <w:rFonts w:ascii="Arial" w:eastAsia="Aptos" w:hAnsi="Arial" w:cs="Arial"/>
          <w:lang w:val="sq-AL"/>
        </w:rPr>
        <w:t>Parimet udhëzuese të Strategjisë sigurojnë që veprimet për përshtatje të jenë jo vetëm shkencërisht të bazuara dhe të ndjeshme ndaj kontekstit</w:t>
      </w:r>
      <w:r w:rsidR="00E913BC" w:rsidRPr="00705B56">
        <w:rPr>
          <w:rFonts w:ascii="Arial" w:eastAsia="Aptos" w:hAnsi="Arial" w:cs="Arial"/>
          <w:lang w:val="sq-AL"/>
        </w:rPr>
        <w:t xml:space="preserve"> vendor</w:t>
      </w:r>
      <w:r w:rsidRPr="00705B56">
        <w:rPr>
          <w:rFonts w:ascii="Arial" w:eastAsia="Aptos" w:hAnsi="Arial" w:cs="Arial"/>
          <w:lang w:val="sq-AL"/>
        </w:rPr>
        <w:t>, por edhe gjithëpërfshirëse, transparente dhe të afta për t’u përshtatur me pasiguritë e së ardhmes. Këto parime janë thelbësore për mënyrën se si Kosova zbaton dhe vlerëson përpjekjet e saj për përshtatje ndaj klimës në të gjitha sektorët dhe nivelet e qeverisjes:</w:t>
      </w:r>
    </w:p>
    <w:p w14:paraId="78C4F46F" w14:textId="77777777" w:rsidR="00540947" w:rsidRPr="00705B56" w:rsidRDefault="00540947" w:rsidP="00540947">
      <w:pPr>
        <w:pStyle w:val="ListParagraph"/>
        <w:numPr>
          <w:ilvl w:val="0"/>
          <w:numId w:val="28"/>
        </w:numPr>
        <w:spacing w:before="0"/>
        <w:jc w:val="both"/>
        <w:rPr>
          <w:rFonts w:ascii="Arial" w:eastAsia="Aptos" w:hAnsi="Arial" w:cs="Arial"/>
          <w:lang w:val="sq-AL"/>
        </w:rPr>
      </w:pPr>
      <w:r w:rsidRPr="00705B56">
        <w:rPr>
          <w:rFonts w:ascii="Arial" w:eastAsia="Aptos" w:hAnsi="Arial" w:cs="Arial"/>
          <w:lang w:val="sq-AL"/>
        </w:rPr>
        <w:t>Qëndrueshmëria;</w:t>
      </w:r>
    </w:p>
    <w:p w14:paraId="36E24A80" w14:textId="77777777" w:rsidR="00540947" w:rsidRPr="00705B56" w:rsidRDefault="00540947" w:rsidP="00540947">
      <w:pPr>
        <w:pStyle w:val="ListParagraph"/>
        <w:numPr>
          <w:ilvl w:val="0"/>
          <w:numId w:val="28"/>
        </w:numPr>
        <w:spacing w:before="0"/>
        <w:jc w:val="both"/>
        <w:rPr>
          <w:rFonts w:ascii="Arial" w:eastAsia="Aptos" w:hAnsi="Arial" w:cs="Arial"/>
          <w:lang w:val="sq-AL"/>
        </w:rPr>
      </w:pPr>
      <w:r w:rsidRPr="00705B56">
        <w:rPr>
          <w:rFonts w:ascii="Arial" w:eastAsia="Aptos" w:hAnsi="Arial" w:cs="Arial"/>
          <w:lang w:val="sq-AL"/>
        </w:rPr>
        <w:t>Planifikimi i bazuar në dëshmi;</w:t>
      </w:r>
    </w:p>
    <w:p w14:paraId="2250D3DD" w14:textId="3E835868" w:rsidR="00540947" w:rsidRPr="00705B56" w:rsidRDefault="00540947" w:rsidP="00540947">
      <w:pPr>
        <w:pStyle w:val="ListParagraph"/>
        <w:numPr>
          <w:ilvl w:val="0"/>
          <w:numId w:val="28"/>
        </w:numPr>
        <w:spacing w:before="0"/>
        <w:jc w:val="both"/>
        <w:rPr>
          <w:rFonts w:ascii="Arial" w:eastAsia="Aptos" w:hAnsi="Arial" w:cs="Arial"/>
          <w:lang w:val="sq-AL"/>
        </w:rPr>
      </w:pPr>
      <w:r w:rsidRPr="00705B56">
        <w:rPr>
          <w:rFonts w:ascii="Arial" w:eastAsia="Aptos" w:hAnsi="Arial" w:cs="Arial"/>
          <w:lang w:val="sq-AL"/>
        </w:rPr>
        <w:t>Gjithëpërfshirja;</w:t>
      </w:r>
    </w:p>
    <w:p w14:paraId="11DC8414" w14:textId="77777777" w:rsidR="00540947" w:rsidRPr="00705B56" w:rsidRDefault="00540947" w:rsidP="00540947">
      <w:pPr>
        <w:pStyle w:val="ListParagraph"/>
        <w:numPr>
          <w:ilvl w:val="0"/>
          <w:numId w:val="28"/>
        </w:numPr>
        <w:spacing w:before="0"/>
        <w:jc w:val="both"/>
        <w:rPr>
          <w:rFonts w:ascii="Arial" w:eastAsia="Aptos" w:hAnsi="Arial" w:cs="Arial"/>
          <w:lang w:val="sq-AL"/>
        </w:rPr>
      </w:pPr>
      <w:r w:rsidRPr="00705B56">
        <w:rPr>
          <w:rFonts w:ascii="Arial" w:eastAsia="Aptos" w:hAnsi="Arial" w:cs="Arial"/>
          <w:lang w:val="sq-AL"/>
        </w:rPr>
        <w:t>E ndjeshme ndaj kontekstit dhe e përshtatur me vendin;</w:t>
      </w:r>
    </w:p>
    <w:p w14:paraId="53C3AEFC" w14:textId="77777777" w:rsidR="00540947" w:rsidRPr="00705B56" w:rsidRDefault="00540947" w:rsidP="00540947">
      <w:pPr>
        <w:pStyle w:val="ListParagraph"/>
        <w:numPr>
          <w:ilvl w:val="0"/>
          <w:numId w:val="28"/>
        </w:numPr>
        <w:spacing w:before="0"/>
        <w:jc w:val="both"/>
        <w:rPr>
          <w:rFonts w:ascii="Arial" w:eastAsia="Aptos" w:hAnsi="Arial" w:cs="Arial"/>
          <w:lang w:val="sq-AL"/>
        </w:rPr>
      </w:pPr>
      <w:r w:rsidRPr="00705B56">
        <w:rPr>
          <w:rFonts w:ascii="Arial" w:eastAsia="Aptos" w:hAnsi="Arial" w:cs="Arial"/>
          <w:lang w:val="sq-AL"/>
        </w:rPr>
        <w:t>Bashkëpunuese dhe koherente;</w:t>
      </w:r>
    </w:p>
    <w:p w14:paraId="151CCA79" w14:textId="77777777" w:rsidR="00540947" w:rsidRPr="00705B56" w:rsidRDefault="00540947" w:rsidP="00540947">
      <w:pPr>
        <w:pStyle w:val="ListParagraph"/>
        <w:numPr>
          <w:ilvl w:val="0"/>
          <w:numId w:val="28"/>
        </w:numPr>
        <w:spacing w:before="0"/>
        <w:jc w:val="both"/>
        <w:rPr>
          <w:rFonts w:ascii="Arial" w:eastAsia="Aptos" w:hAnsi="Arial" w:cs="Arial"/>
          <w:lang w:val="sq-AL"/>
        </w:rPr>
      </w:pPr>
      <w:r w:rsidRPr="00705B56">
        <w:rPr>
          <w:rFonts w:ascii="Arial" w:eastAsia="Aptos" w:hAnsi="Arial" w:cs="Arial"/>
          <w:lang w:val="sq-AL"/>
        </w:rPr>
        <w:t>E monitoruar, e vlerësuar dhe e përmirësuar vazhdimisht;</w:t>
      </w:r>
    </w:p>
    <w:p w14:paraId="0C903E08" w14:textId="77777777" w:rsidR="00540947" w:rsidRPr="00705B56" w:rsidRDefault="00540947" w:rsidP="00540947">
      <w:pPr>
        <w:pStyle w:val="ListParagraph"/>
        <w:numPr>
          <w:ilvl w:val="0"/>
          <w:numId w:val="28"/>
        </w:numPr>
        <w:spacing w:before="0"/>
        <w:jc w:val="both"/>
        <w:rPr>
          <w:rFonts w:ascii="Arial" w:eastAsia="Aptos" w:hAnsi="Arial" w:cs="Arial"/>
          <w:lang w:val="sq-AL"/>
        </w:rPr>
      </w:pPr>
      <w:r w:rsidRPr="00705B56">
        <w:rPr>
          <w:rFonts w:ascii="Arial" w:eastAsia="Aptos" w:hAnsi="Arial" w:cs="Arial"/>
          <w:lang w:val="sq-AL"/>
        </w:rPr>
        <w:t>Fleksibile dhe e përshtatshme.</w:t>
      </w:r>
    </w:p>
    <w:p w14:paraId="5073E0F0" w14:textId="34747575" w:rsidR="00DA48FC" w:rsidRPr="00705B56" w:rsidRDefault="00DA48FC" w:rsidP="00DA48FC">
      <w:pPr>
        <w:spacing w:before="0"/>
        <w:jc w:val="both"/>
        <w:rPr>
          <w:rFonts w:ascii="Arial" w:eastAsia="Aptos" w:hAnsi="Arial" w:cs="Arial"/>
          <w:lang w:val="sq-AL"/>
        </w:rPr>
      </w:pPr>
      <w:r w:rsidRPr="00705B56">
        <w:rPr>
          <w:rFonts w:ascii="Arial" w:eastAsia="Aptos" w:hAnsi="Arial" w:cs="Arial"/>
          <w:lang w:val="sq-AL"/>
        </w:rPr>
        <w:t>Këto parime ofrojnë një qasje</w:t>
      </w:r>
      <w:r w:rsidR="004816EC" w:rsidRPr="00705B56">
        <w:rPr>
          <w:rFonts w:ascii="Arial" w:eastAsia="Aptos" w:hAnsi="Arial" w:cs="Arial"/>
          <w:lang w:val="sq-AL"/>
        </w:rPr>
        <w:t xml:space="preserve"> të</w:t>
      </w:r>
      <w:r w:rsidRPr="00705B56">
        <w:rPr>
          <w:rFonts w:ascii="Arial" w:eastAsia="Aptos" w:hAnsi="Arial" w:cs="Arial"/>
          <w:lang w:val="sq-AL"/>
        </w:rPr>
        <w:t xml:space="preserve"> strukturuar, duke siguruar që të gjitha veprimet për përshtatje të jenë të harmonizuara me agjendë</w:t>
      </w:r>
      <w:r w:rsidR="004816EC" w:rsidRPr="00705B56">
        <w:rPr>
          <w:rFonts w:ascii="Arial" w:eastAsia="Aptos" w:hAnsi="Arial" w:cs="Arial"/>
          <w:lang w:val="sq-AL"/>
        </w:rPr>
        <w:t xml:space="preserve"> e</w:t>
      </w:r>
      <w:r w:rsidRPr="00705B56">
        <w:rPr>
          <w:rFonts w:ascii="Arial" w:eastAsia="Aptos" w:hAnsi="Arial" w:cs="Arial"/>
          <w:lang w:val="sq-AL"/>
        </w:rPr>
        <w:t xml:space="preserve"> gjerë të zhvillimit të Kosovës, ndërkohë që mbeten të ndjeshme ndaj rreziqeve dhe nevojave të ndryshme të vendit.</w:t>
      </w:r>
    </w:p>
    <w:p w14:paraId="4330A9C1" w14:textId="77777777" w:rsidR="00540947" w:rsidRPr="00705B56" w:rsidRDefault="00540947" w:rsidP="00540947">
      <w:pPr>
        <w:spacing w:before="0"/>
        <w:jc w:val="both"/>
        <w:rPr>
          <w:rFonts w:ascii="Arial" w:eastAsia="Aptos" w:hAnsi="Arial" w:cs="Arial"/>
          <w:lang w:val="sq-AL"/>
        </w:rPr>
      </w:pPr>
      <w:r w:rsidRPr="00705B56">
        <w:rPr>
          <w:rFonts w:ascii="Arial" w:eastAsia="Aptos" w:hAnsi="Arial" w:cs="Arial"/>
          <w:lang w:val="sq-AL"/>
        </w:rPr>
        <w:lastRenderedPageBreak/>
        <w:t xml:space="preserve">Duke u mbështetur në këtë themel të fuqishëm, vizioni i Strategjisë artikulon aspiratën e Kosovës për t’u shndërruar në një shtet të qëndrueshëm ndaj ndryshimeve klimatike. Ky vizion përshkruan një të ardhme ku ndryshimet klimatike nuk përbëjnë më një forcë destabilizuese, por një sfidë që përballohet me përgatitje, inovacion dhe veprim kolektiv. </w:t>
      </w:r>
    </w:p>
    <w:tbl>
      <w:tblPr>
        <w:tblStyle w:val="TableGrid"/>
        <w:tblW w:w="0" w:type="auto"/>
        <w:shd w:val="clear" w:color="auto" w:fill="22635D"/>
        <w:tblLook w:val="04A0" w:firstRow="1" w:lastRow="0" w:firstColumn="1" w:lastColumn="0" w:noHBand="0" w:noVBand="1"/>
      </w:tblPr>
      <w:tblGrid>
        <w:gridCol w:w="10196"/>
      </w:tblGrid>
      <w:tr w:rsidR="00DA48FC" w:rsidRPr="00705B56" w14:paraId="67CDB942" w14:textId="77777777" w:rsidTr="00A70686">
        <w:tc>
          <w:tcPr>
            <w:tcW w:w="10196" w:type="dxa"/>
            <w:shd w:val="clear" w:color="auto" w:fill="22635D"/>
          </w:tcPr>
          <w:p w14:paraId="1286A714" w14:textId="77777777" w:rsidR="00DA48FC" w:rsidRPr="00705B56" w:rsidRDefault="00DA48FC" w:rsidP="00A70686">
            <w:pPr>
              <w:spacing w:after="120" w:line="240" w:lineRule="auto"/>
              <w:jc w:val="center"/>
              <w:rPr>
                <w:rFonts w:ascii="Arial" w:hAnsi="Arial" w:cs="Arial"/>
                <w:b/>
                <w:bCs/>
                <w:color w:val="FFFFFF" w:themeColor="background1"/>
                <w:sz w:val="28"/>
                <w:szCs w:val="28"/>
                <w:lang w:val="sq-AL"/>
              </w:rPr>
            </w:pPr>
            <w:r w:rsidRPr="00705B56">
              <w:rPr>
                <w:rFonts w:ascii="Arial" w:hAnsi="Arial" w:cs="Arial"/>
                <w:b/>
                <w:bCs/>
                <w:color w:val="FFFFFF" w:themeColor="background1"/>
                <w:sz w:val="28"/>
                <w:szCs w:val="28"/>
                <w:lang w:val="sq-AL"/>
              </w:rPr>
              <w:t>Vizioni afatgjatë për përshtatje ndaj ndryshimeve klimatike në Kosovë:</w:t>
            </w:r>
          </w:p>
          <w:p w14:paraId="68498705" w14:textId="49A50AB0" w:rsidR="00DA48FC" w:rsidRPr="00705B56" w:rsidRDefault="00D41D01" w:rsidP="00F36447">
            <w:pPr>
              <w:pStyle w:val="ListParagraph"/>
              <w:numPr>
                <w:ilvl w:val="0"/>
                <w:numId w:val="25"/>
              </w:numPr>
              <w:spacing w:after="120" w:line="240" w:lineRule="auto"/>
              <w:contextualSpacing w:val="0"/>
              <w:jc w:val="center"/>
              <w:rPr>
                <w:rFonts w:ascii="Arial" w:eastAsia="Aptos" w:hAnsi="Arial" w:cs="Arial"/>
                <w:color w:val="FFFFFF" w:themeColor="background1"/>
                <w:lang w:val="sq-AL"/>
              </w:rPr>
            </w:pPr>
            <w:r w:rsidRPr="00705B56">
              <w:rPr>
                <w:rFonts w:ascii="Arial" w:eastAsia="Aptos" w:hAnsi="Arial" w:cs="Arial"/>
                <w:i/>
                <w:iCs/>
                <w:color w:val="FFFFFF" w:themeColor="background1"/>
                <w:sz w:val="32"/>
                <w:szCs w:val="32"/>
                <w:lang w:val="sq-AL"/>
              </w:rPr>
              <w:t>Të ndërtohet infrastruktura dhe sistemi i nevojshëm për t’u përshtatur ndaj rreziqeve klimatike dhe për të shfrytëzuar mundësitë që sjell ndryshimi klimatik, në mënyrë që Kosova të mbetet e jetueshme për qytetarët e saj, atraktive për investitorët dhe vend ku diaspora gjen mundësi për t’u kthyer.</w:t>
            </w:r>
          </w:p>
        </w:tc>
      </w:tr>
    </w:tbl>
    <w:p w14:paraId="5A490F23" w14:textId="6AD14C0A" w:rsidR="00DA48FC" w:rsidRPr="00705B56" w:rsidRDefault="00DA48FC" w:rsidP="00DA48FC">
      <w:pPr>
        <w:spacing w:before="160"/>
        <w:jc w:val="both"/>
        <w:rPr>
          <w:rFonts w:ascii="Arial" w:eastAsia="Aptos" w:hAnsi="Arial" w:cs="Arial"/>
          <w:lang w:val="sq-AL"/>
        </w:rPr>
      </w:pPr>
      <w:r w:rsidRPr="00705B56">
        <w:rPr>
          <w:rFonts w:ascii="Arial" w:eastAsia="Aptos" w:hAnsi="Arial" w:cs="Arial"/>
          <w:lang w:val="sq-AL"/>
        </w:rPr>
        <w:t>Brenda kornizës së veprimit për përshtatje, janë identifikuar katër sektorë prioritarë: menaxhimi i resurseve ujore, qëndrueshmëria e sektorit të energjisë, bujqësia dhe pylltaria, si dhe sistemi i shëndetit dhe mirëqenies sociale. Për secilin prej këtyre sektorëve janë përcaktuar objektiva</w:t>
      </w:r>
      <w:r w:rsidR="007F4F16" w:rsidRPr="00705B56">
        <w:rPr>
          <w:rFonts w:ascii="Arial" w:eastAsia="Aptos" w:hAnsi="Arial" w:cs="Arial"/>
          <w:lang w:val="sq-AL"/>
        </w:rPr>
        <w:t xml:space="preserve"> strategjike e më pas</w:t>
      </w:r>
      <w:r w:rsidRPr="00705B56">
        <w:rPr>
          <w:rFonts w:ascii="Arial" w:eastAsia="Aptos" w:hAnsi="Arial" w:cs="Arial"/>
          <w:lang w:val="sq-AL"/>
        </w:rPr>
        <w:t xml:space="preserve"> specifike për të adresuar </w:t>
      </w:r>
      <w:r w:rsidR="007F4F16" w:rsidRPr="00705B56">
        <w:rPr>
          <w:rFonts w:ascii="Arial" w:eastAsia="Aptos" w:hAnsi="Arial" w:cs="Arial"/>
          <w:lang w:val="sq-AL"/>
        </w:rPr>
        <w:t xml:space="preserve">cënushmëritë më emergjente </w:t>
      </w:r>
      <w:r w:rsidRPr="00705B56">
        <w:rPr>
          <w:rFonts w:ascii="Arial" w:eastAsia="Aptos" w:hAnsi="Arial" w:cs="Arial"/>
          <w:lang w:val="sq-AL"/>
        </w:rPr>
        <w:t xml:space="preserve">dhe për të zvogëluar rreziqet afatgjata. </w:t>
      </w:r>
    </w:p>
    <w:p w14:paraId="3FD69CB6" w14:textId="28916DFB" w:rsidR="00DA48FC" w:rsidRPr="00705B56" w:rsidRDefault="00DA48FC" w:rsidP="00DA48FC">
      <w:pPr>
        <w:spacing w:before="160"/>
        <w:jc w:val="both"/>
        <w:rPr>
          <w:rFonts w:ascii="Arial" w:eastAsia="Aptos" w:hAnsi="Arial" w:cs="Arial"/>
          <w:lang w:val="sq-AL"/>
        </w:rPr>
      </w:pPr>
      <w:r w:rsidRPr="00705B56">
        <w:rPr>
          <w:rFonts w:ascii="Arial" w:eastAsia="Aptos" w:hAnsi="Arial" w:cs="Arial"/>
          <w:lang w:val="sq-AL"/>
        </w:rPr>
        <w:t>Bazuar në vlerësimet e rrezikut klimatik dhe zinxhirët e ndikimit specifik për sektorët</w:t>
      </w:r>
      <w:r w:rsidR="00540947" w:rsidRPr="00705B56">
        <w:rPr>
          <w:rFonts w:ascii="Arial" w:eastAsia="Aptos" w:hAnsi="Arial" w:cs="Arial"/>
          <w:lang w:val="sq-AL"/>
        </w:rPr>
        <w:t xml:space="preserve"> </w:t>
      </w:r>
      <w:r w:rsidRPr="00705B56">
        <w:rPr>
          <w:rFonts w:ascii="Arial" w:eastAsia="Aptos" w:hAnsi="Arial" w:cs="Arial"/>
          <w:lang w:val="sq-AL"/>
        </w:rPr>
        <w:t>të cilët tregojnë se si</w:t>
      </w:r>
      <w:r w:rsidR="00BB3056" w:rsidRPr="00705B56">
        <w:rPr>
          <w:rFonts w:ascii="Arial" w:eastAsia="Aptos" w:hAnsi="Arial" w:cs="Arial"/>
          <w:lang w:val="sq-AL"/>
        </w:rPr>
        <w:t xml:space="preserve"> përhapen</w:t>
      </w:r>
      <w:r w:rsidR="000C29FD" w:rsidRPr="00705B56">
        <w:rPr>
          <w:rFonts w:ascii="Arial" w:eastAsia="Aptos" w:hAnsi="Arial" w:cs="Arial"/>
          <w:lang w:val="sq-AL"/>
        </w:rPr>
        <w:t xml:space="preserve"> </w:t>
      </w:r>
      <w:r w:rsidRPr="00705B56">
        <w:rPr>
          <w:rFonts w:ascii="Arial" w:eastAsia="Aptos" w:hAnsi="Arial" w:cs="Arial"/>
          <w:lang w:val="sq-AL"/>
        </w:rPr>
        <w:t>rreziqet klimatike nëpër sisteme dhe ndikojnë jetesën, infrastrukturën dhe ekosistemet e ndërlidhura këto objektiva janë krijuar për t’iu përgjigjur sfidave dhe mundësive unike brenda secilit sektor.</w:t>
      </w:r>
    </w:p>
    <w:tbl>
      <w:tblPr>
        <w:tblStyle w:val="Tablaconcuadrcula2"/>
        <w:tblW w:w="5000" w:type="pct"/>
        <w:tblInd w:w="0" w:type="dxa"/>
        <w:tblBorders>
          <w:top w:val="single" w:sz="4" w:space="0" w:color="246D5D"/>
          <w:left w:val="single" w:sz="4" w:space="0" w:color="246D5D"/>
          <w:bottom w:val="single" w:sz="4" w:space="0" w:color="246D5D"/>
          <w:right w:val="single" w:sz="4" w:space="0" w:color="246D5D"/>
          <w:insideH w:val="single" w:sz="4" w:space="0" w:color="246D5D"/>
          <w:insideV w:val="single" w:sz="4" w:space="0" w:color="246D5D"/>
        </w:tblBorders>
        <w:tblLook w:val="04A0" w:firstRow="1" w:lastRow="0" w:firstColumn="1" w:lastColumn="0" w:noHBand="0" w:noVBand="1"/>
      </w:tblPr>
      <w:tblGrid>
        <w:gridCol w:w="1866"/>
        <w:gridCol w:w="8330"/>
      </w:tblGrid>
      <w:tr w:rsidR="00DA48FC" w:rsidRPr="00705B56" w14:paraId="53B2A3CE" w14:textId="77777777" w:rsidTr="00A70686">
        <w:trPr>
          <w:trHeight w:val="668"/>
        </w:trPr>
        <w:tc>
          <w:tcPr>
            <w:tcW w:w="915" w:type="pct"/>
            <w:tcBorders>
              <w:top w:val="single" w:sz="4" w:space="0" w:color="246D5D"/>
              <w:left w:val="single" w:sz="4" w:space="0" w:color="246D5D"/>
              <w:bottom w:val="single" w:sz="4" w:space="0" w:color="246D5D"/>
              <w:right w:val="single" w:sz="4" w:space="0" w:color="246D5D"/>
            </w:tcBorders>
            <w:vAlign w:val="center"/>
            <w:hideMark/>
          </w:tcPr>
          <w:p w14:paraId="2746DAA5" w14:textId="77777777" w:rsidR="00DA48FC" w:rsidRPr="00705B56" w:rsidRDefault="00DA48FC" w:rsidP="00A70686">
            <w:pPr>
              <w:spacing w:before="0" w:line="240" w:lineRule="auto"/>
              <w:jc w:val="center"/>
              <w:rPr>
                <w:rFonts w:ascii="Arial" w:hAnsi="Arial" w:cs="Arial"/>
                <w:sz w:val="24"/>
                <w:szCs w:val="24"/>
                <w:lang w:val="sq-AL"/>
              </w:rPr>
            </w:pPr>
            <w:r w:rsidRPr="00705B56">
              <w:rPr>
                <w:rFonts w:ascii="Arial" w:hAnsi="Arial" w:cs="Arial"/>
                <w:noProof/>
                <w:sz w:val="24"/>
                <w:szCs w:val="24"/>
              </w:rPr>
              <w:drawing>
                <wp:inline distT="0" distB="0" distL="0" distR="0" wp14:anchorId="4C72518F" wp14:editId="58AFB47D">
                  <wp:extent cx="561975" cy="561975"/>
                  <wp:effectExtent l="0" t="0" r="0" b="0"/>
                  <wp:docPr id="9" name="Graphic 6" descr="Water outline"/>
                  <wp:cNvGraphicFramePr/>
                  <a:graphic xmlns:a="http://schemas.openxmlformats.org/drawingml/2006/main">
                    <a:graphicData uri="http://schemas.openxmlformats.org/drawingml/2006/picture">
                      <pic:pic xmlns:pic="http://schemas.openxmlformats.org/drawingml/2006/picture">
                        <pic:nvPicPr>
                          <pic:cNvPr id="1053447255" name="Graphic 6" descr="Water outline"/>
                          <pic:cNvPicPr>
                            <a:picLocks noChangeAspect="1"/>
                          </pic:cNvPicPr>
                        </pic:nvPicPr>
                        <pic:blipFill>
                          <a:blip r:embed="rId8">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9"/>
                              </a:ext>
                            </a:extLst>
                          </a:blip>
                          <a:stretch>
                            <a:fillRect/>
                          </a:stretch>
                        </pic:blipFill>
                        <pic:spPr>
                          <a:xfrm>
                            <a:off x="0" y="0"/>
                            <a:ext cx="556260" cy="556260"/>
                          </a:xfrm>
                          <a:prstGeom prst="rect">
                            <a:avLst/>
                          </a:prstGeom>
                        </pic:spPr>
                      </pic:pic>
                    </a:graphicData>
                  </a:graphic>
                </wp:inline>
              </w:drawing>
            </w:r>
          </w:p>
        </w:tc>
        <w:tc>
          <w:tcPr>
            <w:tcW w:w="4085" w:type="pct"/>
            <w:tcBorders>
              <w:top w:val="single" w:sz="4" w:space="0" w:color="246D5D"/>
              <w:left w:val="single" w:sz="4" w:space="0" w:color="246D5D"/>
              <w:bottom w:val="single" w:sz="4" w:space="0" w:color="246D5D"/>
              <w:right w:val="single" w:sz="4" w:space="0" w:color="246D5D"/>
            </w:tcBorders>
            <w:vAlign w:val="center"/>
            <w:hideMark/>
          </w:tcPr>
          <w:p w14:paraId="643EAE53" w14:textId="77777777" w:rsidR="00DA48FC" w:rsidRPr="00705B56" w:rsidRDefault="00DA48FC" w:rsidP="00A70686">
            <w:pPr>
              <w:spacing w:after="120" w:line="240" w:lineRule="auto"/>
              <w:jc w:val="center"/>
              <w:rPr>
                <w:rFonts w:ascii="Arial" w:hAnsi="Arial" w:cs="Arial"/>
                <w:b/>
                <w:bCs/>
                <w:color w:val="246D5D"/>
                <w:lang w:val="sq-AL"/>
              </w:rPr>
            </w:pPr>
            <w:r w:rsidRPr="00705B56">
              <w:rPr>
                <w:rFonts w:ascii="Arial" w:hAnsi="Arial" w:cs="Arial"/>
                <w:b/>
                <w:bCs/>
                <w:color w:val="246D5D"/>
                <w:lang w:val="sq-AL"/>
              </w:rPr>
              <w:t>Menaxhimi i Resurseve Ujore</w:t>
            </w:r>
          </w:p>
        </w:tc>
      </w:tr>
      <w:tr w:rsidR="00DA48FC" w:rsidRPr="00705B56" w14:paraId="3175490B" w14:textId="77777777" w:rsidTr="00A70686">
        <w:trPr>
          <w:trHeight w:val="2511"/>
        </w:trPr>
        <w:tc>
          <w:tcPr>
            <w:tcW w:w="5000" w:type="pct"/>
            <w:gridSpan w:val="2"/>
            <w:tcBorders>
              <w:top w:val="single" w:sz="4" w:space="0" w:color="246D5D"/>
              <w:left w:val="single" w:sz="4" w:space="0" w:color="246D5D"/>
              <w:bottom w:val="single" w:sz="4" w:space="0" w:color="246D5D"/>
              <w:right w:val="single" w:sz="4" w:space="0" w:color="246D5D"/>
            </w:tcBorders>
            <w:vAlign w:val="center"/>
            <w:hideMark/>
          </w:tcPr>
          <w:p w14:paraId="07430722" w14:textId="4A7CDEEA" w:rsidR="00DA48FC" w:rsidRPr="00705B56" w:rsidRDefault="00DA48FC" w:rsidP="00A70686">
            <w:pPr>
              <w:spacing w:after="120" w:line="240" w:lineRule="auto"/>
              <w:jc w:val="both"/>
              <w:rPr>
                <w:rFonts w:ascii="Arial" w:hAnsi="Arial" w:cs="Arial"/>
                <w:lang w:val="sq-AL"/>
              </w:rPr>
            </w:pPr>
            <w:r w:rsidRPr="00705B56">
              <w:rPr>
                <w:rFonts w:ascii="Arial" w:hAnsi="Arial" w:cs="Arial"/>
                <w:b/>
                <w:bCs/>
                <w:lang w:val="sq-AL"/>
              </w:rPr>
              <w:t>Resurset ujore kombëtare</w:t>
            </w:r>
            <w:r w:rsidRPr="00705B56">
              <w:rPr>
                <w:rFonts w:ascii="Arial" w:hAnsi="Arial" w:cs="Arial"/>
                <w:lang w:val="sq-AL"/>
              </w:rPr>
              <w:t xml:space="preserve"> janë veçanërisht të ndjeshme ndaj pasojave të ndryshim</w:t>
            </w:r>
            <w:r w:rsidR="007F4F16" w:rsidRPr="00705B56">
              <w:rPr>
                <w:rFonts w:ascii="Arial" w:hAnsi="Arial" w:cs="Arial"/>
                <w:lang w:val="sq-AL"/>
              </w:rPr>
              <w:t>it</w:t>
            </w:r>
            <w:r w:rsidRPr="00705B56">
              <w:rPr>
                <w:rFonts w:ascii="Arial" w:hAnsi="Arial" w:cs="Arial"/>
                <w:lang w:val="sq-AL"/>
              </w:rPr>
              <w:t xml:space="preserve"> klimatik. Rritja e temperaturave, ulja e reshjeve, thatësirat më të shpeshta dhe të zgjatura, si dhe përmbytjet gjithnjë e më të rënda përbëjnë ndikimet kryesore. Duke pasur parasysh kapacitetin e kufizuar të Kosovës për ruajtjen e ujit dhe kërkesën në rritje për ujë në sektorë të ndryshëm, </w:t>
            </w:r>
            <w:r w:rsidR="004816EC" w:rsidRPr="00705B56">
              <w:rPr>
                <w:rFonts w:ascii="Arial" w:hAnsi="Arial" w:cs="Arial"/>
                <w:lang w:val="sq-AL"/>
              </w:rPr>
              <w:t>zhvillimi</w:t>
            </w:r>
            <w:r w:rsidRPr="00705B56">
              <w:rPr>
                <w:rFonts w:ascii="Arial" w:hAnsi="Arial" w:cs="Arial"/>
                <w:lang w:val="sq-AL"/>
              </w:rPr>
              <w:t xml:space="preserve"> i masave për përshtatje ndaj ndryshimeve klimatike në sektorin e ujit është thelbësor për të siguruar sigurinë ujore, për të mbrojtur integritetin e ekosistemeve dhe për të mbështetur zhvillimin ekonomik të qëndrueshëm.</w:t>
            </w:r>
          </w:p>
        </w:tc>
      </w:tr>
      <w:tr w:rsidR="00DA48FC" w:rsidRPr="00705B56" w14:paraId="0FA23A40" w14:textId="77777777" w:rsidTr="00A70686">
        <w:trPr>
          <w:trHeight w:val="2250"/>
        </w:trPr>
        <w:tc>
          <w:tcPr>
            <w:tcW w:w="5000" w:type="pct"/>
            <w:gridSpan w:val="2"/>
            <w:tcBorders>
              <w:top w:val="single" w:sz="4" w:space="0" w:color="246D5D"/>
              <w:left w:val="single" w:sz="4" w:space="0" w:color="246D5D"/>
              <w:bottom w:val="single" w:sz="4" w:space="0" w:color="246D5D"/>
              <w:right w:val="single" w:sz="4" w:space="0" w:color="246D5D"/>
            </w:tcBorders>
            <w:vAlign w:val="center"/>
            <w:hideMark/>
          </w:tcPr>
          <w:p w14:paraId="7B7FEC7B" w14:textId="0B2261A7" w:rsidR="00DA48FC" w:rsidRPr="00705B56" w:rsidRDefault="00DA48FC" w:rsidP="00A70686">
            <w:pPr>
              <w:spacing w:after="120" w:line="240" w:lineRule="auto"/>
              <w:jc w:val="both"/>
              <w:rPr>
                <w:rFonts w:ascii="Arial" w:hAnsi="Arial" w:cs="Arial"/>
                <w:lang w:val="sq-AL"/>
              </w:rPr>
            </w:pPr>
            <w:r w:rsidRPr="00705B56">
              <w:rPr>
                <w:rFonts w:ascii="Arial" w:hAnsi="Arial" w:cs="Arial"/>
                <w:lang w:val="sq-AL"/>
              </w:rPr>
              <w:t xml:space="preserve">Duke pasur parasysh këto sfida, objektivi strategjik është forcimi i sigurisë ujore përmes </w:t>
            </w:r>
            <w:r w:rsidRPr="00705B56">
              <w:rPr>
                <w:rFonts w:ascii="Arial" w:hAnsi="Arial" w:cs="Arial"/>
                <w:b/>
                <w:bCs/>
                <w:i/>
                <w:iCs/>
                <w:lang w:val="sq-AL"/>
              </w:rPr>
              <w:t>menaxhimit të qëndrueshëm të resurseve, infrastrukturës rezistente ndaj ndryshim</w:t>
            </w:r>
            <w:r w:rsidR="007F4F16" w:rsidRPr="00705B56">
              <w:rPr>
                <w:rFonts w:ascii="Arial" w:hAnsi="Arial" w:cs="Arial"/>
                <w:b/>
                <w:bCs/>
                <w:i/>
                <w:iCs/>
                <w:lang w:val="sq-AL"/>
              </w:rPr>
              <w:t xml:space="preserve">it </w:t>
            </w:r>
            <w:r w:rsidRPr="00705B56">
              <w:rPr>
                <w:rFonts w:ascii="Arial" w:hAnsi="Arial" w:cs="Arial"/>
                <w:b/>
                <w:bCs/>
                <w:i/>
                <w:iCs/>
                <w:lang w:val="sq-AL"/>
              </w:rPr>
              <w:t>klimati</w:t>
            </w:r>
            <w:r w:rsidR="007F4F16" w:rsidRPr="00705B56">
              <w:rPr>
                <w:rFonts w:ascii="Arial" w:hAnsi="Arial" w:cs="Arial"/>
                <w:b/>
                <w:bCs/>
                <w:i/>
                <w:iCs/>
                <w:lang w:val="sq-AL"/>
              </w:rPr>
              <w:t>k</w:t>
            </w:r>
            <w:r w:rsidRPr="00705B56">
              <w:rPr>
                <w:rFonts w:ascii="Arial" w:hAnsi="Arial" w:cs="Arial"/>
                <w:b/>
                <w:bCs/>
                <w:i/>
                <w:iCs/>
                <w:lang w:val="sq-AL"/>
              </w:rPr>
              <w:t xml:space="preserve"> dhe qeverisjes</w:t>
            </w:r>
            <w:r w:rsidR="004816EC" w:rsidRPr="00705B56">
              <w:rPr>
                <w:rFonts w:ascii="Arial" w:hAnsi="Arial" w:cs="Arial"/>
                <w:b/>
                <w:bCs/>
                <w:i/>
                <w:iCs/>
                <w:lang w:val="sq-AL"/>
              </w:rPr>
              <w:t xml:space="preserve"> së mirë</w:t>
            </w:r>
            <w:r w:rsidR="007F4F16" w:rsidRPr="00705B56">
              <w:rPr>
                <w:rFonts w:ascii="Arial" w:hAnsi="Arial" w:cs="Arial"/>
                <w:b/>
                <w:bCs/>
                <w:i/>
                <w:iCs/>
                <w:lang w:val="sq-AL"/>
              </w:rPr>
              <w:t xml:space="preserve"> në sektorin e ujërave</w:t>
            </w:r>
            <w:r w:rsidRPr="00705B56">
              <w:rPr>
                <w:rFonts w:ascii="Arial" w:hAnsi="Arial" w:cs="Arial"/>
                <w:b/>
                <w:bCs/>
                <w:i/>
                <w:iCs/>
                <w:lang w:val="sq-AL"/>
              </w:rPr>
              <w:t>. Kjo bëhet me qëllim që të sigurohet disponueshmëria e mjaftueshme e ujit me cilësi të lartë dhe të pastër për të përmbushur nevojat e të gjitha sektorëve dhe ekosistemeve</w:t>
            </w:r>
            <w:r w:rsidRPr="00705B56">
              <w:rPr>
                <w:rFonts w:ascii="Arial" w:hAnsi="Arial" w:cs="Arial"/>
                <w:lang w:val="sq-AL"/>
              </w:rPr>
              <w:t>. Për këtë sektor janë identifikuar këto prioritete kyçe për përshtatje:</w:t>
            </w:r>
          </w:p>
          <w:p w14:paraId="75A02171" w14:textId="23D3FE8E" w:rsidR="00DA48FC" w:rsidRPr="00705B56" w:rsidRDefault="00DA48FC" w:rsidP="00F36447">
            <w:pPr>
              <w:pStyle w:val="ListParagraph"/>
              <w:numPr>
                <w:ilvl w:val="0"/>
                <w:numId w:val="29"/>
              </w:numPr>
              <w:spacing w:after="120" w:line="240" w:lineRule="auto"/>
              <w:jc w:val="both"/>
              <w:rPr>
                <w:rFonts w:ascii="Arial" w:hAnsi="Arial" w:cs="Arial"/>
                <w:b/>
                <w:bCs/>
                <w:lang w:val="sq-AL"/>
              </w:rPr>
            </w:pPr>
            <w:r w:rsidRPr="00705B56">
              <w:rPr>
                <w:rFonts w:ascii="Arial" w:hAnsi="Arial" w:cs="Arial"/>
                <w:b/>
                <w:bCs/>
                <w:lang w:val="sq-AL"/>
              </w:rPr>
              <w:t xml:space="preserve">Infrastrukturë ujore e qëndrueshme ndaj </w:t>
            </w:r>
            <w:r w:rsidR="007F4F16" w:rsidRPr="00705B56">
              <w:rPr>
                <w:rFonts w:ascii="Arial" w:hAnsi="Arial" w:cs="Arial"/>
                <w:b/>
                <w:bCs/>
                <w:lang w:val="sq-AL"/>
              </w:rPr>
              <w:t xml:space="preserve">ndryshimit të </w:t>
            </w:r>
            <w:r w:rsidRPr="00705B56">
              <w:rPr>
                <w:rFonts w:ascii="Arial" w:hAnsi="Arial" w:cs="Arial"/>
                <w:b/>
                <w:bCs/>
                <w:lang w:val="sq-AL"/>
              </w:rPr>
              <w:t>klimës;</w:t>
            </w:r>
          </w:p>
          <w:p w14:paraId="1B2FE882" w14:textId="77777777" w:rsidR="00DA48FC" w:rsidRPr="00705B56" w:rsidRDefault="00DA48FC" w:rsidP="00F36447">
            <w:pPr>
              <w:pStyle w:val="ListParagraph"/>
              <w:numPr>
                <w:ilvl w:val="0"/>
                <w:numId w:val="29"/>
              </w:numPr>
              <w:spacing w:after="120" w:line="240" w:lineRule="auto"/>
              <w:jc w:val="both"/>
              <w:rPr>
                <w:rFonts w:ascii="Arial" w:hAnsi="Arial" w:cs="Arial"/>
                <w:b/>
                <w:bCs/>
                <w:lang w:val="sq-AL"/>
              </w:rPr>
            </w:pPr>
            <w:r w:rsidRPr="00705B56">
              <w:rPr>
                <w:rFonts w:ascii="Arial" w:hAnsi="Arial" w:cs="Arial"/>
                <w:b/>
                <w:bCs/>
                <w:lang w:val="sq-AL"/>
              </w:rPr>
              <w:t>Menaxhim i qëndrueshëm i pellgjeve lumore;</w:t>
            </w:r>
          </w:p>
          <w:p w14:paraId="17F791D4" w14:textId="77777777" w:rsidR="00DA48FC" w:rsidRPr="00705B56" w:rsidRDefault="00DA48FC" w:rsidP="00F36447">
            <w:pPr>
              <w:pStyle w:val="ListParagraph"/>
              <w:numPr>
                <w:ilvl w:val="0"/>
                <w:numId w:val="29"/>
              </w:numPr>
              <w:spacing w:after="120" w:line="240" w:lineRule="auto"/>
              <w:jc w:val="both"/>
              <w:rPr>
                <w:rFonts w:ascii="Arial" w:hAnsi="Arial" w:cs="Arial"/>
                <w:lang w:val="sq-AL"/>
              </w:rPr>
            </w:pPr>
            <w:r w:rsidRPr="00705B56">
              <w:rPr>
                <w:rFonts w:ascii="Arial" w:hAnsi="Arial" w:cs="Arial"/>
                <w:b/>
                <w:bCs/>
                <w:lang w:val="sq-AL"/>
              </w:rPr>
              <w:t>Zbutja e rreziqeve nga thatësirat dhe përmbytjet.</w:t>
            </w:r>
          </w:p>
        </w:tc>
      </w:tr>
    </w:tbl>
    <w:p w14:paraId="04C89DE0" w14:textId="77777777" w:rsidR="007F4F16" w:rsidRPr="00705B56" w:rsidRDefault="007F4F16" w:rsidP="00DA48FC">
      <w:pPr>
        <w:spacing w:before="0"/>
        <w:jc w:val="both"/>
        <w:rPr>
          <w:rFonts w:ascii="Arial" w:eastAsia="Aptos" w:hAnsi="Arial" w:cs="Arial"/>
          <w:lang w:val="sq-AL"/>
        </w:rPr>
      </w:pPr>
    </w:p>
    <w:tbl>
      <w:tblPr>
        <w:tblStyle w:val="Tablaconcuadrcula2"/>
        <w:tblW w:w="5000" w:type="pct"/>
        <w:tblInd w:w="0" w:type="dxa"/>
        <w:tblBorders>
          <w:top w:val="single" w:sz="4" w:space="0" w:color="246D5D"/>
          <w:left w:val="single" w:sz="4" w:space="0" w:color="246D5D"/>
          <w:bottom w:val="single" w:sz="4" w:space="0" w:color="246D5D"/>
          <w:right w:val="single" w:sz="4" w:space="0" w:color="246D5D"/>
          <w:insideH w:val="single" w:sz="4" w:space="0" w:color="246D5D"/>
          <w:insideV w:val="single" w:sz="4" w:space="0" w:color="246D5D"/>
        </w:tblBorders>
        <w:tblLook w:val="04A0" w:firstRow="1" w:lastRow="0" w:firstColumn="1" w:lastColumn="0" w:noHBand="0" w:noVBand="1"/>
      </w:tblPr>
      <w:tblGrid>
        <w:gridCol w:w="1866"/>
        <w:gridCol w:w="8330"/>
      </w:tblGrid>
      <w:tr w:rsidR="00DA48FC" w:rsidRPr="00705B56" w14:paraId="0B93A5C8" w14:textId="77777777" w:rsidTr="00A70686">
        <w:trPr>
          <w:trHeight w:val="983"/>
        </w:trPr>
        <w:tc>
          <w:tcPr>
            <w:tcW w:w="915" w:type="pct"/>
            <w:tcBorders>
              <w:top w:val="single" w:sz="4" w:space="0" w:color="246D5D"/>
              <w:left w:val="single" w:sz="4" w:space="0" w:color="246D5D"/>
              <w:bottom w:val="single" w:sz="4" w:space="0" w:color="246D5D"/>
              <w:right w:val="single" w:sz="4" w:space="0" w:color="246D5D"/>
            </w:tcBorders>
            <w:vAlign w:val="center"/>
            <w:hideMark/>
          </w:tcPr>
          <w:p w14:paraId="13049685" w14:textId="77777777" w:rsidR="00DA48FC" w:rsidRPr="00705B56" w:rsidRDefault="00DA48FC" w:rsidP="00A70686">
            <w:pPr>
              <w:spacing w:before="0" w:line="240" w:lineRule="auto"/>
              <w:jc w:val="center"/>
              <w:rPr>
                <w:rFonts w:ascii="Arial" w:hAnsi="Arial" w:cs="Arial"/>
                <w:sz w:val="24"/>
                <w:szCs w:val="24"/>
                <w:lang w:val="sq-AL"/>
              </w:rPr>
            </w:pPr>
            <w:r w:rsidRPr="00705B56">
              <w:rPr>
                <w:rFonts w:ascii="Arial" w:hAnsi="Arial" w:cs="Arial"/>
                <w:noProof/>
                <w:sz w:val="24"/>
                <w:szCs w:val="24"/>
              </w:rPr>
              <w:drawing>
                <wp:inline distT="0" distB="0" distL="0" distR="0" wp14:anchorId="67ABFB92" wp14:editId="4BDEF9EA">
                  <wp:extent cx="619125" cy="619125"/>
                  <wp:effectExtent l="0" t="0" r="0" b="0"/>
                  <wp:docPr id="10" name="Graphic 7" descr="Renewable Energy outline"/>
                  <wp:cNvGraphicFramePr/>
                  <a:graphic xmlns:a="http://schemas.openxmlformats.org/drawingml/2006/main">
                    <a:graphicData uri="http://schemas.openxmlformats.org/drawingml/2006/picture">
                      <pic:pic xmlns:pic="http://schemas.openxmlformats.org/drawingml/2006/picture">
                        <pic:nvPicPr>
                          <pic:cNvPr id="341585287" name="Graphic 7" descr="Renewable Energy outline"/>
                          <pic:cNvPicPr>
                            <a:picLocks noChangeAspect="1"/>
                          </pic:cNvPicPr>
                        </pic:nvPicPr>
                        <pic:blipFill>
                          <a:blip r:embed="rId10">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619760" cy="619760"/>
                          </a:xfrm>
                          <a:prstGeom prst="rect">
                            <a:avLst/>
                          </a:prstGeom>
                        </pic:spPr>
                      </pic:pic>
                    </a:graphicData>
                  </a:graphic>
                </wp:inline>
              </w:drawing>
            </w:r>
          </w:p>
        </w:tc>
        <w:tc>
          <w:tcPr>
            <w:tcW w:w="4085" w:type="pct"/>
            <w:tcBorders>
              <w:top w:val="single" w:sz="4" w:space="0" w:color="246D5D"/>
              <w:left w:val="single" w:sz="4" w:space="0" w:color="246D5D"/>
              <w:bottom w:val="single" w:sz="4" w:space="0" w:color="246D5D"/>
              <w:right w:val="single" w:sz="4" w:space="0" w:color="246D5D"/>
            </w:tcBorders>
            <w:vAlign w:val="center"/>
            <w:hideMark/>
          </w:tcPr>
          <w:p w14:paraId="320F2F3B" w14:textId="77777777" w:rsidR="00DA48FC" w:rsidRPr="00705B56" w:rsidRDefault="00DA48FC" w:rsidP="00A70686">
            <w:pPr>
              <w:spacing w:after="120" w:line="240" w:lineRule="auto"/>
              <w:jc w:val="center"/>
              <w:rPr>
                <w:rFonts w:ascii="Arial" w:hAnsi="Arial" w:cs="Arial"/>
                <w:b/>
                <w:bCs/>
                <w:lang w:val="sq-AL"/>
              </w:rPr>
            </w:pPr>
            <w:r w:rsidRPr="00705B56">
              <w:rPr>
                <w:rFonts w:ascii="Arial" w:hAnsi="Arial" w:cs="Arial"/>
                <w:b/>
                <w:bCs/>
                <w:color w:val="246D5D"/>
                <w:lang w:val="sq-AL"/>
              </w:rPr>
              <w:t>Qëndrueshmëria e Sektorit të Energjisë</w:t>
            </w:r>
          </w:p>
        </w:tc>
      </w:tr>
      <w:tr w:rsidR="00DA48FC" w:rsidRPr="00705B56" w14:paraId="0108FC57" w14:textId="77777777" w:rsidTr="00A70686">
        <w:trPr>
          <w:trHeight w:val="416"/>
        </w:trPr>
        <w:tc>
          <w:tcPr>
            <w:tcW w:w="5000" w:type="pct"/>
            <w:gridSpan w:val="2"/>
            <w:tcBorders>
              <w:top w:val="single" w:sz="4" w:space="0" w:color="246D5D"/>
              <w:left w:val="single" w:sz="4" w:space="0" w:color="246D5D"/>
              <w:bottom w:val="single" w:sz="4" w:space="0" w:color="246D5D"/>
              <w:right w:val="single" w:sz="4" w:space="0" w:color="246D5D"/>
            </w:tcBorders>
            <w:vAlign w:val="center"/>
            <w:hideMark/>
          </w:tcPr>
          <w:p w14:paraId="3A4B97BD" w14:textId="3AAC3E91" w:rsidR="00DA48FC" w:rsidRPr="00705B56" w:rsidRDefault="00540947" w:rsidP="00A70686">
            <w:pPr>
              <w:spacing w:after="120" w:line="240" w:lineRule="auto"/>
              <w:jc w:val="both"/>
              <w:rPr>
                <w:rFonts w:ascii="Arial" w:hAnsi="Arial" w:cs="Arial"/>
                <w:lang w:val="sq-AL"/>
              </w:rPr>
            </w:pPr>
            <w:r w:rsidRPr="00705B56">
              <w:rPr>
                <w:rFonts w:ascii="Arial" w:hAnsi="Arial" w:cs="Arial"/>
                <w:b/>
                <w:bCs/>
                <w:lang w:val="sq-AL"/>
              </w:rPr>
              <w:t>Sektori i  energjisë</w:t>
            </w:r>
            <w:r w:rsidR="004816EC" w:rsidRPr="00705B56">
              <w:rPr>
                <w:rFonts w:ascii="Arial" w:hAnsi="Arial" w:cs="Arial"/>
                <w:b/>
                <w:bCs/>
                <w:lang w:val="sq-AL"/>
              </w:rPr>
              <w:t xml:space="preserve"> </w:t>
            </w:r>
            <w:r w:rsidR="004816EC" w:rsidRPr="00705B56">
              <w:rPr>
                <w:rFonts w:ascii="Arial" w:hAnsi="Arial" w:cs="Arial"/>
                <w:lang w:val="sq-AL"/>
              </w:rPr>
              <w:t>përballet me presion</w:t>
            </w:r>
            <w:r w:rsidRPr="00705B56">
              <w:rPr>
                <w:rFonts w:ascii="Arial" w:hAnsi="Arial" w:cs="Arial"/>
                <w:lang w:val="sq-AL"/>
              </w:rPr>
              <w:t xml:space="preserve"> gjithnjë e më të madh </w:t>
            </w:r>
            <w:r w:rsidR="004816EC" w:rsidRPr="00705B56">
              <w:rPr>
                <w:rFonts w:ascii="Arial" w:hAnsi="Arial" w:cs="Arial"/>
                <w:lang w:val="sq-AL"/>
              </w:rPr>
              <w:t>nga ndryshimet klimatike</w:t>
            </w:r>
            <w:r w:rsidRPr="00705B56">
              <w:rPr>
                <w:rFonts w:ascii="Arial" w:hAnsi="Arial" w:cs="Arial"/>
                <w:lang w:val="sq-AL"/>
              </w:rPr>
              <w:t xml:space="preserve">, duke thelluar </w:t>
            </w:r>
            <w:r w:rsidR="004816EC" w:rsidRPr="00705B56">
              <w:rPr>
                <w:rFonts w:ascii="Arial" w:hAnsi="Arial" w:cs="Arial"/>
                <w:lang w:val="sq-AL"/>
              </w:rPr>
              <w:t>sfidat</w:t>
            </w:r>
            <w:r w:rsidRPr="00705B56">
              <w:rPr>
                <w:rFonts w:ascii="Arial" w:hAnsi="Arial" w:cs="Arial"/>
                <w:lang w:val="sq-AL"/>
              </w:rPr>
              <w:t xml:space="preserve"> </w:t>
            </w:r>
            <w:r w:rsidR="004816EC" w:rsidRPr="00705B56">
              <w:rPr>
                <w:rFonts w:ascii="Arial" w:hAnsi="Arial" w:cs="Arial"/>
                <w:lang w:val="sq-AL"/>
              </w:rPr>
              <w:t>për</w:t>
            </w:r>
            <w:r w:rsidRPr="00705B56">
              <w:rPr>
                <w:rFonts w:ascii="Arial" w:hAnsi="Arial" w:cs="Arial"/>
                <w:lang w:val="sq-AL"/>
              </w:rPr>
              <w:t xml:space="preserve"> prodhim, transmetim, shpërndarje dhe kërkesë. Rritja e temperaturave, ndryshimi i modelit të reshjeve dhe ngjarjet ekstreme të motit  si përmbytjet dhe valët e të nxehtit  rrezikojnë qëndrueshmërinë </w:t>
            </w:r>
            <w:r w:rsidRPr="00705B56">
              <w:rPr>
                <w:rFonts w:ascii="Arial" w:hAnsi="Arial" w:cs="Arial"/>
                <w:lang w:val="sq-AL"/>
              </w:rPr>
              <w:lastRenderedPageBreak/>
              <w:t>e infrastrukturës dhe sigurinë energjetike. Këto ndikime mund të çojnë në kosto më të larta të energjisë elektrike dhe</w:t>
            </w:r>
            <w:r w:rsidR="009C2E35" w:rsidRPr="00705B56">
              <w:rPr>
                <w:rFonts w:ascii="Arial" w:hAnsi="Arial" w:cs="Arial"/>
                <w:lang w:val="sq-AL"/>
              </w:rPr>
              <w:t xml:space="preserve"> në raste ekstreme edhe sfida kritike për mirëmbajtjen e rrjetit të energjisë.</w:t>
            </w:r>
          </w:p>
        </w:tc>
      </w:tr>
      <w:tr w:rsidR="00DA48FC" w:rsidRPr="00705B56" w14:paraId="51CA3EB7" w14:textId="77777777" w:rsidTr="00A70686">
        <w:trPr>
          <w:trHeight w:val="2913"/>
        </w:trPr>
        <w:tc>
          <w:tcPr>
            <w:tcW w:w="5000" w:type="pct"/>
            <w:gridSpan w:val="2"/>
            <w:tcBorders>
              <w:top w:val="single" w:sz="4" w:space="0" w:color="246D5D"/>
              <w:left w:val="single" w:sz="4" w:space="0" w:color="246D5D"/>
              <w:bottom w:val="single" w:sz="4" w:space="0" w:color="246D5D"/>
              <w:right w:val="single" w:sz="4" w:space="0" w:color="246D5D"/>
            </w:tcBorders>
            <w:vAlign w:val="center"/>
            <w:hideMark/>
          </w:tcPr>
          <w:p w14:paraId="03A7C646" w14:textId="69B40007" w:rsidR="009C2E35" w:rsidRPr="00705B56" w:rsidRDefault="00DA48FC" w:rsidP="00A70686">
            <w:pPr>
              <w:spacing w:after="120" w:line="240" w:lineRule="auto"/>
              <w:jc w:val="both"/>
              <w:rPr>
                <w:rFonts w:ascii="Arial" w:hAnsi="Arial" w:cs="Arial"/>
                <w:b/>
                <w:bCs/>
                <w:i/>
                <w:iCs/>
                <w:lang w:val="sq-AL"/>
              </w:rPr>
            </w:pPr>
            <w:r w:rsidRPr="00705B56">
              <w:rPr>
                <w:rFonts w:ascii="Arial" w:hAnsi="Arial" w:cs="Arial"/>
                <w:lang w:val="sq-AL"/>
              </w:rPr>
              <w:lastRenderedPageBreak/>
              <w:t xml:space="preserve">Për të rritur kapacitetin përshtatës të sektorit, </w:t>
            </w:r>
            <w:r w:rsidR="00BE39C7" w:rsidRPr="00705B56">
              <w:rPr>
                <w:rFonts w:ascii="Arial" w:hAnsi="Arial" w:cs="Arial"/>
                <w:lang w:val="sq-AL"/>
              </w:rPr>
              <w:t>Strategjia</w:t>
            </w:r>
            <w:r w:rsidRPr="00705B56">
              <w:rPr>
                <w:rFonts w:ascii="Arial" w:hAnsi="Arial" w:cs="Arial"/>
                <w:lang w:val="sq-AL"/>
              </w:rPr>
              <w:t xml:space="preserve"> përcakton objektivin strategjik për të forcuar </w:t>
            </w:r>
            <w:r w:rsidRPr="00705B56">
              <w:rPr>
                <w:rFonts w:ascii="Arial" w:hAnsi="Arial" w:cs="Arial"/>
                <w:b/>
                <w:bCs/>
                <w:i/>
                <w:iCs/>
                <w:lang w:val="sq-AL"/>
              </w:rPr>
              <w:t xml:space="preserve">sigurinë dhe qëndrueshmërinë energjetike përmes diversifikimit të burimeve të energjisë, përmirësimit të </w:t>
            </w:r>
            <w:r w:rsidR="00AF6C69" w:rsidRPr="00705B56">
              <w:rPr>
                <w:rFonts w:ascii="Arial" w:hAnsi="Arial" w:cs="Arial"/>
                <w:b/>
                <w:bCs/>
                <w:i/>
                <w:iCs/>
                <w:lang w:val="sq-AL"/>
              </w:rPr>
              <w:t xml:space="preserve">efiçiencës </w:t>
            </w:r>
            <w:r w:rsidRPr="00705B56">
              <w:rPr>
                <w:rFonts w:ascii="Arial" w:hAnsi="Arial" w:cs="Arial"/>
                <w:b/>
                <w:bCs/>
                <w:i/>
                <w:iCs/>
                <w:lang w:val="sq-AL"/>
              </w:rPr>
              <w:t xml:space="preserve">dhe ndërtimit të infrastrukturës rezistente ndaj </w:t>
            </w:r>
            <w:r w:rsidR="009C2E35" w:rsidRPr="00705B56">
              <w:rPr>
                <w:rFonts w:ascii="Arial" w:hAnsi="Arial" w:cs="Arial"/>
                <w:b/>
                <w:bCs/>
                <w:i/>
                <w:iCs/>
                <w:lang w:val="sq-AL"/>
              </w:rPr>
              <w:t xml:space="preserve">ndryshimit të </w:t>
            </w:r>
            <w:r w:rsidRPr="00705B56">
              <w:rPr>
                <w:rFonts w:ascii="Arial" w:hAnsi="Arial" w:cs="Arial"/>
                <w:b/>
                <w:bCs/>
                <w:i/>
                <w:iCs/>
                <w:lang w:val="sq-AL"/>
              </w:rPr>
              <w:t>klimës</w:t>
            </w:r>
            <w:r w:rsidR="009C2E35" w:rsidRPr="00705B56">
              <w:rPr>
                <w:rFonts w:ascii="Arial" w:hAnsi="Arial" w:cs="Arial"/>
                <w:b/>
                <w:bCs/>
                <w:i/>
                <w:iCs/>
                <w:lang w:val="sq-AL"/>
              </w:rPr>
              <w:t>. Kështu duke siguruar</w:t>
            </w:r>
            <w:r w:rsidRPr="00705B56">
              <w:rPr>
                <w:rFonts w:ascii="Arial" w:hAnsi="Arial" w:cs="Arial"/>
                <w:b/>
                <w:bCs/>
                <w:i/>
                <w:iCs/>
                <w:lang w:val="sq-AL"/>
              </w:rPr>
              <w:t xml:space="preserve"> një sistem energjetik të besueshëm, të qëndrueshëm dhe të aftë për t’u përshtatur, që mbështet zhvillimin ekonomik dhe mbron </w:t>
            </w:r>
            <w:r w:rsidR="009C2E35" w:rsidRPr="00705B56">
              <w:rPr>
                <w:rFonts w:ascii="Arial" w:hAnsi="Arial" w:cs="Arial"/>
                <w:b/>
                <w:bCs/>
                <w:i/>
                <w:iCs/>
                <w:lang w:val="sq-AL"/>
              </w:rPr>
              <w:t>qytetarët tanë</w:t>
            </w:r>
          </w:p>
          <w:p w14:paraId="50C53E71" w14:textId="66181BCD" w:rsidR="00DA48FC" w:rsidRPr="00705B56" w:rsidRDefault="00DA48FC" w:rsidP="00A70686">
            <w:pPr>
              <w:spacing w:after="120" w:line="240" w:lineRule="auto"/>
              <w:jc w:val="both"/>
              <w:rPr>
                <w:rFonts w:ascii="Arial" w:hAnsi="Arial" w:cs="Arial"/>
                <w:lang w:val="sq-AL"/>
              </w:rPr>
            </w:pPr>
            <w:r w:rsidRPr="00705B56">
              <w:rPr>
                <w:rFonts w:ascii="Arial" w:hAnsi="Arial" w:cs="Arial"/>
                <w:lang w:val="sq-AL"/>
              </w:rPr>
              <w:t>Prioritetet kyçe të përshtatjes në këtë sektor janë:</w:t>
            </w:r>
          </w:p>
          <w:p w14:paraId="39F94EAB" w14:textId="22450102" w:rsidR="00DA48FC" w:rsidRPr="00705B56" w:rsidRDefault="00DA48FC" w:rsidP="00F36447">
            <w:pPr>
              <w:pStyle w:val="ListParagraph"/>
              <w:numPr>
                <w:ilvl w:val="0"/>
                <w:numId w:val="30"/>
              </w:numPr>
              <w:spacing w:after="120" w:line="240" w:lineRule="auto"/>
              <w:jc w:val="both"/>
              <w:rPr>
                <w:rFonts w:ascii="Arial" w:hAnsi="Arial" w:cs="Arial"/>
                <w:b/>
                <w:bCs/>
                <w:lang w:val="sq-AL"/>
              </w:rPr>
            </w:pPr>
            <w:r w:rsidRPr="00705B56">
              <w:rPr>
                <w:rFonts w:ascii="Arial" w:hAnsi="Arial" w:cs="Arial"/>
                <w:b/>
                <w:bCs/>
                <w:lang w:val="sq-AL"/>
              </w:rPr>
              <w:t xml:space="preserve">Diversifikimi i burimeve të energjisë dhe përmirësimi i </w:t>
            </w:r>
            <w:r w:rsidR="00AF6C69" w:rsidRPr="00705B56">
              <w:rPr>
                <w:rFonts w:ascii="Arial" w:hAnsi="Arial" w:cs="Arial"/>
                <w:b/>
                <w:bCs/>
                <w:lang w:val="sq-AL"/>
              </w:rPr>
              <w:t xml:space="preserve">efiçiencës </w:t>
            </w:r>
            <w:r w:rsidRPr="00705B56">
              <w:rPr>
                <w:rFonts w:ascii="Arial" w:hAnsi="Arial" w:cs="Arial"/>
                <w:b/>
                <w:bCs/>
                <w:lang w:val="sq-AL"/>
              </w:rPr>
              <w:t>energjetik</w:t>
            </w:r>
            <w:r w:rsidR="00AF6C69" w:rsidRPr="00705B56">
              <w:rPr>
                <w:rFonts w:ascii="Arial" w:hAnsi="Arial" w:cs="Arial"/>
                <w:b/>
                <w:bCs/>
                <w:lang w:val="sq-AL"/>
              </w:rPr>
              <w:t>e</w:t>
            </w:r>
            <w:r w:rsidRPr="00705B56">
              <w:rPr>
                <w:rFonts w:ascii="Arial" w:hAnsi="Arial" w:cs="Arial"/>
                <w:b/>
                <w:bCs/>
                <w:lang w:val="sq-AL"/>
              </w:rPr>
              <w:t>;</w:t>
            </w:r>
          </w:p>
          <w:p w14:paraId="2C4BBE5A" w14:textId="77777777" w:rsidR="00DA48FC" w:rsidRPr="00705B56" w:rsidRDefault="00DA48FC" w:rsidP="00F36447">
            <w:pPr>
              <w:pStyle w:val="ListParagraph"/>
              <w:numPr>
                <w:ilvl w:val="0"/>
                <w:numId w:val="30"/>
              </w:numPr>
              <w:spacing w:after="120" w:line="240" w:lineRule="auto"/>
              <w:jc w:val="both"/>
              <w:rPr>
                <w:rFonts w:ascii="Arial" w:hAnsi="Arial" w:cs="Arial"/>
                <w:b/>
                <w:bCs/>
                <w:lang w:val="sq-AL"/>
              </w:rPr>
            </w:pPr>
            <w:r w:rsidRPr="00705B56">
              <w:rPr>
                <w:rFonts w:ascii="Arial" w:hAnsi="Arial" w:cs="Arial"/>
                <w:b/>
                <w:bCs/>
                <w:lang w:val="sq-AL"/>
              </w:rPr>
              <w:t>Forcimi i qëndrueshmërisë së rrjetit energjetik ndaj ndryshimeve klimatike;</w:t>
            </w:r>
          </w:p>
          <w:p w14:paraId="70D2606E" w14:textId="77777777" w:rsidR="00DA48FC" w:rsidRPr="00705B56" w:rsidRDefault="00DA48FC" w:rsidP="00F36447">
            <w:pPr>
              <w:pStyle w:val="ListParagraph"/>
              <w:numPr>
                <w:ilvl w:val="0"/>
                <w:numId w:val="30"/>
              </w:numPr>
              <w:spacing w:after="120" w:line="240" w:lineRule="auto"/>
              <w:jc w:val="both"/>
              <w:rPr>
                <w:rFonts w:ascii="Arial" w:hAnsi="Arial" w:cs="Arial"/>
                <w:lang w:val="sq-AL"/>
              </w:rPr>
            </w:pPr>
            <w:r w:rsidRPr="00705B56">
              <w:rPr>
                <w:rFonts w:ascii="Arial" w:hAnsi="Arial" w:cs="Arial"/>
                <w:b/>
                <w:bCs/>
                <w:lang w:val="sq-AL"/>
              </w:rPr>
              <w:t>Sigurimi i qëndrueshmërisë energjetike përmes menaxhimit të burimeve të brendshme.</w:t>
            </w:r>
          </w:p>
        </w:tc>
      </w:tr>
    </w:tbl>
    <w:p w14:paraId="56D4DBE7" w14:textId="77777777" w:rsidR="00DA48FC" w:rsidRPr="00705B56" w:rsidRDefault="00DA48FC" w:rsidP="00DA48FC">
      <w:pPr>
        <w:spacing w:before="0"/>
        <w:jc w:val="both"/>
        <w:rPr>
          <w:rFonts w:ascii="Arial" w:eastAsia="Aptos" w:hAnsi="Arial" w:cs="Arial"/>
          <w:lang w:val="sq-AL"/>
        </w:rPr>
      </w:pPr>
    </w:p>
    <w:tbl>
      <w:tblPr>
        <w:tblStyle w:val="Tablaconcuadrcula2"/>
        <w:tblW w:w="5000" w:type="pct"/>
        <w:tblInd w:w="0" w:type="dxa"/>
        <w:tblBorders>
          <w:top w:val="single" w:sz="4" w:space="0" w:color="246D5D"/>
          <w:left w:val="single" w:sz="4" w:space="0" w:color="246D5D"/>
          <w:bottom w:val="single" w:sz="4" w:space="0" w:color="246D5D"/>
          <w:right w:val="single" w:sz="4" w:space="0" w:color="246D5D"/>
          <w:insideH w:val="single" w:sz="4" w:space="0" w:color="246D5D"/>
          <w:insideV w:val="single" w:sz="4" w:space="0" w:color="246D5D"/>
        </w:tblBorders>
        <w:tblLook w:val="04A0" w:firstRow="1" w:lastRow="0" w:firstColumn="1" w:lastColumn="0" w:noHBand="0" w:noVBand="1"/>
      </w:tblPr>
      <w:tblGrid>
        <w:gridCol w:w="1866"/>
        <w:gridCol w:w="8330"/>
      </w:tblGrid>
      <w:tr w:rsidR="00DA48FC" w:rsidRPr="00705B56" w14:paraId="358C7361" w14:textId="77777777" w:rsidTr="00A70686">
        <w:trPr>
          <w:trHeight w:val="1125"/>
        </w:trPr>
        <w:tc>
          <w:tcPr>
            <w:tcW w:w="915" w:type="pct"/>
            <w:tcBorders>
              <w:top w:val="single" w:sz="4" w:space="0" w:color="246D5D"/>
              <w:left w:val="single" w:sz="4" w:space="0" w:color="246D5D"/>
              <w:bottom w:val="single" w:sz="4" w:space="0" w:color="246D5D"/>
              <w:right w:val="single" w:sz="4" w:space="0" w:color="246D5D"/>
            </w:tcBorders>
            <w:vAlign w:val="center"/>
            <w:hideMark/>
          </w:tcPr>
          <w:p w14:paraId="3F051C90" w14:textId="77777777" w:rsidR="00DA48FC" w:rsidRPr="00705B56" w:rsidRDefault="00DA48FC" w:rsidP="00A70686">
            <w:pPr>
              <w:spacing w:before="0" w:line="240" w:lineRule="auto"/>
              <w:jc w:val="center"/>
              <w:rPr>
                <w:rFonts w:ascii="Arial" w:hAnsi="Arial" w:cs="Arial"/>
                <w:lang w:val="sq-AL"/>
              </w:rPr>
            </w:pPr>
            <w:r w:rsidRPr="00705B56">
              <w:rPr>
                <w:rFonts w:ascii="Arial" w:hAnsi="Arial" w:cs="Arial"/>
                <w:noProof/>
                <w:sz w:val="24"/>
                <w:szCs w:val="24"/>
              </w:rPr>
              <w:drawing>
                <wp:inline distT="0" distB="0" distL="0" distR="0" wp14:anchorId="442652BC" wp14:editId="0D40D024">
                  <wp:extent cx="581025" cy="581025"/>
                  <wp:effectExtent l="0" t="0" r="9525" b="0"/>
                  <wp:docPr id="11" name="Graphic 8" descr="Open hand with plant outline"/>
                  <wp:cNvGraphicFramePr/>
                  <a:graphic xmlns:a="http://schemas.openxmlformats.org/drawingml/2006/main">
                    <a:graphicData uri="http://schemas.openxmlformats.org/drawingml/2006/picture">
                      <pic:pic xmlns:pic="http://schemas.openxmlformats.org/drawingml/2006/picture">
                        <pic:nvPicPr>
                          <pic:cNvPr id="1415905060" name="Graphic 8" descr="Open hand with plant outline"/>
                          <pic:cNvPicPr>
                            <a:picLocks noChangeAspect="1"/>
                          </pic:cNvPicPr>
                        </pic:nvPicPr>
                        <pic:blipFill>
                          <a:blip r:embed="rId12">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3"/>
                              </a:ext>
                            </a:extLst>
                          </a:blip>
                          <a:stretch>
                            <a:fillRect/>
                          </a:stretch>
                        </pic:blipFill>
                        <pic:spPr>
                          <a:xfrm>
                            <a:off x="0" y="0"/>
                            <a:ext cx="579120" cy="579120"/>
                          </a:xfrm>
                          <a:prstGeom prst="rect">
                            <a:avLst/>
                          </a:prstGeom>
                        </pic:spPr>
                      </pic:pic>
                    </a:graphicData>
                  </a:graphic>
                </wp:inline>
              </w:drawing>
            </w:r>
          </w:p>
        </w:tc>
        <w:tc>
          <w:tcPr>
            <w:tcW w:w="4085" w:type="pct"/>
            <w:tcBorders>
              <w:top w:val="single" w:sz="4" w:space="0" w:color="246D5D"/>
              <w:left w:val="single" w:sz="4" w:space="0" w:color="246D5D"/>
              <w:bottom w:val="single" w:sz="4" w:space="0" w:color="246D5D"/>
              <w:right w:val="single" w:sz="4" w:space="0" w:color="246D5D"/>
            </w:tcBorders>
            <w:vAlign w:val="center"/>
            <w:hideMark/>
          </w:tcPr>
          <w:p w14:paraId="42258C84" w14:textId="77777777" w:rsidR="00DA48FC" w:rsidRPr="00705B56" w:rsidRDefault="00DA48FC" w:rsidP="00A70686">
            <w:pPr>
              <w:spacing w:after="120" w:line="240" w:lineRule="auto"/>
              <w:jc w:val="center"/>
              <w:rPr>
                <w:rFonts w:ascii="Arial" w:hAnsi="Arial" w:cs="Arial"/>
                <w:b/>
                <w:bCs/>
                <w:lang w:val="sq-AL"/>
              </w:rPr>
            </w:pPr>
            <w:r w:rsidRPr="00705B56">
              <w:rPr>
                <w:rFonts w:ascii="Arial" w:hAnsi="Arial" w:cs="Arial"/>
                <w:b/>
                <w:bCs/>
                <w:color w:val="246D5D"/>
                <w:lang w:val="sq-AL"/>
              </w:rPr>
              <w:t>Bujqësia dhe Pylltaria</w:t>
            </w:r>
          </w:p>
        </w:tc>
      </w:tr>
      <w:tr w:rsidR="00DA48FC" w:rsidRPr="00705B56" w14:paraId="0C13BC62" w14:textId="77777777" w:rsidTr="00A70686">
        <w:trPr>
          <w:trHeight w:val="1125"/>
        </w:trPr>
        <w:tc>
          <w:tcPr>
            <w:tcW w:w="5000" w:type="pct"/>
            <w:gridSpan w:val="2"/>
            <w:tcBorders>
              <w:top w:val="single" w:sz="4" w:space="0" w:color="246D5D"/>
              <w:left w:val="single" w:sz="4" w:space="0" w:color="246D5D"/>
              <w:bottom w:val="single" w:sz="4" w:space="0" w:color="246D5D"/>
              <w:right w:val="single" w:sz="4" w:space="0" w:color="246D5D"/>
            </w:tcBorders>
            <w:vAlign w:val="center"/>
            <w:hideMark/>
          </w:tcPr>
          <w:p w14:paraId="54357ED2" w14:textId="45EF6A4E" w:rsidR="00540947" w:rsidRPr="00705B56" w:rsidRDefault="00DA48FC" w:rsidP="00540947">
            <w:pPr>
              <w:spacing w:after="120" w:line="240" w:lineRule="auto"/>
              <w:jc w:val="both"/>
              <w:rPr>
                <w:rFonts w:ascii="Arial" w:hAnsi="Arial" w:cs="Arial"/>
                <w:lang w:val="sq-AL"/>
              </w:rPr>
            </w:pPr>
            <w:r w:rsidRPr="00705B56">
              <w:rPr>
                <w:rFonts w:ascii="Arial" w:hAnsi="Arial" w:cs="Arial"/>
                <w:b/>
                <w:bCs/>
                <w:lang w:val="sq-AL"/>
              </w:rPr>
              <w:t xml:space="preserve">Sektori i bujqësisë </w:t>
            </w:r>
            <w:r w:rsidRPr="00705B56">
              <w:rPr>
                <w:rFonts w:ascii="Arial" w:hAnsi="Arial" w:cs="Arial"/>
                <w:lang w:val="sq-AL"/>
              </w:rPr>
              <w:t xml:space="preserve">kontribuon rreth 7% në </w:t>
            </w:r>
            <w:r w:rsidR="00540947" w:rsidRPr="00705B56">
              <w:rPr>
                <w:rFonts w:ascii="Arial" w:hAnsi="Arial" w:cs="Arial"/>
                <w:lang w:val="sq-AL"/>
              </w:rPr>
              <w:t>BPV</w:t>
            </w:r>
            <w:r w:rsidRPr="00705B56">
              <w:rPr>
                <w:rFonts w:ascii="Arial" w:hAnsi="Arial" w:cs="Arial"/>
                <w:lang w:val="sq-AL"/>
              </w:rPr>
              <w:t>-në e Kosovës dhe është ndër më të ndjeshmit ndaj</w:t>
            </w:r>
            <w:r w:rsidR="00BB3056" w:rsidRPr="00705B56">
              <w:rPr>
                <w:rFonts w:ascii="Arial" w:hAnsi="Arial" w:cs="Arial"/>
                <w:lang w:val="sq-AL"/>
              </w:rPr>
              <w:t xml:space="preserve"> </w:t>
            </w:r>
            <w:r w:rsidR="00540947" w:rsidRPr="00705B56">
              <w:rPr>
                <w:rFonts w:ascii="Arial" w:hAnsi="Arial" w:cs="Arial"/>
                <w:lang w:val="sq-AL"/>
              </w:rPr>
              <w:t>ndryshimeve klimatike. Në këtë sektor, stresi ujor dhe ndryshueshmëria e reshjeve paraqesin sfida veçanërisht kritike. Këto dukuri  të kombinuara me zjarret në natyrë, degradimin e tokës, ndotjen e ujërave nëntokësore dhe përhapjen e sëmundjeve  po çojnë në rritje të kostove të prodhimit, ulje të produktivitetit dhe rritje të pasigurisë ushqimore.</w:t>
            </w:r>
          </w:p>
          <w:p w14:paraId="0B3BB176" w14:textId="7F8E9BBD" w:rsidR="00DA48FC" w:rsidRPr="00705B56" w:rsidRDefault="00540947" w:rsidP="00A70686">
            <w:pPr>
              <w:spacing w:after="120" w:line="240" w:lineRule="auto"/>
              <w:jc w:val="both"/>
              <w:rPr>
                <w:rFonts w:ascii="Arial" w:hAnsi="Arial" w:cs="Arial"/>
                <w:lang w:val="sq-AL"/>
              </w:rPr>
            </w:pPr>
            <w:r w:rsidRPr="00705B56">
              <w:rPr>
                <w:rFonts w:ascii="Arial" w:hAnsi="Arial" w:cs="Arial"/>
                <w:lang w:val="sq-AL"/>
              </w:rPr>
              <w:t xml:space="preserve">Në të njëjtën kohë, </w:t>
            </w:r>
            <w:r w:rsidRPr="00705B56">
              <w:rPr>
                <w:rFonts w:ascii="Arial" w:hAnsi="Arial" w:cs="Arial"/>
                <w:b/>
                <w:bCs/>
                <w:lang w:val="sq-AL"/>
              </w:rPr>
              <w:t>pyjet</w:t>
            </w:r>
            <w:r w:rsidRPr="00705B56">
              <w:rPr>
                <w:rFonts w:ascii="Arial" w:hAnsi="Arial" w:cs="Arial"/>
                <w:lang w:val="sq-AL"/>
              </w:rPr>
              <w:t xml:space="preserve"> e Kosovës po përballen me presion në rritje nga ndryshimet klimatike, përballë rrezikut të shtuar nga zjarret, ndryshimeve në përbërjen e specieve dhe përshpejtimit të erozionit të tokës. Këto ndryshime rrezikojnë biodiversitetin, ulin produktivitetin e pyjeve dhe ndërpresin shërbimet thelbësore të ekosistemeve.</w:t>
            </w:r>
          </w:p>
        </w:tc>
      </w:tr>
      <w:tr w:rsidR="00DA48FC" w:rsidRPr="00705B56" w14:paraId="29F1CD16" w14:textId="77777777" w:rsidTr="00A70686">
        <w:trPr>
          <w:trHeight w:val="2913"/>
        </w:trPr>
        <w:tc>
          <w:tcPr>
            <w:tcW w:w="5000" w:type="pct"/>
            <w:gridSpan w:val="2"/>
            <w:tcBorders>
              <w:top w:val="single" w:sz="4" w:space="0" w:color="246D5D"/>
              <w:left w:val="single" w:sz="4" w:space="0" w:color="246D5D"/>
              <w:bottom w:val="single" w:sz="4" w:space="0" w:color="246D5D"/>
              <w:right w:val="single" w:sz="4" w:space="0" w:color="246D5D"/>
            </w:tcBorders>
            <w:vAlign w:val="center"/>
            <w:hideMark/>
          </w:tcPr>
          <w:p w14:paraId="49CA685F" w14:textId="617EE823" w:rsidR="00540947" w:rsidRPr="00705B56" w:rsidRDefault="00540947" w:rsidP="00540947">
            <w:pPr>
              <w:spacing w:after="120" w:line="240" w:lineRule="auto"/>
              <w:jc w:val="both"/>
              <w:rPr>
                <w:rFonts w:ascii="Arial" w:hAnsi="Arial" w:cs="Arial"/>
                <w:lang w:val="sq-AL"/>
              </w:rPr>
            </w:pPr>
            <w:r w:rsidRPr="00705B56">
              <w:rPr>
                <w:rFonts w:ascii="Arial" w:hAnsi="Arial" w:cs="Arial"/>
                <w:lang w:val="sq-AL"/>
              </w:rPr>
              <w:t>Për të lehtësuar përpjekjet për përshtatje, Kosova ka përcaktuar si objektiv strategjik:</w:t>
            </w:r>
            <w:r w:rsidRPr="00705B56">
              <w:rPr>
                <w:rFonts w:ascii="Arial" w:hAnsi="Arial" w:cs="Arial"/>
                <w:b/>
                <w:bCs/>
                <w:i/>
                <w:iCs/>
                <w:lang w:val="sq-AL"/>
              </w:rPr>
              <w:t xml:space="preserve"> të përmirësojë qëndrueshmërinë ndaj </w:t>
            </w:r>
            <w:r w:rsidR="007F4F16" w:rsidRPr="00705B56">
              <w:rPr>
                <w:rFonts w:ascii="Arial" w:hAnsi="Arial" w:cs="Arial"/>
                <w:b/>
                <w:bCs/>
                <w:i/>
                <w:iCs/>
                <w:lang w:val="sq-AL"/>
              </w:rPr>
              <w:t xml:space="preserve">ndryshimit të </w:t>
            </w:r>
            <w:r w:rsidRPr="00705B56">
              <w:rPr>
                <w:rFonts w:ascii="Arial" w:hAnsi="Arial" w:cs="Arial"/>
                <w:b/>
                <w:bCs/>
                <w:i/>
                <w:iCs/>
                <w:lang w:val="sq-AL"/>
              </w:rPr>
              <w:t>klimës dhe menaxhimin e qëndrueshëm të sistemeve bujqësore dhe ekologjike të vendit. Qëllimi është të mbrohet siguria ushqimore, jetesa rurale dhe integriteti i ekosistemeve përballë kushteve klimatike në ndryshim.</w:t>
            </w:r>
            <w:r w:rsidRPr="00705B56">
              <w:rPr>
                <w:rFonts w:ascii="Arial" w:hAnsi="Arial" w:cs="Arial"/>
                <w:lang w:val="sq-AL"/>
              </w:rPr>
              <w:t xml:space="preserve"> Ky objektiv mbështet zvogëlimin e ndjeshmërisë ndaj thatësirave, përmbytjeve, zjarreve dhe ndikimeve të tjera klimatike përmes përmirësimit të infrastrukturës, përparimit të praktikave dhe forcimit të institucioneve. Prioritetet kyçe të përshtatjes në këtë sektor janë:</w:t>
            </w:r>
          </w:p>
          <w:p w14:paraId="584129F1" w14:textId="67C26352" w:rsidR="00DA48FC" w:rsidRPr="00705B56" w:rsidRDefault="00DA48FC" w:rsidP="00F36447">
            <w:pPr>
              <w:pStyle w:val="ListParagraph"/>
              <w:numPr>
                <w:ilvl w:val="0"/>
                <w:numId w:val="31"/>
              </w:numPr>
              <w:spacing w:after="120" w:line="240" w:lineRule="auto"/>
              <w:jc w:val="both"/>
              <w:rPr>
                <w:rFonts w:ascii="Arial" w:hAnsi="Arial" w:cs="Arial"/>
                <w:b/>
                <w:bCs/>
                <w:lang w:val="sq-AL"/>
              </w:rPr>
            </w:pPr>
            <w:r w:rsidRPr="00705B56">
              <w:rPr>
                <w:rFonts w:ascii="Arial" w:hAnsi="Arial" w:cs="Arial"/>
                <w:b/>
                <w:bCs/>
                <w:lang w:val="sq-AL"/>
              </w:rPr>
              <w:t>Praktika bujqësore</w:t>
            </w:r>
            <w:r w:rsidR="009C2E35" w:rsidRPr="00705B56">
              <w:rPr>
                <w:rFonts w:ascii="Arial" w:hAnsi="Arial" w:cs="Arial"/>
                <w:b/>
                <w:bCs/>
                <w:lang w:val="sq-AL"/>
              </w:rPr>
              <w:t xml:space="preserve"> që lejojnë përshtatje ndaj ndryshimit</w:t>
            </w:r>
            <w:r w:rsidRPr="00705B56">
              <w:rPr>
                <w:rFonts w:ascii="Arial" w:hAnsi="Arial" w:cs="Arial"/>
                <w:b/>
                <w:bCs/>
                <w:lang w:val="sq-AL"/>
              </w:rPr>
              <w:t xml:space="preserve"> </w:t>
            </w:r>
            <w:r w:rsidR="009C2E35" w:rsidRPr="00705B56">
              <w:rPr>
                <w:rFonts w:ascii="Arial" w:hAnsi="Arial" w:cs="Arial"/>
                <w:b/>
                <w:bCs/>
                <w:lang w:val="sq-AL"/>
              </w:rPr>
              <w:t xml:space="preserve">të </w:t>
            </w:r>
            <w:r w:rsidRPr="00705B56">
              <w:rPr>
                <w:rFonts w:ascii="Arial" w:hAnsi="Arial" w:cs="Arial"/>
                <w:b/>
                <w:bCs/>
                <w:lang w:val="sq-AL"/>
              </w:rPr>
              <w:t>klimës;</w:t>
            </w:r>
          </w:p>
          <w:p w14:paraId="56F2EBAD" w14:textId="77777777" w:rsidR="00DA48FC" w:rsidRPr="00705B56" w:rsidRDefault="00DA48FC" w:rsidP="00F36447">
            <w:pPr>
              <w:pStyle w:val="ListParagraph"/>
              <w:numPr>
                <w:ilvl w:val="0"/>
                <w:numId w:val="31"/>
              </w:numPr>
              <w:spacing w:after="120" w:line="240" w:lineRule="auto"/>
              <w:jc w:val="both"/>
              <w:rPr>
                <w:rFonts w:ascii="Arial" w:hAnsi="Arial" w:cs="Arial"/>
                <w:b/>
                <w:bCs/>
                <w:lang w:val="sq-AL"/>
              </w:rPr>
            </w:pPr>
            <w:r w:rsidRPr="00705B56">
              <w:rPr>
                <w:rFonts w:ascii="Arial" w:hAnsi="Arial" w:cs="Arial"/>
                <w:b/>
                <w:bCs/>
                <w:lang w:val="sq-AL"/>
              </w:rPr>
              <w:t>Shfrytëzim i qëndrueshëm i tokës dhe ruajtje e tokës bujqësore;</w:t>
            </w:r>
          </w:p>
          <w:p w14:paraId="40481F9E" w14:textId="77777777" w:rsidR="00DA48FC" w:rsidRPr="00705B56" w:rsidRDefault="00DA48FC" w:rsidP="00F36447">
            <w:pPr>
              <w:pStyle w:val="ListParagraph"/>
              <w:numPr>
                <w:ilvl w:val="0"/>
                <w:numId w:val="31"/>
              </w:numPr>
              <w:spacing w:after="120" w:line="240" w:lineRule="auto"/>
              <w:jc w:val="both"/>
              <w:rPr>
                <w:rFonts w:ascii="Arial" w:hAnsi="Arial" w:cs="Arial"/>
                <w:lang w:val="sq-AL"/>
              </w:rPr>
            </w:pPr>
            <w:r w:rsidRPr="00705B56">
              <w:rPr>
                <w:rFonts w:ascii="Arial" w:hAnsi="Arial" w:cs="Arial"/>
                <w:b/>
                <w:bCs/>
                <w:lang w:val="sq-AL"/>
              </w:rPr>
              <w:t>Forcimi i sistemeve të paralajmërimit të hershëm për fermerët.</w:t>
            </w:r>
          </w:p>
        </w:tc>
      </w:tr>
    </w:tbl>
    <w:p w14:paraId="3C5592EB" w14:textId="77777777" w:rsidR="00DA48FC" w:rsidRPr="00705B56" w:rsidRDefault="00DA48FC" w:rsidP="00DA48FC">
      <w:pPr>
        <w:spacing w:before="0"/>
        <w:jc w:val="both"/>
        <w:rPr>
          <w:rFonts w:ascii="Arial" w:eastAsia="Aptos" w:hAnsi="Arial" w:cs="Arial"/>
          <w:lang w:val="sq-AL"/>
        </w:rPr>
      </w:pPr>
    </w:p>
    <w:p w14:paraId="3D00D2BA" w14:textId="77777777" w:rsidR="007F4F16" w:rsidRPr="00705B56" w:rsidRDefault="007F4F16" w:rsidP="00DA48FC">
      <w:pPr>
        <w:spacing w:before="0"/>
        <w:jc w:val="both"/>
        <w:rPr>
          <w:rFonts w:ascii="Arial" w:eastAsia="Aptos" w:hAnsi="Arial" w:cs="Arial"/>
          <w:lang w:val="sq-AL"/>
        </w:rPr>
      </w:pPr>
    </w:p>
    <w:tbl>
      <w:tblPr>
        <w:tblStyle w:val="Tablaconcuadrcula2"/>
        <w:tblW w:w="5000" w:type="pct"/>
        <w:tblInd w:w="0" w:type="dxa"/>
        <w:tblBorders>
          <w:top w:val="single" w:sz="4" w:space="0" w:color="246D5D"/>
          <w:left w:val="single" w:sz="4" w:space="0" w:color="246D5D"/>
          <w:bottom w:val="single" w:sz="4" w:space="0" w:color="246D5D"/>
          <w:right w:val="single" w:sz="4" w:space="0" w:color="246D5D"/>
          <w:insideH w:val="single" w:sz="4" w:space="0" w:color="246D5D"/>
          <w:insideV w:val="single" w:sz="4" w:space="0" w:color="246D5D"/>
        </w:tblBorders>
        <w:tblLook w:val="04A0" w:firstRow="1" w:lastRow="0" w:firstColumn="1" w:lastColumn="0" w:noHBand="0" w:noVBand="1"/>
      </w:tblPr>
      <w:tblGrid>
        <w:gridCol w:w="1866"/>
        <w:gridCol w:w="8330"/>
      </w:tblGrid>
      <w:tr w:rsidR="00DA48FC" w:rsidRPr="00705B56" w14:paraId="4118ED85" w14:textId="77777777" w:rsidTr="00A70686">
        <w:trPr>
          <w:trHeight w:val="1125"/>
        </w:trPr>
        <w:tc>
          <w:tcPr>
            <w:tcW w:w="915" w:type="pct"/>
            <w:tcBorders>
              <w:top w:val="single" w:sz="4" w:space="0" w:color="246D5D"/>
              <w:left w:val="single" w:sz="4" w:space="0" w:color="246D5D"/>
              <w:bottom w:val="single" w:sz="4" w:space="0" w:color="246D5D"/>
              <w:right w:val="single" w:sz="4" w:space="0" w:color="246D5D"/>
            </w:tcBorders>
            <w:vAlign w:val="center"/>
            <w:hideMark/>
          </w:tcPr>
          <w:p w14:paraId="39F2179D" w14:textId="77777777" w:rsidR="00DA48FC" w:rsidRPr="00705B56" w:rsidRDefault="00DA48FC" w:rsidP="00A70686">
            <w:pPr>
              <w:spacing w:before="0" w:line="240" w:lineRule="auto"/>
              <w:jc w:val="center"/>
              <w:rPr>
                <w:rFonts w:ascii="Arial" w:hAnsi="Arial" w:cs="Arial"/>
                <w:lang w:val="sq-AL"/>
              </w:rPr>
            </w:pPr>
            <w:r w:rsidRPr="00705B56">
              <w:rPr>
                <w:rFonts w:ascii="Arial" w:hAnsi="Arial" w:cs="Arial"/>
                <w:noProof/>
                <w:sz w:val="24"/>
                <w:szCs w:val="24"/>
              </w:rPr>
              <w:drawing>
                <wp:inline distT="0" distB="0" distL="0" distR="0" wp14:anchorId="0A7DA064" wp14:editId="107ECF5C">
                  <wp:extent cx="600075" cy="600075"/>
                  <wp:effectExtent l="0" t="0" r="0" b="0"/>
                  <wp:docPr id="12" name="Graphic 2" descr="Heart with pulse outline"/>
                  <wp:cNvGraphicFramePr/>
                  <a:graphic xmlns:a="http://schemas.openxmlformats.org/drawingml/2006/main">
                    <a:graphicData uri="http://schemas.openxmlformats.org/drawingml/2006/picture">
                      <pic:pic xmlns:pic="http://schemas.openxmlformats.org/drawingml/2006/picture">
                        <pic:nvPicPr>
                          <pic:cNvPr id="1611404601" name="Graphic 2" descr="Heart with pulse outline"/>
                          <pic:cNvPicPr>
                            <a:picLocks noChangeAspect="1"/>
                          </pic:cNvPicPr>
                        </pic:nvPicPr>
                        <pic:blipFill>
                          <a:blip r:embed="rId1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a:off x="0" y="0"/>
                            <a:ext cx="601980" cy="601980"/>
                          </a:xfrm>
                          <a:prstGeom prst="rect">
                            <a:avLst/>
                          </a:prstGeom>
                        </pic:spPr>
                      </pic:pic>
                    </a:graphicData>
                  </a:graphic>
                </wp:inline>
              </w:drawing>
            </w:r>
          </w:p>
        </w:tc>
        <w:tc>
          <w:tcPr>
            <w:tcW w:w="4085" w:type="pct"/>
            <w:tcBorders>
              <w:top w:val="single" w:sz="4" w:space="0" w:color="246D5D"/>
              <w:left w:val="single" w:sz="4" w:space="0" w:color="246D5D"/>
              <w:bottom w:val="single" w:sz="4" w:space="0" w:color="246D5D"/>
              <w:right w:val="single" w:sz="4" w:space="0" w:color="246D5D"/>
            </w:tcBorders>
            <w:vAlign w:val="center"/>
            <w:hideMark/>
          </w:tcPr>
          <w:p w14:paraId="1780BE80" w14:textId="77777777" w:rsidR="00DA48FC" w:rsidRPr="00705B56" w:rsidRDefault="00DA48FC" w:rsidP="00A70686">
            <w:pPr>
              <w:spacing w:after="120" w:line="240" w:lineRule="auto"/>
              <w:jc w:val="center"/>
              <w:rPr>
                <w:rFonts w:ascii="Arial" w:hAnsi="Arial" w:cs="Arial"/>
                <w:b/>
                <w:bCs/>
                <w:lang w:val="sq-AL"/>
              </w:rPr>
            </w:pPr>
            <w:r w:rsidRPr="00705B56">
              <w:rPr>
                <w:rFonts w:ascii="Arial" w:hAnsi="Arial" w:cs="Arial"/>
                <w:b/>
                <w:bCs/>
                <w:color w:val="246D5D"/>
                <w:lang w:val="sq-AL"/>
              </w:rPr>
              <w:t>Përshtatja në Sektorin e Shëndetësisë dhe Social</w:t>
            </w:r>
          </w:p>
        </w:tc>
      </w:tr>
      <w:tr w:rsidR="00DA48FC" w:rsidRPr="00705B56" w14:paraId="2B86DE13" w14:textId="77777777" w:rsidTr="00A70686">
        <w:trPr>
          <w:trHeight w:val="1125"/>
        </w:trPr>
        <w:tc>
          <w:tcPr>
            <w:tcW w:w="5000" w:type="pct"/>
            <w:gridSpan w:val="2"/>
            <w:tcBorders>
              <w:top w:val="single" w:sz="4" w:space="0" w:color="246D5D"/>
              <w:left w:val="single" w:sz="4" w:space="0" w:color="246D5D"/>
              <w:bottom w:val="single" w:sz="4" w:space="0" w:color="246D5D"/>
              <w:right w:val="single" w:sz="4" w:space="0" w:color="246D5D"/>
            </w:tcBorders>
            <w:vAlign w:val="center"/>
            <w:hideMark/>
          </w:tcPr>
          <w:p w14:paraId="745CE9EB" w14:textId="2769383A" w:rsidR="00DA48FC" w:rsidRPr="00705B56" w:rsidRDefault="00DA48FC" w:rsidP="00A70686">
            <w:pPr>
              <w:spacing w:afterLines="120" w:after="288" w:line="240" w:lineRule="auto"/>
              <w:jc w:val="both"/>
              <w:rPr>
                <w:rFonts w:ascii="Arial" w:hAnsi="Arial" w:cs="Arial"/>
                <w:lang w:val="sq-AL"/>
              </w:rPr>
            </w:pPr>
            <w:r w:rsidRPr="00705B56">
              <w:rPr>
                <w:rFonts w:ascii="Arial" w:hAnsi="Arial" w:cs="Arial"/>
                <w:lang w:val="sq-AL"/>
              </w:rPr>
              <w:t xml:space="preserve">Sistemet shëndetësore dhe sociale në Kosovë kanë shënuar përparim të rëndësishëm gjatë dekadave të fundit, me jetëgjatësinë që ka arritur në 78 vjet në vitin 2023 dhe vdekshmërinë foshnjore që ka rënë në 8 për 1,000 lindje të gjalla. Megjithatë, ndryshimet klimatike po i </w:t>
            </w:r>
            <w:r w:rsidR="00540947" w:rsidRPr="00705B56">
              <w:rPr>
                <w:rFonts w:ascii="Arial" w:hAnsi="Arial" w:cs="Arial"/>
                <w:lang w:val="sq-AL"/>
              </w:rPr>
              <w:t xml:space="preserve">rrisin </w:t>
            </w:r>
            <w:r w:rsidRPr="00705B56">
              <w:rPr>
                <w:rFonts w:ascii="Arial" w:hAnsi="Arial" w:cs="Arial"/>
                <w:lang w:val="sq-AL"/>
              </w:rPr>
              <w:t xml:space="preserve">ndjeshmëritë ekzistuese të këtyre sistemeve. Rritja e temperaturave dhe përkeqësimi i cilësisë së ujit po kontribuojnë në shtimin e sëmundjeve të lidhura me të nxehtin dhe të atyre që përhapen përmes ujit. Shfaqja e sëmundjeve të </w:t>
            </w:r>
            <w:r w:rsidRPr="00705B56">
              <w:rPr>
                <w:rFonts w:ascii="Arial" w:hAnsi="Arial" w:cs="Arial"/>
                <w:lang w:val="sq-AL"/>
              </w:rPr>
              <w:lastRenderedPageBreak/>
              <w:t xml:space="preserve">transmetuara nga bartës si ethet hemorragjike të Krimesë-Kongos, sëmundja e Lyme-it dhe virusi i Nilit Perëndimor theksojnë më tej kërcënimet në rritje për shëndetin që vijnë nga ndryshimet klimatike. </w:t>
            </w:r>
          </w:p>
        </w:tc>
      </w:tr>
      <w:tr w:rsidR="00DA48FC" w:rsidRPr="00705B56" w14:paraId="7D470285" w14:textId="77777777" w:rsidTr="00A70686">
        <w:trPr>
          <w:trHeight w:val="2913"/>
        </w:trPr>
        <w:tc>
          <w:tcPr>
            <w:tcW w:w="5000" w:type="pct"/>
            <w:gridSpan w:val="2"/>
            <w:tcBorders>
              <w:top w:val="single" w:sz="4" w:space="0" w:color="246D5D"/>
              <w:left w:val="single" w:sz="4" w:space="0" w:color="246D5D"/>
              <w:bottom w:val="single" w:sz="4" w:space="0" w:color="246D5D"/>
              <w:right w:val="single" w:sz="4" w:space="0" w:color="246D5D"/>
            </w:tcBorders>
            <w:vAlign w:val="center"/>
            <w:hideMark/>
          </w:tcPr>
          <w:p w14:paraId="7002428F" w14:textId="4D7B48D6" w:rsidR="00DA48FC" w:rsidRPr="00705B56" w:rsidRDefault="00DA48FC" w:rsidP="00A70686">
            <w:pPr>
              <w:spacing w:afterLines="120" w:after="288" w:line="240" w:lineRule="auto"/>
              <w:jc w:val="both"/>
              <w:rPr>
                <w:rFonts w:ascii="Arial" w:hAnsi="Arial" w:cs="Arial"/>
                <w:b/>
                <w:bCs/>
                <w:i/>
                <w:iCs/>
                <w:lang w:val="sq-AL"/>
              </w:rPr>
            </w:pPr>
            <w:r w:rsidRPr="00705B56">
              <w:rPr>
                <w:rFonts w:ascii="Arial" w:hAnsi="Arial" w:cs="Arial"/>
                <w:lang w:val="sq-AL"/>
              </w:rPr>
              <w:lastRenderedPageBreak/>
              <w:t>Bazuar në ndjeshmëritë dhe nevojat e këtij sektori, është përcaktuar objektivi strategjik për të zhvilluar</w:t>
            </w:r>
            <w:r w:rsidRPr="00705B56">
              <w:rPr>
                <w:rFonts w:ascii="Arial" w:hAnsi="Arial" w:cs="Arial"/>
                <w:b/>
                <w:bCs/>
                <w:i/>
                <w:iCs/>
                <w:lang w:val="sq-AL"/>
              </w:rPr>
              <w:t xml:space="preserve"> një sistem shëndetësor dhe social gjithëpërfshirës dhe të qëndrueshëm ndaj klimës, që mbron të gjithë qytetarët dhe jetesën e tyre nga rreziqet klimatike dhe kërcënimet shëndetësore përfshirë ata që jetojnë në zona me rrezik të lartë dhe gjeneratat e ardhshme</w:t>
            </w:r>
            <w:r w:rsidR="00806A46" w:rsidRPr="00705B56">
              <w:rPr>
                <w:rFonts w:ascii="Arial" w:hAnsi="Arial" w:cs="Arial"/>
                <w:b/>
                <w:bCs/>
                <w:i/>
                <w:iCs/>
                <w:lang w:val="sq-AL"/>
              </w:rPr>
              <w:t xml:space="preserve"> </w:t>
            </w:r>
            <w:r w:rsidRPr="00705B56">
              <w:rPr>
                <w:rFonts w:ascii="Arial" w:hAnsi="Arial" w:cs="Arial"/>
                <w:b/>
                <w:bCs/>
                <w:i/>
                <w:iCs/>
                <w:lang w:val="sq-AL"/>
              </w:rPr>
              <w:t>duke mbështetur njëkohësisht objektivat e Strategjisë Sektoriale të Shëndetësisë për përmirësimin e cilësisë së shërbimeve,</w:t>
            </w:r>
            <w:r w:rsidR="00806A46" w:rsidRPr="00705B56">
              <w:rPr>
                <w:rFonts w:ascii="Arial" w:hAnsi="Arial" w:cs="Arial"/>
                <w:b/>
                <w:bCs/>
                <w:i/>
                <w:iCs/>
                <w:lang w:val="sq-AL"/>
              </w:rPr>
              <w:t xml:space="preserve"> </w:t>
            </w:r>
            <w:r w:rsidR="00BB3056" w:rsidRPr="00705B56">
              <w:rPr>
                <w:rFonts w:ascii="Arial" w:hAnsi="Arial" w:cs="Arial"/>
                <w:b/>
                <w:bCs/>
                <w:i/>
                <w:iCs/>
                <w:lang w:val="sq-AL"/>
              </w:rPr>
              <w:t>qasjes</w:t>
            </w:r>
            <w:r w:rsidRPr="00705B56">
              <w:rPr>
                <w:rFonts w:ascii="Arial" w:hAnsi="Arial" w:cs="Arial"/>
                <w:b/>
                <w:bCs/>
                <w:i/>
                <w:iCs/>
                <w:lang w:val="sq-AL"/>
              </w:rPr>
              <w:t xml:space="preserve"> dhe promovimit të shëndetit. </w:t>
            </w:r>
            <w:r w:rsidRPr="00705B56">
              <w:rPr>
                <w:rFonts w:ascii="Arial" w:hAnsi="Arial" w:cs="Arial"/>
                <w:lang w:val="sq-AL"/>
              </w:rPr>
              <w:t>Prioritetet kyçe të përshtatjes në këtë sektor janë:</w:t>
            </w:r>
          </w:p>
          <w:p w14:paraId="21C068FA" w14:textId="77777777" w:rsidR="00DA48FC" w:rsidRPr="00705B56" w:rsidRDefault="00DA48FC" w:rsidP="00F36447">
            <w:pPr>
              <w:pStyle w:val="ListParagraph"/>
              <w:numPr>
                <w:ilvl w:val="0"/>
                <w:numId w:val="32"/>
              </w:numPr>
              <w:spacing w:afterLines="120" w:after="288" w:line="240" w:lineRule="auto"/>
              <w:jc w:val="both"/>
              <w:rPr>
                <w:rFonts w:ascii="Arial" w:hAnsi="Arial" w:cs="Arial"/>
                <w:b/>
                <w:bCs/>
                <w:lang w:val="sq-AL"/>
              </w:rPr>
            </w:pPr>
            <w:r w:rsidRPr="00705B56">
              <w:rPr>
                <w:rFonts w:ascii="Arial" w:hAnsi="Arial" w:cs="Arial"/>
                <w:b/>
                <w:bCs/>
                <w:lang w:val="sq-AL"/>
              </w:rPr>
              <w:t>Forcimi i sistemeve dhe shërbimeve shëndetësore të qëndrueshme ndaj klimës;</w:t>
            </w:r>
          </w:p>
          <w:p w14:paraId="6D881091" w14:textId="77777777" w:rsidR="00DA48FC" w:rsidRPr="00705B56" w:rsidRDefault="00DA48FC" w:rsidP="00F36447">
            <w:pPr>
              <w:pStyle w:val="ListParagraph"/>
              <w:numPr>
                <w:ilvl w:val="0"/>
                <w:numId w:val="32"/>
              </w:numPr>
              <w:spacing w:afterLines="120" w:after="288" w:line="240" w:lineRule="auto"/>
              <w:jc w:val="both"/>
              <w:rPr>
                <w:rFonts w:ascii="Arial" w:hAnsi="Arial" w:cs="Arial"/>
                <w:b/>
                <w:bCs/>
                <w:lang w:val="sq-AL"/>
              </w:rPr>
            </w:pPr>
            <w:r w:rsidRPr="00705B56">
              <w:rPr>
                <w:rFonts w:ascii="Arial" w:hAnsi="Arial" w:cs="Arial"/>
                <w:b/>
                <w:bCs/>
                <w:lang w:val="sq-AL"/>
              </w:rPr>
              <w:t>Përmirësimi i mekanizmave të paralajmërimit të hershëm dhe të reagimit emergjent të bazuar në komunitet;</w:t>
            </w:r>
          </w:p>
          <w:p w14:paraId="17F06B09" w14:textId="77777777" w:rsidR="00DA48FC" w:rsidRPr="00705B56" w:rsidRDefault="00DA48FC" w:rsidP="00F36447">
            <w:pPr>
              <w:pStyle w:val="ListParagraph"/>
              <w:numPr>
                <w:ilvl w:val="0"/>
                <w:numId w:val="32"/>
              </w:numPr>
              <w:spacing w:afterLines="120" w:after="288" w:line="240" w:lineRule="auto"/>
              <w:jc w:val="both"/>
              <w:rPr>
                <w:rFonts w:ascii="Arial" w:hAnsi="Arial" w:cs="Arial"/>
                <w:lang w:val="sq-AL"/>
              </w:rPr>
            </w:pPr>
            <w:r w:rsidRPr="00705B56">
              <w:rPr>
                <w:rFonts w:ascii="Arial" w:hAnsi="Arial" w:cs="Arial"/>
                <w:b/>
                <w:bCs/>
                <w:lang w:val="sq-AL"/>
              </w:rPr>
              <w:t>Promovimi i masave të mbrojtjes sociale për popullatat e ndjeshme të prekura nga rreziqet klimatike.</w:t>
            </w:r>
          </w:p>
        </w:tc>
      </w:tr>
    </w:tbl>
    <w:p w14:paraId="1B533F28" w14:textId="222DA392" w:rsidR="00806A46" w:rsidRPr="00705B56" w:rsidRDefault="00806A46" w:rsidP="00806A46">
      <w:pPr>
        <w:spacing w:before="0" w:line="278" w:lineRule="auto"/>
        <w:jc w:val="both"/>
        <w:rPr>
          <w:rFonts w:ascii="Arial" w:eastAsia="Aptos" w:hAnsi="Arial" w:cs="Arial"/>
          <w:lang w:val="sq-AL"/>
        </w:rPr>
      </w:pPr>
      <w:r w:rsidRPr="00705B56">
        <w:rPr>
          <w:rFonts w:ascii="Arial" w:eastAsia="Aptos" w:hAnsi="Arial" w:cs="Arial"/>
          <w:lang w:val="sq-AL"/>
        </w:rPr>
        <w:t xml:space="preserve">Për të siguruar zbatimin efektiv të veprimeve të përshtatjes të përcaktuara në Strategjinë, janë zhvilluar Plane të Veprimit të veçanta për secilin sektor për periudhën 2026–2028. Këto Plane Veprimi përkthejnë objektivat specifike të prioritizuara për secilin sektor në aktivitete konkrete dhe me afate kohore, të mbështetura me indikatorë matës, buxhete të </w:t>
      </w:r>
      <w:r w:rsidR="00BE39C7" w:rsidRPr="00705B56">
        <w:rPr>
          <w:rFonts w:ascii="Arial" w:eastAsia="Aptos" w:hAnsi="Arial" w:cs="Arial"/>
          <w:lang w:val="sq-AL"/>
        </w:rPr>
        <w:t>para</w:t>
      </w:r>
      <w:r w:rsidRPr="00705B56">
        <w:rPr>
          <w:rFonts w:ascii="Arial" w:eastAsia="Aptos" w:hAnsi="Arial" w:cs="Arial"/>
          <w:lang w:val="sq-AL"/>
        </w:rPr>
        <w:t>vlerësuara, institucione përgjegjëse dhe rezultate të pritshme. Së bashku, ato ofrojnë një kornizë operative për koordinim, monitorim dhe ndarje të burimeve, dhe vendosin bazën për  zbatim në faza gjatë gjithë periudhës strategjike 2026–2036.</w:t>
      </w:r>
    </w:p>
    <w:p w14:paraId="63AAAD48" w14:textId="10305E64" w:rsidR="00806A46" w:rsidRPr="00705B56" w:rsidRDefault="00806A46" w:rsidP="00806A46">
      <w:pPr>
        <w:spacing w:before="0" w:line="278" w:lineRule="auto"/>
        <w:jc w:val="both"/>
        <w:rPr>
          <w:rFonts w:ascii="Arial" w:eastAsia="Aptos" w:hAnsi="Arial" w:cs="Arial"/>
          <w:lang w:val="sq-AL"/>
        </w:rPr>
      </w:pPr>
      <w:r w:rsidRPr="00705B56">
        <w:rPr>
          <w:rFonts w:ascii="Arial" w:eastAsia="Aptos" w:hAnsi="Arial" w:cs="Arial"/>
          <w:lang w:val="sq-AL"/>
        </w:rPr>
        <w:t xml:space="preserve">Duke u ndërtuar mbi këtë kornizë, </w:t>
      </w:r>
      <w:r w:rsidR="00BE39C7" w:rsidRPr="00705B56">
        <w:rPr>
          <w:rFonts w:ascii="Arial" w:eastAsia="Aptos" w:hAnsi="Arial" w:cs="Arial"/>
          <w:lang w:val="sq-AL"/>
        </w:rPr>
        <w:t>Strategjia</w:t>
      </w:r>
      <w:r w:rsidRPr="00705B56">
        <w:rPr>
          <w:rFonts w:ascii="Arial" w:eastAsia="Aptos" w:hAnsi="Arial" w:cs="Arial"/>
          <w:lang w:val="sq-AL"/>
        </w:rPr>
        <w:t xml:space="preserve"> parasheh </w:t>
      </w:r>
      <w:r w:rsidR="00BE39C7" w:rsidRPr="00705B56">
        <w:rPr>
          <w:rFonts w:ascii="Arial" w:eastAsia="Aptos" w:hAnsi="Arial" w:cs="Arial"/>
          <w:lang w:val="sq-AL"/>
        </w:rPr>
        <w:t>strukturë</w:t>
      </w:r>
      <w:r w:rsidRPr="00705B56">
        <w:rPr>
          <w:rFonts w:ascii="Arial" w:eastAsia="Aptos" w:hAnsi="Arial" w:cs="Arial"/>
          <w:lang w:val="sq-AL"/>
        </w:rPr>
        <w:t xml:space="preserve"> të qar</w:t>
      </w:r>
      <w:r w:rsidR="00BE39C7" w:rsidRPr="00705B56">
        <w:rPr>
          <w:rFonts w:ascii="Arial" w:eastAsia="Aptos" w:hAnsi="Arial" w:cs="Arial"/>
          <w:lang w:val="sq-AL"/>
        </w:rPr>
        <w:t>të</w:t>
      </w:r>
      <w:r w:rsidRPr="00705B56">
        <w:rPr>
          <w:rFonts w:ascii="Arial" w:eastAsia="Aptos" w:hAnsi="Arial" w:cs="Arial"/>
          <w:lang w:val="sq-AL"/>
        </w:rPr>
        <w:t xml:space="preserve"> institucionale, sisteme të ndjekjes së performancës dhe protokolle të raportimit transparent për të mbështetur zbatimin efektiv të veprimeve për përshtatje. Këto komponentë janë të organizuar rreth tre shtyllave të ndërlidhura:</w:t>
      </w:r>
    </w:p>
    <w:p w14:paraId="25C69580" w14:textId="1B1CCD1E" w:rsidR="00806A46" w:rsidRPr="00705B56" w:rsidRDefault="00806A46" w:rsidP="00806A46">
      <w:pPr>
        <w:numPr>
          <w:ilvl w:val="0"/>
          <w:numId w:val="26"/>
        </w:numPr>
        <w:spacing w:before="0" w:line="278" w:lineRule="auto"/>
        <w:jc w:val="both"/>
        <w:rPr>
          <w:rFonts w:ascii="Arial" w:eastAsia="Aptos" w:hAnsi="Arial" w:cs="Arial"/>
          <w:lang w:val="sq-AL"/>
        </w:rPr>
      </w:pPr>
      <w:r w:rsidRPr="00705B56">
        <w:rPr>
          <w:rFonts w:ascii="Arial" w:eastAsia="Aptos" w:hAnsi="Arial" w:cs="Arial"/>
          <w:lang w:val="sq-AL"/>
        </w:rPr>
        <w:t>Përgjegjësitë e zbatimit u ndahen institucioneve udhëheqëse dhe mbështetëse në nivel q</w:t>
      </w:r>
      <w:r w:rsidR="00BE39C7" w:rsidRPr="00705B56">
        <w:rPr>
          <w:rFonts w:ascii="Arial" w:eastAsia="Aptos" w:hAnsi="Arial" w:cs="Arial"/>
          <w:lang w:val="sq-AL"/>
        </w:rPr>
        <w:t>ë</w:t>
      </w:r>
      <w:r w:rsidRPr="00705B56">
        <w:rPr>
          <w:rFonts w:ascii="Arial" w:eastAsia="Aptos" w:hAnsi="Arial" w:cs="Arial"/>
          <w:lang w:val="sq-AL"/>
        </w:rPr>
        <w:t>ndror dhe komunal, për të mundësuar veprim të koordinuar dhe me llogaridhënie;</w:t>
      </w:r>
    </w:p>
    <w:p w14:paraId="4E620A05" w14:textId="77777777" w:rsidR="00806A46" w:rsidRPr="00705B56" w:rsidRDefault="00806A46" w:rsidP="00806A46">
      <w:pPr>
        <w:numPr>
          <w:ilvl w:val="0"/>
          <w:numId w:val="26"/>
        </w:numPr>
        <w:spacing w:before="0" w:line="278" w:lineRule="auto"/>
        <w:jc w:val="both"/>
        <w:rPr>
          <w:rFonts w:ascii="Arial" w:eastAsia="Aptos" w:hAnsi="Arial" w:cs="Arial"/>
          <w:lang w:val="sq-AL"/>
        </w:rPr>
      </w:pPr>
      <w:r w:rsidRPr="00705B56">
        <w:rPr>
          <w:rFonts w:ascii="Arial" w:eastAsia="Aptos" w:hAnsi="Arial" w:cs="Arial"/>
          <w:lang w:val="sq-AL"/>
        </w:rPr>
        <w:t>Kornizat e monitorimit ndjekin progresin ndaj treguesve të përcaktuar, duke mundësuar vlerësim të bazuar në fakte dhe përmirësim të vazhdueshëm;</w:t>
      </w:r>
    </w:p>
    <w:p w14:paraId="22273656" w14:textId="77777777" w:rsidR="00806A46" w:rsidRPr="00705B56" w:rsidRDefault="00806A46" w:rsidP="00806A46">
      <w:pPr>
        <w:numPr>
          <w:ilvl w:val="0"/>
          <w:numId w:val="26"/>
        </w:numPr>
        <w:spacing w:before="0" w:line="278" w:lineRule="auto"/>
        <w:jc w:val="both"/>
        <w:rPr>
          <w:rFonts w:ascii="Arial" w:eastAsia="Aptos" w:hAnsi="Arial" w:cs="Arial"/>
          <w:lang w:val="sq-AL"/>
        </w:rPr>
      </w:pPr>
      <w:r w:rsidRPr="00705B56">
        <w:rPr>
          <w:rFonts w:ascii="Arial" w:eastAsia="Aptos" w:hAnsi="Arial" w:cs="Arial"/>
          <w:lang w:val="sq-AL"/>
        </w:rPr>
        <w:t>Mekanizmat e raportimit shndërrojnë rezultatet e monitorimit në njohuri të zbatueshme, duke nxitur transparencën, të nxënit strategjik dhe përfshirjen e palëve të interesit.</w:t>
      </w:r>
    </w:p>
    <w:p w14:paraId="162D3ED4" w14:textId="6B80AB41" w:rsidR="00806A46" w:rsidRPr="00705B56" w:rsidRDefault="00806A46" w:rsidP="00806A46">
      <w:pPr>
        <w:spacing w:before="0" w:line="278" w:lineRule="auto"/>
        <w:jc w:val="both"/>
        <w:rPr>
          <w:rFonts w:ascii="Arial" w:eastAsia="Aptos" w:hAnsi="Arial" w:cs="Arial"/>
          <w:lang w:val="sq-AL"/>
        </w:rPr>
      </w:pPr>
      <w:r w:rsidRPr="00705B56">
        <w:rPr>
          <w:rFonts w:ascii="Arial" w:eastAsia="Aptos" w:hAnsi="Arial" w:cs="Arial"/>
          <w:lang w:val="sq-AL"/>
        </w:rPr>
        <w:t>Kjo arkitekturë e zbatimit plotësohet nga një qasje strategjike për financimin e përshtatjes, e cila kombinon burimet vendore, financimet ndërkombëtare për klimën dhe kontributet e sektorit privat. Fondet publike të mobilizuara përmes instrumenteve shumëpalëshe të financimit klimatik, partnerëve zhvillimorë dhe buxhetit kombëtar përbëjnë shtyllën kryesore të financimit për përshtatje. Në të njëjtën kohë, po ndërmerren përpjekje për të rritur investimet private përmes mekanizmave të financimit të kombinuar</w:t>
      </w:r>
      <w:r w:rsidR="00BE39C7" w:rsidRPr="00705B56">
        <w:rPr>
          <w:rFonts w:ascii="Arial" w:eastAsia="Aptos" w:hAnsi="Arial" w:cs="Arial"/>
          <w:lang w:val="sq-AL"/>
        </w:rPr>
        <w:t>a</w:t>
      </w:r>
      <w:r w:rsidRPr="00705B56">
        <w:rPr>
          <w:rFonts w:ascii="Arial" w:eastAsia="Aptos" w:hAnsi="Arial" w:cs="Arial"/>
          <w:lang w:val="sq-AL"/>
        </w:rPr>
        <w:t xml:space="preserve"> (blended finance), instrumenteve koncesionare dhe partneriteteve të bazuara në inovacion. </w:t>
      </w:r>
    </w:p>
    <w:p w14:paraId="555C56E2" w14:textId="1E9C859D" w:rsidR="00806A46" w:rsidRDefault="00806A46" w:rsidP="00806A46">
      <w:pPr>
        <w:spacing w:before="0" w:line="278" w:lineRule="auto"/>
        <w:jc w:val="both"/>
        <w:rPr>
          <w:rFonts w:ascii="Arial" w:eastAsia="Aptos" w:hAnsi="Arial" w:cs="Arial"/>
          <w:lang w:val="sq-AL"/>
        </w:rPr>
      </w:pPr>
      <w:r w:rsidRPr="00705B56">
        <w:rPr>
          <w:rFonts w:ascii="Arial" w:eastAsia="Aptos" w:hAnsi="Arial" w:cs="Arial"/>
          <w:lang w:val="sq-AL"/>
        </w:rPr>
        <w:t xml:space="preserve">Në përmbledhje, </w:t>
      </w:r>
      <w:r w:rsidR="00BE39C7" w:rsidRPr="00705B56">
        <w:rPr>
          <w:rFonts w:ascii="Arial" w:eastAsia="Aptos" w:hAnsi="Arial" w:cs="Arial"/>
          <w:lang w:val="sq-AL"/>
        </w:rPr>
        <w:t>Strategjia</w:t>
      </w:r>
      <w:r w:rsidRPr="00705B56">
        <w:rPr>
          <w:rFonts w:ascii="Arial" w:eastAsia="Aptos" w:hAnsi="Arial" w:cs="Arial"/>
          <w:lang w:val="sq-AL"/>
        </w:rPr>
        <w:t xml:space="preserve"> ofron një plan të plotë dhe të zbatueshëm për ndërtimin e qëndrueshmërisë afatgjatë ndaj klimës. Ajo integron prioritete të qarta, mjete operacionale dhe mekanizma financimi për të udhëzuar institucionet dhe komunitetet e Kosovës drejt një rruge zhvillimore të qëndrueshme dhe të aftë për t’u përshtatur.</w:t>
      </w:r>
    </w:p>
    <w:p w14:paraId="748F34FC" w14:textId="77777777" w:rsidR="00556F7D" w:rsidRDefault="00556F7D" w:rsidP="00806A46">
      <w:pPr>
        <w:spacing w:before="0" w:line="278" w:lineRule="auto"/>
        <w:jc w:val="both"/>
        <w:rPr>
          <w:rFonts w:ascii="Arial" w:eastAsia="Aptos" w:hAnsi="Arial" w:cs="Arial"/>
          <w:lang w:val="sq-AL"/>
        </w:rPr>
      </w:pPr>
    </w:p>
    <w:p w14:paraId="0E0D11C3" w14:textId="77777777" w:rsidR="00556F7D" w:rsidRPr="00705B56" w:rsidRDefault="00556F7D" w:rsidP="00806A46">
      <w:pPr>
        <w:spacing w:before="0" w:line="278" w:lineRule="auto"/>
        <w:jc w:val="both"/>
        <w:rPr>
          <w:rFonts w:ascii="Arial" w:eastAsia="Aptos" w:hAnsi="Arial" w:cs="Arial"/>
          <w:lang w:val="sq-AL"/>
        </w:rPr>
      </w:pPr>
    </w:p>
    <w:p w14:paraId="096F928C" w14:textId="77777777" w:rsidR="00DA48FC" w:rsidRPr="00705B56" w:rsidRDefault="00DA48FC" w:rsidP="00DA48FC">
      <w:pPr>
        <w:pStyle w:val="Heading1"/>
        <w:rPr>
          <w:rFonts w:ascii="Arial" w:hAnsi="Arial" w:cs="Arial"/>
          <w:b/>
          <w:bCs/>
          <w:color w:val="22635D"/>
          <w:lang w:val="sq-AL"/>
        </w:rPr>
      </w:pPr>
      <w:bookmarkStart w:id="4" w:name="_Toc202880071"/>
      <w:bookmarkStart w:id="5" w:name="_Toc211532673"/>
      <w:r w:rsidRPr="00705B56">
        <w:rPr>
          <w:rFonts w:ascii="Arial" w:hAnsi="Arial" w:cs="Arial"/>
          <w:b/>
          <w:bCs/>
          <w:color w:val="22635D"/>
          <w:lang w:val="sq-AL"/>
        </w:rPr>
        <w:lastRenderedPageBreak/>
        <w:t xml:space="preserve">II. </w:t>
      </w:r>
      <w:bookmarkEnd w:id="4"/>
      <w:r w:rsidRPr="00705B56">
        <w:rPr>
          <w:rFonts w:ascii="Arial" w:hAnsi="Arial" w:cs="Arial"/>
          <w:b/>
          <w:bCs/>
          <w:color w:val="22635D"/>
          <w:lang w:val="sq-AL"/>
        </w:rPr>
        <w:t>HYRJE</w:t>
      </w:r>
      <w:bookmarkEnd w:id="5"/>
    </w:p>
    <w:p w14:paraId="6AFBA386" w14:textId="4899C337" w:rsidR="00884F57" w:rsidRPr="00705B56" w:rsidRDefault="00884F57" w:rsidP="004C6E93">
      <w:pPr>
        <w:spacing w:line="240" w:lineRule="auto"/>
        <w:jc w:val="both"/>
        <w:rPr>
          <w:rFonts w:ascii="Arial" w:hAnsi="Arial" w:cs="Arial"/>
          <w:lang w:val="sq-AL"/>
        </w:rPr>
      </w:pPr>
      <w:r w:rsidRPr="00705B56">
        <w:rPr>
          <w:rFonts w:ascii="Arial" w:hAnsi="Arial" w:cs="Arial"/>
          <w:lang w:val="sq-AL"/>
        </w:rPr>
        <w:t xml:space="preserve">Hyrja në fuqi e Ligjit </w:t>
      </w:r>
      <w:r w:rsidR="00602281" w:rsidRPr="00705B56">
        <w:rPr>
          <w:rFonts w:ascii="Arial" w:hAnsi="Arial" w:cs="Arial"/>
          <w:lang w:val="sq-AL"/>
        </w:rPr>
        <w:t xml:space="preserve">të Klimës </w:t>
      </w:r>
      <w:r w:rsidRPr="00705B56">
        <w:rPr>
          <w:rFonts w:ascii="Arial" w:hAnsi="Arial" w:cs="Arial"/>
          <w:lang w:val="sq-AL"/>
        </w:rPr>
        <w:t>shënon momentin kur përshtatja ndaj klimës bëhet obligim shtetëror dhe jo veprim vullnetar. Ky ligj krijon bazën për planifikim, zbatim dhe mbikëqyrje të masave të klimës, themelon Këshillin Kombëtar për Ndryshimet Klimatike dhe Sekretariatin e tij, si dhe kërkon korniza strategjike të harmonizuara me politikat kombëtare. Strategjia buron nga ky mandat ligjor dhe mbështetet edhe në Ligjin nr. 03/L-025 për Mbrojtjen e Mjedisit, i cili përcakton parimet e parandalimit, kujdesit paraprak dhe integrimit të çështjeve mjedisore në të gjitha sektorët. Strategjia lidhet drejtpërdrejt me orientimet e Qeverisë dhe me procesin e integrimit evropian, duke u përputhur me Strategjinë dhe Planin Kombëtar për Zhvillim 2030, me Kapitullin 27 të MSA-së, Agjendën e Gjelbër për Ballkanin Perëndimor dhe me Planin Kombëtar për Energji dhe Klimë (NECP) në përgatitje, si dhe duke u mbështetur edhe në Kontributin Vullnetar Kombëtar (NDC) të Kosovës, tashmë të aprovuar.</w:t>
      </w:r>
    </w:p>
    <w:p w14:paraId="52BD3481" w14:textId="77777777" w:rsidR="00884F57" w:rsidRPr="00705B56" w:rsidRDefault="00884F57" w:rsidP="004C6E93">
      <w:pPr>
        <w:spacing w:line="240" w:lineRule="auto"/>
        <w:jc w:val="both"/>
        <w:rPr>
          <w:rFonts w:ascii="Arial" w:hAnsi="Arial" w:cs="Arial"/>
          <w:lang w:val="sq-AL"/>
        </w:rPr>
      </w:pPr>
      <w:r w:rsidRPr="00705B56">
        <w:rPr>
          <w:rFonts w:ascii="Arial" w:hAnsi="Arial" w:cs="Arial"/>
          <w:lang w:val="sq-AL"/>
        </w:rPr>
        <w:t>Kosova po përballet me thatësira më të gjata, përmbytje të shpejta dhe valë të të nxehtit që dëmtojnë ujin, bujqësinë, shëndetin publik dhe infrastrukturën. Nga perspektiva politike, vendi përjeton një padrejtësi strukturore: ndonëse i kërkohet të ndërmarrë hapa për dekarbonizim, Kosova nuk është palë e konventave ndërkombëtare për klimës sikurse Konventa Bazë e Kombeve të Bashkuara për Ndryshime Klimatike (UNFCCC) dhe nuk ka qasje në mekanizmat shumëpalësh financiarë si "Global Environment Facility", "Green Climate Fund" e shumë të tjerë. Ky përjashtim institucional, i pakushtëzuar nga kriteret mjedisore apo kapacitetet, e kufizon mundësinë për të zbatuar veprime ambicioze, në një kohë kur vlerësimet e fundit tregojnë se nevojiten rreth 2.8 miliardë euro investime në infrastrukturë për përshtatje. Të kërkohet ulje e emetimeve pa mbështetjen që u ofrohet vendeve me profil të ngjashëm nuk është e drejtë, aq më tepër kur burimi i efekteve të klimës vjen kryesisht nga ekonomitë që historikisht kanë emetuar shumëfish më tepër se Kosova. Megjithatë, për sigurinë e vendit dhe për ta mbajtur Kosovën të jetueshme për qytetarët dhe ekonominë, veprimi në përshtatje është i domosdoshëm.</w:t>
      </w:r>
    </w:p>
    <w:p w14:paraId="3F941733" w14:textId="77777777" w:rsidR="00884F57" w:rsidRPr="00705B56" w:rsidRDefault="00884F57" w:rsidP="004C6E93">
      <w:pPr>
        <w:spacing w:line="240" w:lineRule="auto"/>
        <w:jc w:val="both"/>
        <w:rPr>
          <w:rFonts w:ascii="Arial" w:hAnsi="Arial" w:cs="Arial"/>
          <w:lang w:val="sq-AL"/>
        </w:rPr>
      </w:pPr>
      <w:r w:rsidRPr="00705B56">
        <w:rPr>
          <w:rFonts w:ascii="Arial" w:hAnsi="Arial" w:cs="Arial"/>
          <w:lang w:val="sq-AL"/>
        </w:rPr>
        <w:t xml:space="preserve">Për këtë arsye, Strategjia vendos një kornizë të koordinuar, të bazuar në dëshmi dhe nën pronësi kombëtare, që përkthen rreziqet klimatike në prioritetet e qarta sektoriale dhe ndërsektoriale: sigurinë ujore dhe menaxhimin e risurseve ujore, uljen e rrezikut nga përmbytjet e thatësirat; qëndrueshmërinë e bujqësisë dhe pylltarisë; mbrojtjen e shëndetit publik; qëndrueshmërinë e sektorit të energjisë dhe rezistencën e infrastrukturës kritike. Strategjia merr parasysh që ndryshimet klimatike janë disproporcionale për komunitetet rurale dhe grupet e cenueshme, prandaj ndërton masa që përfshijnë barazinë dhe drejtësinë klimatike si kriter udhëheqës. </w:t>
      </w:r>
    </w:p>
    <w:p w14:paraId="2F4ACD4E" w14:textId="77777777" w:rsidR="00884F57" w:rsidRPr="00705B56" w:rsidRDefault="00884F57" w:rsidP="004C6E93">
      <w:pPr>
        <w:spacing w:line="240" w:lineRule="auto"/>
        <w:jc w:val="both"/>
        <w:rPr>
          <w:rFonts w:ascii="Arial" w:hAnsi="Arial" w:cs="Arial"/>
          <w:lang w:val="sq-AL"/>
        </w:rPr>
      </w:pPr>
      <w:r w:rsidRPr="00705B56">
        <w:rPr>
          <w:rFonts w:ascii="Arial" w:hAnsi="Arial" w:cs="Arial"/>
          <w:lang w:val="sq-AL"/>
        </w:rPr>
        <w:t>Ky dokument është iniciuar për të përmbyllur boshllëkun midis rreziqeve të rritura dhe instrumenteve ekzistuese të politikave, për të siguruar koherencë me programin e Qeverisë dhe gjithashtu për përshpejtuar zbatimin e reformave klimatike që kërkon integrimi evropian. Në thelb, Strategjia e vendos përshtatjen si pjesë organike të transformimit socio-ekonomik të Kosovës: një instrument për të mbrojtur arritjet ekzistuese të zhvillimit dhe, njëkohësisht, për të hapur hapësirë për inovacion, rritje të qëndrueshme dhe mirëqenie të barabartë në kushtet e një klime që ndryshon.</w:t>
      </w:r>
    </w:p>
    <w:p w14:paraId="0CAE1BC7" w14:textId="77777777" w:rsidR="00DA48FC" w:rsidRPr="00705B56" w:rsidRDefault="00DA48FC" w:rsidP="00DA48FC">
      <w:pPr>
        <w:spacing w:before="0" w:line="278" w:lineRule="auto"/>
        <w:rPr>
          <w:rFonts w:ascii="Arial" w:hAnsi="Arial" w:cs="Arial"/>
          <w:b/>
          <w:bCs/>
          <w:lang w:val="sq-AL"/>
        </w:rPr>
      </w:pPr>
      <w:r w:rsidRPr="00705B56">
        <w:rPr>
          <w:rFonts w:ascii="Arial" w:hAnsi="Arial" w:cs="Arial"/>
          <w:b/>
          <w:bCs/>
          <w:lang w:val="sq-AL"/>
        </w:rPr>
        <w:br w:type="page"/>
      </w:r>
    </w:p>
    <w:p w14:paraId="0E6C5239" w14:textId="77777777" w:rsidR="00DA48FC" w:rsidRPr="00705B56" w:rsidRDefault="00DA48FC" w:rsidP="00DA48FC">
      <w:pPr>
        <w:pStyle w:val="Heading1"/>
        <w:rPr>
          <w:rFonts w:ascii="Arial" w:hAnsi="Arial" w:cs="Arial"/>
          <w:b/>
          <w:bCs/>
          <w:color w:val="22635D"/>
          <w:lang w:val="sq-AL"/>
        </w:rPr>
      </w:pPr>
      <w:bookmarkStart w:id="6" w:name="_Toc202880080"/>
      <w:bookmarkStart w:id="7" w:name="_Toc211532674"/>
      <w:r w:rsidRPr="00705B56">
        <w:rPr>
          <w:rFonts w:ascii="Arial" w:hAnsi="Arial" w:cs="Arial"/>
          <w:b/>
          <w:bCs/>
          <w:color w:val="22635D"/>
          <w:lang w:val="sq-AL"/>
        </w:rPr>
        <w:lastRenderedPageBreak/>
        <w:t>III. MET</w:t>
      </w:r>
      <w:bookmarkEnd w:id="6"/>
      <w:r w:rsidRPr="00705B56">
        <w:rPr>
          <w:rFonts w:ascii="Arial" w:hAnsi="Arial" w:cs="Arial"/>
          <w:b/>
          <w:bCs/>
          <w:color w:val="22635D"/>
          <w:lang w:val="sq-AL"/>
        </w:rPr>
        <w:t>ODOLOGJIA</w:t>
      </w:r>
      <w:bookmarkEnd w:id="7"/>
    </w:p>
    <w:p w14:paraId="6C9B1FA2" w14:textId="77777777" w:rsidR="00DA48FC" w:rsidRPr="00705B56" w:rsidRDefault="00DA48FC" w:rsidP="00DA48FC">
      <w:pPr>
        <w:pStyle w:val="Heading2"/>
        <w:ind w:left="142"/>
        <w:rPr>
          <w:rFonts w:ascii="Arial" w:hAnsi="Arial" w:cs="Arial"/>
          <w:b/>
          <w:bCs/>
          <w:color w:val="246D5D"/>
          <w:lang w:val="sq-AL"/>
        </w:rPr>
      </w:pPr>
      <w:bookmarkStart w:id="8" w:name="_Toc211532675"/>
      <w:r w:rsidRPr="00705B56">
        <w:rPr>
          <w:rFonts w:ascii="Arial" w:hAnsi="Arial" w:cs="Arial"/>
          <w:b/>
          <w:bCs/>
          <w:color w:val="246D5D"/>
          <w:lang w:val="sq-AL"/>
        </w:rPr>
        <w:t>Qasja dhe Parimet Udhëzuese</w:t>
      </w:r>
      <w:bookmarkEnd w:id="8"/>
    </w:p>
    <w:p w14:paraId="6AC124A0" w14:textId="1F5D3664" w:rsidR="00DA48FC" w:rsidRPr="00705B56" w:rsidRDefault="00DA48FC" w:rsidP="00DA48FC">
      <w:pPr>
        <w:ind w:left="72"/>
        <w:jc w:val="both"/>
        <w:rPr>
          <w:rFonts w:ascii="Arial" w:hAnsi="Arial" w:cs="Arial"/>
          <w:lang w:val="sq-AL"/>
        </w:rPr>
      </w:pPr>
      <w:r w:rsidRPr="00705B56">
        <w:rPr>
          <w:rFonts w:ascii="Arial" w:hAnsi="Arial" w:cs="Arial"/>
          <w:lang w:val="sq-AL"/>
        </w:rPr>
        <w:t>Parimet udhëzuese përbëjnë një udhërrëfyes të strukturuar për veprim dhe përfaqësojnë një grup standardesh normative që udhëheqin projektimin, zbatimin dhe vlerësimin e veprimeve për përshtatje ndaj ndryshimeve klimatike</w:t>
      </w:r>
      <w:r w:rsidR="00DA6A34" w:rsidRPr="00705B56">
        <w:rPr>
          <w:rFonts w:ascii="Arial" w:hAnsi="Arial" w:cs="Arial"/>
          <w:lang w:val="sq-AL"/>
        </w:rPr>
        <w:t>.</w:t>
      </w:r>
      <w:r w:rsidRPr="00705B56">
        <w:rPr>
          <w:rStyle w:val="FootnoteReference"/>
          <w:rFonts w:ascii="Arial" w:hAnsi="Arial" w:cs="Arial"/>
          <w:lang w:val="sq-AL"/>
        </w:rPr>
        <w:footnoteReference w:id="5"/>
      </w:r>
      <w:r w:rsidR="00C93F16" w:rsidRPr="00705B56">
        <w:rPr>
          <w:rFonts w:ascii="Arial" w:hAnsi="Arial" w:cs="Arial"/>
          <w:lang w:val="sq-AL"/>
        </w:rPr>
        <w:t xml:space="preserve"> </w:t>
      </w:r>
      <w:r w:rsidRPr="00705B56">
        <w:rPr>
          <w:rFonts w:ascii="Arial" w:hAnsi="Arial" w:cs="Arial"/>
          <w:lang w:val="sq-AL"/>
        </w:rPr>
        <w:t>Ato sigurojnë që masat të jenë të bazuara në vlerësimin e rrezikut, të ndjeshme ndaj kontekstit lokal, duke ruajtur njëkohësisht fleksibilitetin për t’u përshtatur me ndryshimet klimatike dhe kushtet socio-ekonomike në zhvillim.</w:t>
      </w:r>
    </w:p>
    <w:p w14:paraId="0EA70BDC" w14:textId="4CEB165E" w:rsidR="00DA48FC" w:rsidRPr="00705B56" w:rsidRDefault="00DA48FC" w:rsidP="00DA48FC">
      <w:pPr>
        <w:spacing w:line="240" w:lineRule="auto"/>
        <w:ind w:left="72"/>
        <w:jc w:val="both"/>
        <w:rPr>
          <w:rFonts w:ascii="Arial" w:hAnsi="Arial" w:cs="Arial"/>
          <w:lang w:val="sq-AL"/>
        </w:rPr>
      </w:pPr>
      <w:r w:rsidRPr="00705B56">
        <w:rPr>
          <w:rFonts w:ascii="Arial" w:hAnsi="Arial" w:cs="Arial"/>
          <w:lang w:val="sq-AL"/>
        </w:rPr>
        <w:t xml:space="preserve">Duke respektuar këto parime, </w:t>
      </w:r>
      <w:r w:rsidR="00BE39C7" w:rsidRPr="00705B56">
        <w:rPr>
          <w:rFonts w:ascii="Arial" w:hAnsi="Arial" w:cs="Arial"/>
          <w:lang w:val="sq-AL"/>
        </w:rPr>
        <w:t>Strategjia</w:t>
      </w:r>
      <w:r w:rsidRPr="00705B56">
        <w:rPr>
          <w:rFonts w:ascii="Arial" w:hAnsi="Arial" w:cs="Arial"/>
          <w:lang w:val="sq-AL"/>
        </w:rPr>
        <w:t xml:space="preserve"> promovon një qasje koherente dhe efektive për ndërtimin e qëndrueshmërisë ndaj klimës nëpër sektorë dhe nivele të ndryshme të qeverisjes. </w:t>
      </w:r>
      <w:r w:rsidR="00BE39C7" w:rsidRPr="00705B56">
        <w:rPr>
          <w:rFonts w:ascii="Arial" w:hAnsi="Arial" w:cs="Arial"/>
          <w:lang w:val="sq-AL"/>
        </w:rPr>
        <w:t>Strategjia</w:t>
      </w:r>
      <w:r w:rsidRPr="00705B56">
        <w:rPr>
          <w:rFonts w:ascii="Arial" w:hAnsi="Arial" w:cs="Arial"/>
          <w:lang w:val="sq-AL"/>
        </w:rPr>
        <w:t xml:space="preserve"> mbështetet në këto parime udhëzuese, të cilat formësojnë projektimin, zbatimin dhe vlerësimin e masave të përshtatjes në Kosovë:</w:t>
      </w:r>
    </w:p>
    <w:p w14:paraId="397EA275" w14:textId="02196A5E" w:rsidR="00DA48FC" w:rsidRPr="00705B56" w:rsidRDefault="00AD6702" w:rsidP="00DA48FC">
      <w:pPr>
        <w:spacing w:line="240" w:lineRule="auto"/>
        <w:jc w:val="both"/>
        <w:rPr>
          <w:rFonts w:ascii="Arial" w:hAnsi="Arial" w:cs="Arial"/>
          <w:lang w:val="sq-AL"/>
        </w:rPr>
      </w:pPr>
      <w:r w:rsidRPr="00705B56">
        <w:rPr>
          <w:rFonts w:ascii="Arial" w:hAnsi="Arial" w:cs="Arial"/>
          <w:noProof/>
        </w:rPr>
        <mc:AlternateContent>
          <mc:Choice Requires="wps">
            <w:drawing>
              <wp:anchor distT="0" distB="0" distL="114300" distR="114300" simplePos="0" relativeHeight="251809792" behindDoc="0" locked="0" layoutInCell="1" allowOverlap="1" wp14:anchorId="7DEECDF1" wp14:editId="2B0255D9">
                <wp:simplePos x="0" y="0"/>
                <wp:positionH relativeFrom="column">
                  <wp:posOffset>534035</wp:posOffset>
                </wp:positionH>
                <wp:positionV relativeFrom="paragraph">
                  <wp:posOffset>3536950</wp:posOffset>
                </wp:positionV>
                <wp:extent cx="5486400" cy="121920"/>
                <wp:effectExtent l="0" t="0" r="0" b="0"/>
                <wp:wrapTopAndBottom/>
                <wp:docPr id="1983733042" name="Text Box 1"/>
                <wp:cNvGraphicFramePr/>
                <a:graphic xmlns:a="http://schemas.openxmlformats.org/drawingml/2006/main">
                  <a:graphicData uri="http://schemas.microsoft.com/office/word/2010/wordprocessingShape">
                    <wps:wsp>
                      <wps:cNvSpPr txBox="1"/>
                      <wps:spPr>
                        <a:xfrm>
                          <a:off x="0" y="0"/>
                          <a:ext cx="5486400" cy="121920"/>
                        </a:xfrm>
                        <a:prstGeom prst="rect">
                          <a:avLst/>
                        </a:prstGeom>
                        <a:solidFill>
                          <a:prstClr val="white"/>
                        </a:solidFill>
                        <a:ln>
                          <a:noFill/>
                        </a:ln>
                      </wps:spPr>
                      <wps:txbx>
                        <w:txbxContent>
                          <w:p w14:paraId="5F92859A" w14:textId="05D17EED" w:rsidR="00AD6702" w:rsidRPr="00705B56" w:rsidRDefault="00AD6702" w:rsidP="00D23BB3">
                            <w:pPr>
                              <w:pStyle w:val="Caption"/>
                              <w:rPr>
                                <w:rFonts w:ascii="Arial" w:hAnsi="Arial" w:cs="Arial"/>
                                <w:noProof/>
                                <w:sz w:val="22"/>
                                <w:szCs w:val="22"/>
                                <w:lang w:val="sq-AL" w:eastAsia="sq-AL"/>
                              </w:rPr>
                            </w:pPr>
                            <w:bookmarkStart w:id="9" w:name="_Toc211532602"/>
                            <w:r w:rsidRPr="00705B56">
                              <w:rPr>
                                <w:rFonts w:ascii="Arial" w:hAnsi="Arial" w:cs="Arial"/>
                              </w:rPr>
                              <w:t xml:space="preserve">Figura </w:t>
                            </w:r>
                            <w:r w:rsidRPr="00705B56">
                              <w:rPr>
                                <w:rFonts w:ascii="Arial" w:hAnsi="Arial" w:cs="Arial"/>
                              </w:rPr>
                              <w:fldChar w:fldCharType="begin"/>
                            </w:r>
                            <w:r w:rsidRPr="00705B56">
                              <w:rPr>
                                <w:rFonts w:ascii="Arial" w:hAnsi="Arial" w:cs="Arial"/>
                              </w:rPr>
                              <w:instrText xml:space="preserve"> SEQ Figura \* ARABIC </w:instrText>
                            </w:r>
                            <w:r w:rsidRPr="00705B56">
                              <w:rPr>
                                <w:rFonts w:ascii="Arial" w:hAnsi="Arial" w:cs="Arial"/>
                              </w:rPr>
                              <w:fldChar w:fldCharType="separate"/>
                            </w:r>
                            <w:r w:rsidR="0005579F" w:rsidRPr="00705B56">
                              <w:rPr>
                                <w:rFonts w:ascii="Arial" w:hAnsi="Arial" w:cs="Arial"/>
                                <w:noProof/>
                              </w:rPr>
                              <w:t>1</w:t>
                            </w:r>
                            <w:r w:rsidRPr="00705B56">
                              <w:rPr>
                                <w:rFonts w:ascii="Arial" w:hAnsi="Arial" w:cs="Arial"/>
                              </w:rPr>
                              <w:fldChar w:fldCharType="end"/>
                            </w:r>
                            <w:r w:rsidRPr="00705B56">
                              <w:rPr>
                                <w:rFonts w:ascii="Arial" w:hAnsi="Arial" w:cs="Arial"/>
                              </w:rPr>
                              <w:t>. Parimet udhëzuese. Burimi: Climate-ADAPT, 2024.</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EECDF1" id="Text Box 1" o:spid="_x0000_s1028" type="#_x0000_t202" style="position:absolute;left:0;text-align:left;margin-left:42.05pt;margin-top:278.5pt;width:6in;height:9.6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" stroked="f">
                <v:textbox inset="0,0,0,0">
                  <w:txbxContent>
                    <w:p w14:paraId="5F92859A" w14:textId="05D17EED" w:rsidR="00AD6702" w:rsidRPr="00705B56" w:rsidRDefault="00AD6702" w:rsidP="00D23BB3">
                      <w:pPr>
                        <w:pStyle w:val="Caption"/>
                        <w:rPr>
                          <w:rFonts w:ascii="Arial" w:hAnsi="Arial" w:cs="Arial"/>
                          <w:noProof/>
                          <w:sz w:val="22"/>
                          <w:szCs w:val="22"/>
                          <w:lang w:val="sq-AL" w:eastAsia="sq-AL"/>
                        </w:rPr>
                      </w:pPr>
                      <w:bookmarkStart w:id="8" w:name="_Toc211532602"/>
                      <w:r w:rsidRPr="00705B56">
                        <w:rPr>
                          <w:rFonts w:ascii="Arial" w:hAnsi="Arial" w:cs="Arial"/>
                        </w:rPr>
                        <w:t xml:space="preserve">Figura </w:t>
                      </w:r>
                      <w:r w:rsidRPr="00705B56">
                        <w:rPr>
                          <w:rFonts w:ascii="Arial" w:hAnsi="Arial" w:cs="Arial"/>
                        </w:rPr>
                        <w:fldChar w:fldCharType="begin"/>
                      </w:r>
                      <w:r w:rsidRPr="00705B56">
                        <w:rPr>
                          <w:rFonts w:ascii="Arial" w:hAnsi="Arial" w:cs="Arial"/>
                        </w:rPr>
                        <w:instrText xml:space="preserve"> SEQ Figura \* ARABIC </w:instrText>
                      </w:r>
                      <w:r w:rsidRPr="00705B56">
                        <w:rPr>
                          <w:rFonts w:ascii="Arial" w:hAnsi="Arial" w:cs="Arial"/>
                        </w:rPr>
                        <w:fldChar w:fldCharType="separate"/>
                      </w:r>
                      <w:r w:rsidR="0005579F" w:rsidRPr="00705B56">
                        <w:rPr>
                          <w:rFonts w:ascii="Arial" w:hAnsi="Arial" w:cs="Arial"/>
                          <w:noProof/>
                        </w:rPr>
                        <w:t>1</w:t>
                      </w:r>
                      <w:r w:rsidRPr="00705B56">
                        <w:rPr>
                          <w:rFonts w:ascii="Arial" w:hAnsi="Arial" w:cs="Arial"/>
                        </w:rPr>
                        <w:fldChar w:fldCharType="end"/>
                      </w:r>
                      <w:r w:rsidRPr="00705B56">
                        <w:rPr>
                          <w:rFonts w:ascii="Arial" w:hAnsi="Arial" w:cs="Arial"/>
                        </w:rPr>
                        <w:t xml:space="preserve">. </w:t>
                      </w:r>
                      <w:r w:rsidRPr="00705B56">
                        <w:rPr>
                          <w:rFonts w:ascii="Arial" w:hAnsi="Arial" w:cs="Arial"/>
                        </w:rPr>
                        <w:t>Parimet udhëzuese. Burimi: Climate-ADAPT, 2024.</w:t>
                      </w:r>
                      <w:bookmarkEnd w:id="8"/>
                    </w:p>
                  </w:txbxContent>
                </v:textbox>
                <w10:wrap type="topAndBottom"/>
              </v:shape>
            </w:pict>
          </mc:Fallback>
        </mc:AlternateContent>
      </w:r>
      <w:r w:rsidR="00DA48FC" w:rsidRPr="00705B56">
        <w:rPr>
          <w:rFonts w:ascii="Arial" w:hAnsi="Arial" w:cs="Arial"/>
          <w:noProof/>
        </w:rPr>
        <w:drawing>
          <wp:anchor distT="0" distB="0" distL="114300" distR="114300" simplePos="0" relativeHeight="251777024" behindDoc="0" locked="0" layoutInCell="1" allowOverlap="1" wp14:anchorId="6BE5A448" wp14:editId="49E846CA">
            <wp:simplePos x="0" y="0"/>
            <wp:positionH relativeFrom="column">
              <wp:posOffset>533400</wp:posOffset>
            </wp:positionH>
            <wp:positionV relativeFrom="paragraph">
              <wp:posOffset>276225</wp:posOffset>
            </wp:positionV>
            <wp:extent cx="5486400" cy="3200400"/>
            <wp:effectExtent l="0" t="0" r="0" b="19050"/>
            <wp:wrapTopAndBottom/>
            <wp:docPr id="1145359832"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14:paraId="4D88CA3F" w14:textId="77777777" w:rsidR="00C93F16" w:rsidRPr="00705B56" w:rsidRDefault="00C93F16" w:rsidP="00DA48FC">
      <w:pPr>
        <w:spacing w:line="240" w:lineRule="auto"/>
        <w:ind w:left="720"/>
        <w:jc w:val="both"/>
        <w:rPr>
          <w:rFonts w:ascii="Arial" w:hAnsi="Arial" w:cs="Arial"/>
          <w:lang w:val="sq-AL"/>
        </w:rPr>
      </w:pPr>
    </w:p>
    <w:p w14:paraId="13392C2B" w14:textId="2EDA8106" w:rsidR="00B75E67" w:rsidRPr="00705B56" w:rsidRDefault="00C93F16" w:rsidP="00DA48FC">
      <w:pPr>
        <w:spacing w:line="240" w:lineRule="auto"/>
        <w:jc w:val="both"/>
        <w:rPr>
          <w:rFonts w:ascii="Arial" w:hAnsi="Arial" w:cs="Arial"/>
          <w:lang w:val="sq-AL"/>
        </w:rPr>
      </w:pPr>
      <w:r w:rsidRPr="00705B56">
        <w:rPr>
          <w:rFonts w:ascii="Arial" w:hAnsi="Arial" w:cs="Arial"/>
          <w:lang w:val="sq-AL"/>
        </w:rPr>
        <w:t>Strategjia</w:t>
      </w:r>
      <w:r w:rsidR="00DA48FC" w:rsidRPr="00705B56">
        <w:rPr>
          <w:rFonts w:ascii="Arial" w:hAnsi="Arial" w:cs="Arial"/>
          <w:lang w:val="sq-AL"/>
        </w:rPr>
        <w:t xml:space="preserve"> përfshin edhe dy shtylla metodologjike plotësuese që mbështesin projektimin strategjik dhe operacional të masave të përshtatjes: </w:t>
      </w:r>
      <w:r w:rsidR="00DA48FC" w:rsidRPr="00705B56">
        <w:rPr>
          <w:rFonts w:ascii="Arial" w:hAnsi="Arial" w:cs="Arial"/>
          <w:b/>
          <w:bCs/>
          <w:lang w:val="sq-AL"/>
        </w:rPr>
        <w:t>një qasje të bazuar në rrezik dhe të udhëhequr nga dëshmitë</w:t>
      </w:r>
      <w:r w:rsidR="00DA48FC" w:rsidRPr="00705B56">
        <w:rPr>
          <w:rFonts w:ascii="Arial" w:hAnsi="Arial" w:cs="Arial"/>
          <w:lang w:val="sq-AL"/>
        </w:rPr>
        <w:t xml:space="preserve">, si dhe një </w:t>
      </w:r>
      <w:r w:rsidR="00DA48FC" w:rsidRPr="00705B56">
        <w:rPr>
          <w:rFonts w:ascii="Arial" w:hAnsi="Arial" w:cs="Arial"/>
          <w:b/>
          <w:bCs/>
          <w:lang w:val="sq-AL"/>
        </w:rPr>
        <w:t>proces planifikimi ndërsektorial dhe pjesëmarrës</w:t>
      </w:r>
      <w:r w:rsidR="00DA48FC" w:rsidRPr="00705B56">
        <w:rPr>
          <w:rFonts w:ascii="Arial" w:hAnsi="Arial" w:cs="Arial"/>
          <w:lang w:val="sq-AL"/>
        </w:rPr>
        <w:t xml:space="preserve">. </w:t>
      </w:r>
    </w:p>
    <w:p w14:paraId="0C15D451" w14:textId="77777777" w:rsidR="00DA48FC" w:rsidRPr="00705B56" w:rsidRDefault="00DA48FC" w:rsidP="00DA48FC">
      <w:pPr>
        <w:pStyle w:val="Heading3"/>
        <w:rPr>
          <w:rFonts w:ascii="Arial" w:hAnsi="Arial" w:cs="Arial"/>
          <w:color w:val="246D5D"/>
          <w:lang w:val="sq-AL"/>
        </w:rPr>
      </w:pPr>
      <w:bookmarkStart w:id="10" w:name="_Toc211532676"/>
      <w:r w:rsidRPr="00705B56">
        <w:rPr>
          <w:rFonts w:ascii="Arial" w:hAnsi="Arial" w:cs="Arial"/>
          <w:color w:val="246D5D"/>
          <w:lang w:val="sq-AL"/>
        </w:rPr>
        <w:t>Qasje e bazuar në rrezik dhe e udhëhequr nga dëshmitë</w:t>
      </w:r>
      <w:bookmarkEnd w:id="10"/>
    </w:p>
    <w:p w14:paraId="3C7ECBEB" w14:textId="107580C1" w:rsidR="00DA48FC" w:rsidRPr="00705B56" w:rsidRDefault="00BE39C7" w:rsidP="00DA48FC">
      <w:pPr>
        <w:spacing w:line="240" w:lineRule="auto"/>
        <w:jc w:val="both"/>
        <w:rPr>
          <w:rFonts w:ascii="Arial" w:hAnsi="Arial" w:cs="Arial"/>
          <w:lang w:val="sq-AL"/>
        </w:rPr>
      </w:pPr>
      <w:r w:rsidRPr="00705B56">
        <w:rPr>
          <w:rFonts w:ascii="Arial" w:hAnsi="Arial" w:cs="Arial"/>
          <w:lang w:val="sq-AL"/>
        </w:rPr>
        <w:t>Strategjia</w:t>
      </w:r>
      <w:r w:rsidR="00DA48FC" w:rsidRPr="00705B56">
        <w:rPr>
          <w:rFonts w:ascii="Arial" w:hAnsi="Arial" w:cs="Arial"/>
          <w:lang w:val="sq-AL"/>
        </w:rPr>
        <w:t xml:space="preserve"> është e ndërtuar mbi një metodologji të bazuar në rrezik dhe të udhëhequr nga dëshmitë, duke siguruar që veprimet për përshtatje të jenë strategjike dhe efektive. Kjo qasje përdor vlerësime të rrezikut klimatik, modelime shkencore dhe të dhëna socio-ekonomike për të prioritizuar ndërhyrjet atje ku nevoja është më urgjente — veçanërisht në sektorët, popullatat dhe zonat gjeografike të identifikuara si shumë të ndjeshme. E mbështetur në udhëzimet e IPCC (Paneli Ndërqeveritar për Ndryshimet Klimatike) dhe praktikat më të mira të qeverisjes së rrezikut klimatik, </w:t>
      </w:r>
      <w:r w:rsidRPr="00705B56">
        <w:rPr>
          <w:rFonts w:ascii="Arial" w:hAnsi="Arial" w:cs="Arial"/>
          <w:lang w:val="sq-AL"/>
        </w:rPr>
        <w:t>Strategjia</w:t>
      </w:r>
      <w:r w:rsidR="00DA48FC" w:rsidRPr="00705B56">
        <w:rPr>
          <w:rFonts w:ascii="Arial" w:hAnsi="Arial" w:cs="Arial"/>
          <w:lang w:val="sq-AL"/>
        </w:rPr>
        <w:t xml:space="preserve"> vlerëson ndërveprimin ndërmjet rreziqeve, ekspozimit dhe ndjeshmërisë për të udhëhequr vendimmarrjen dhe shpërndarjen e burimeve në mënyrë të informuar dhe të drejtë.</w:t>
      </w:r>
    </w:p>
    <w:p w14:paraId="6761BB74" w14:textId="77777777" w:rsidR="00DA48FC" w:rsidRPr="00705B56" w:rsidRDefault="00DA48FC" w:rsidP="00DA48FC">
      <w:pPr>
        <w:jc w:val="both"/>
        <w:rPr>
          <w:rFonts w:ascii="Arial" w:hAnsi="Arial" w:cs="Arial"/>
          <w:lang w:val="sq-AL"/>
        </w:rPr>
      </w:pPr>
      <w:r w:rsidRPr="00705B56">
        <w:rPr>
          <w:rFonts w:ascii="Arial" w:hAnsi="Arial" w:cs="Arial"/>
          <w:lang w:val="sq-AL"/>
        </w:rPr>
        <w:lastRenderedPageBreak/>
        <w:t>Modelet klimatike dhe mjetet analitike si EURO-CORDEX, SWAT, RUSLE dhe GIS kanë qenë thelbësore në gjenerimin e projeksioneve me rezolucion të lartë për Kosovën, duke mundësuar identifikimin e kërcënimeve specifike si përmbytjet e shpejta, thatësirat e zgjatura dhe zjarret në natyrë.</w:t>
      </w:r>
    </w:p>
    <w:p w14:paraId="2B613D1D" w14:textId="06D93805" w:rsidR="00DA48FC" w:rsidRPr="00705B56" w:rsidRDefault="00DA48FC" w:rsidP="00DA48FC">
      <w:pPr>
        <w:jc w:val="both"/>
        <w:rPr>
          <w:rFonts w:ascii="Arial" w:hAnsi="Arial" w:cs="Arial"/>
          <w:lang w:val="sq-AL"/>
        </w:rPr>
      </w:pPr>
      <w:r w:rsidRPr="00705B56">
        <w:rPr>
          <w:rFonts w:ascii="Arial" w:hAnsi="Arial" w:cs="Arial"/>
          <w:lang w:val="sq-AL"/>
        </w:rPr>
        <w:t xml:space="preserve">Duke e bazuar planifikimin e përshtatjes në dëshmi të fuqishme shkencore dhe në profile të rrezikut të ndjeshme ndaj kontekstit lokal, </w:t>
      </w:r>
      <w:r w:rsidR="00BE39C7" w:rsidRPr="00705B56">
        <w:rPr>
          <w:rFonts w:ascii="Arial" w:hAnsi="Arial" w:cs="Arial"/>
          <w:lang w:val="sq-AL"/>
        </w:rPr>
        <w:t>S</w:t>
      </w:r>
      <w:r w:rsidR="00C93F16" w:rsidRPr="00705B56">
        <w:rPr>
          <w:rFonts w:ascii="Arial" w:hAnsi="Arial" w:cs="Arial"/>
          <w:lang w:val="sq-AL"/>
        </w:rPr>
        <w:t>trategjia</w:t>
      </w:r>
      <w:r w:rsidRPr="00705B56">
        <w:rPr>
          <w:rFonts w:ascii="Arial" w:hAnsi="Arial" w:cs="Arial"/>
          <w:lang w:val="sq-AL"/>
        </w:rPr>
        <w:t xml:space="preserve"> promovon një prioritizim të informuar të veprimeve, një shënjestrim më të saktë të burimeve financiare dhe teknike, si dhe një angazhim më efektiv të institucioneve dhe palëve të interesit. Kjo bazë e orientuar në rrezik forcon në mënyrë të qenësishme kapacitetet institucionale dhe komunitare të Kosovës për të parashikuar, përgatitur dhe reaguar ndaj sfidave në rritje që paraqesin ndryshimet klimatike.</w:t>
      </w:r>
    </w:p>
    <w:p w14:paraId="769EA7C8" w14:textId="41396B6A" w:rsidR="001D4FA1" w:rsidRPr="00705B56" w:rsidRDefault="007F6A30" w:rsidP="007C0869">
      <w:pPr>
        <w:pStyle w:val="Heading3"/>
        <w:rPr>
          <w:rFonts w:ascii="Arial" w:hAnsi="Arial" w:cs="Arial"/>
          <w:color w:val="246D5D"/>
          <w:lang w:val="sq-AL"/>
        </w:rPr>
      </w:pPr>
      <w:bookmarkStart w:id="11" w:name="_Toc211532677"/>
      <w:r w:rsidRPr="00705B56">
        <w:rPr>
          <w:rFonts w:ascii="Arial" w:hAnsi="Arial" w:cs="Arial"/>
          <w:color w:val="246D5D"/>
          <w:lang w:val="sq-AL"/>
        </w:rPr>
        <w:t>Planifikimi i përshtatjes ndërsektoriale dhe pjesëmarrëse</w:t>
      </w:r>
      <w:bookmarkEnd w:id="11"/>
    </w:p>
    <w:p w14:paraId="3F979207" w14:textId="6A7F1C6A" w:rsidR="001D4FA1" w:rsidRPr="00705B56" w:rsidRDefault="00C93F16" w:rsidP="001D4FA1">
      <w:pPr>
        <w:jc w:val="both"/>
        <w:rPr>
          <w:rFonts w:ascii="Arial" w:hAnsi="Arial" w:cs="Arial"/>
          <w:lang w:val="sq-AL"/>
        </w:rPr>
      </w:pPr>
      <w:r w:rsidRPr="00705B56">
        <w:rPr>
          <w:rFonts w:ascii="Arial" w:hAnsi="Arial" w:cs="Arial"/>
          <w:lang w:val="sq-AL"/>
        </w:rPr>
        <w:t>Strategjia</w:t>
      </w:r>
      <w:r w:rsidR="007F6A30" w:rsidRPr="00705B56">
        <w:rPr>
          <w:rFonts w:ascii="Arial" w:hAnsi="Arial" w:cs="Arial"/>
          <w:lang w:val="sq-AL"/>
        </w:rPr>
        <w:t xml:space="preserve"> udhëhiqet nga një qasje planifikimi ndërsektorial dhe pjesëmarrës, që pasqyron kompleksitetin e rreziqeve klimatike dhe nevojën për veprim të koordinuar, gjithëpërfshirës dhe koherent në të gjithë shoqërinë. Duke njohur se ndryshimet klimatike prekin njëkohësisht sektorë dhe nivele të ndryshme të qeverisjes, </w:t>
      </w:r>
      <w:r w:rsidR="00BE39C7" w:rsidRPr="00705B56">
        <w:rPr>
          <w:rFonts w:ascii="Arial" w:hAnsi="Arial" w:cs="Arial"/>
          <w:lang w:val="sq-AL"/>
        </w:rPr>
        <w:t>Strategjia</w:t>
      </w:r>
      <w:r w:rsidR="007F6A30" w:rsidRPr="00705B56">
        <w:rPr>
          <w:rFonts w:ascii="Arial" w:hAnsi="Arial" w:cs="Arial"/>
          <w:lang w:val="sq-AL"/>
        </w:rPr>
        <w:t xml:space="preserve"> promovon bashkëpunimin institucional dhe integrimin vertikal ndërmjet niveleve qendrore, dhe lokale, ndërsa nxit angazhim domethënës të palëve të interesit</w:t>
      </w:r>
      <w:r w:rsidR="001D4FA1" w:rsidRPr="00705B56">
        <w:rPr>
          <w:rFonts w:ascii="Arial" w:hAnsi="Arial" w:cs="Arial"/>
          <w:lang w:val="sq-AL"/>
        </w:rPr>
        <w:t>.</w:t>
      </w:r>
    </w:p>
    <w:p w14:paraId="0DEBECBF" w14:textId="77777777" w:rsidR="00C93F16" w:rsidRPr="00705B56" w:rsidRDefault="00C93F16" w:rsidP="00C93F16">
      <w:pPr>
        <w:spacing w:line="240" w:lineRule="auto"/>
        <w:jc w:val="both"/>
        <w:rPr>
          <w:rFonts w:ascii="Arial" w:hAnsi="Arial" w:cs="Arial"/>
          <w:lang w:val="sq-AL"/>
        </w:rPr>
      </w:pPr>
      <w:r w:rsidRPr="00705B56">
        <w:rPr>
          <w:rFonts w:ascii="Arial" w:hAnsi="Arial" w:cs="Arial"/>
          <w:lang w:val="sq-AL"/>
        </w:rPr>
        <w:t>Ndërsa me vendim të Ministrit të Mjedisit, Planifikimit Hapësinor dhe Infrastrukturës, për të zbatuar këtë metodologji që kërkon ekspertizë ndërsektoriale, është themeluar Grupi Punues në përputhje me dispozitat ligjore dhe Planin e Punës së Qeverisë për vitin 2025. Përbërja e tij përfshin përfaqësues nga:</w:t>
      </w:r>
    </w:p>
    <w:p w14:paraId="2EE6196E" w14:textId="77777777" w:rsidR="00C93F16" w:rsidRPr="00705B56" w:rsidRDefault="00C93F16" w:rsidP="00C93F16">
      <w:pPr>
        <w:pStyle w:val="ListParagraph"/>
        <w:numPr>
          <w:ilvl w:val="0"/>
          <w:numId w:val="50"/>
        </w:numPr>
        <w:spacing w:line="240" w:lineRule="auto"/>
        <w:jc w:val="both"/>
        <w:rPr>
          <w:rFonts w:ascii="Arial" w:hAnsi="Arial" w:cs="Arial"/>
          <w:lang w:val="sq-AL"/>
        </w:rPr>
      </w:pPr>
      <w:r w:rsidRPr="00705B56">
        <w:rPr>
          <w:rFonts w:ascii="Arial" w:hAnsi="Arial" w:cs="Arial"/>
          <w:lang w:val="sq-AL"/>
        </w:rPr>
        <w:t>Ministria e Mjedisit, Planifikimit Hapësinor dhe Infrastrukturës (Departamenti për Mbrojtjen e Mjedisit, Departamenti i Rrugëve, Departamenti i Integrimeve Evropiane, Departamenti i Financave, Departamenti Ligjor, Inspektorati, Zyra për Barazi Gjinore, si dhe Agjencia për Mbrojtjen e Mjedisit dhe Instituti Hidrometeorologjik i Kosovës, Autoriteti Rajonal i Pellgjeve Lumore);</w:t>
      </w:r>
    </w:p>
    <w:p w14:paraId="4C6A53B9" w14:textId="77777777" w:rsidR="00C93F16" w:rsidRPr="00705B56" w:rsidRDefault="00C93F16" w:rsidP="00C93F16">
      <w:pPr>
        <w:pStyle w:val="ListParagraph"/>
        <w:numPr>
          <w:ilvl w:val="0"/>
          <w:numId w:val="50"/>
        </w:numPr>
        <w:spacing w:line="240" w:lineRule="auto"/>
        <w:jc w:val="both"/>
        <w:rPr>
          <w:rFonts w:ascii="Arial" w:hAnsi="Arial" w:cs="Arial"/>
          <w:lang w:val="sq-AL"/>
        </w:rPr>
      </w:pPr>
      <w:r w:rsidRPr="00705B56">
        <w:rPr>
          <w:rFonts w:ascii="Arial" w:hAnsi="Arial" w:cs="Arial"/>
          <w:lang w:val="sq-AL"/>
        </w:rPr>
        <w:t>Zyra e Kryeministrit (Zyra e Politikave dhe Zhvillimit të Qëndrueshëm);</w:t>
      </w:r>
    </w:p>
    <w:p w14:paraId="261AB3FB" w14:textId="77777777" w:rsidR="00C93F16" w:rsidRPr="00705B56" w:rsidRDefault="00C93F16" w:rsidP="00C93F16">
      <w:pPr>
        <w:pStyle w:val="ListParagraph"/>
        <w:numPr>
          <w:ilvl w:val="0"/>
          <w:numId w:val="50"/>
        </w:numPr>
        <w:spacing w:line="240" w:lineRule="auto"/>
        <w:jc w:val="both"/>
        <w:rPr>
          <w:rFonts w:ascii="Arial" w:hAnsi="Arial" w:cs="Arial"/>
          <w:lang w:val="sq-AL"/>
        </w:rPr>
      </w:pPr>
      <w:r w:rsidRPr="00705B56">
        <w:rPr>
          <w:rFonts w:ascii="Arial" w:hAnsi="Arial" w:cs="Arial"/>
          <w:lang w:val="sq-AL"/>
        </w:rPr>
        <w:t>Ministria e Ekonomisë (Departamenti i Energjisë dhe Departamenti për Politika dhe Monitorimin e Ndërmarrjeve Publike);</w:t>
      </w:r>
    </w:p>
    <w:p w14:paraId="69775A81" w14:textId="77777777" w:rsidR="00C93F16" w:rsidRPr="00705B56" w:rsidRDefault="00C93F16" w:rsidP="00C93F16">
      <w:pPr>
        <w:pStyle w:val="ListParagraph"/>
        <w:numPr>
          <w:ilvl w:val="0"/>
          <w:numId w:val="50"/>
        </w:numPr>
        <w:spacing w:line="240" w:lineRule="auto"/>
        <w:jc w:val="both"/>
        <w:rPr>
          <w:rFonts w:ascii="Arial" w:hAnsi="Arial" w:cs="Arial"/>
          <w:lang w:val="sq-AL"/>
        </w:rPr>
      </w:pPr>
      <w:r w:rsidRPr="00705B56">
        <w:rPr>
          <w:rFonts w:ascii="Arial" w:hAnsi="Arial" w:cs="Arial"/>
          <w:lang w:val="sq-AL"/>
        </w:rPr>
        <w:t>Ministria e Punëve të Brendshme (Agjencia për Menaxhimin e Emergjencave);</w:t>
      </w:r>
    </w:p>
    <w:p w14:paraId="22D7FB27" w14:textId="77777777" w:rsidR="00C93F16" w:rsidRPr="00705B56" w:rsidRDefault="00C93F16" w:rsidP="00C93F16">
      <w:pPr>
        <w:pStyle w:val="ListParagraph"/>
        <w:numPr>
          <w:ilvl w:val="0"/>
          <w:numId w:val="50"/>
        </w:numPr>
        <w:spacing w:line="240" w:lineRule="auto"/>
        <w:jc w:val="both"/>
        <w:rPr>
          <w:rFonts w:ascii="Arial" w:hAnsi="Arial" w:cs="Arial"/>
          <w:lang w:val="sq-AL"/>
        </w:rPr>
      </w:pPr>
      <w:r w:rsidRPr="00705B56">
        <w:rPr>
          <w:rFonts w:ascii="Arial" w:hAnsi="Arial" w:cs="Arial"/>
          <w:lang w:val="sq-AL"/>
        </w:rPr>
        <w:t>Ministria e Bujqësisë, Pylltarisë dhe Zhvillimit Rural (Departamenti i Bujqësisë dhe Agjencia e Pyjeve të Kosovës);</w:t>
      </w:r>
    </w:p>
    <w:p w14:paraId="52CADD69" w14:textId="77777777" w:rsidR="00C93F16" w:rsidRPr="00705B56" w:rsidRDefault="00C93F16" w:rsidP="00C93F16">
      <w:pPr>
        <w:pStyle w:val="ListParagraph"/>
        <w:numPr>
          <w:ilvl w:val="0"/>
          <w:numId w:val="50"/>
        </w:numPr>
        <w:spacing w:line="240" w:lineRule="auto"/>
        <w:jc w:val="both"/>
        <w:rPr>
          <w:rFonts w:ascii="Arial" w:hAnsi="Arial" w:cs="Arial"/>
          <w:lang w:val="sq-AL"/>
        </w:rPr>
      </w:pPr>
      <w:r w:rsidRPr="00705B56">
        <w:rPr>
          <w:rFonts w:ascii="Arial" w:hAnsi="Arial" w:cs="Arial"/>
          <w:lang w:val="sq-AL"/>
        </w:rPr>
        <w:t>Ministria e Shëndetësisë (Instituti Kombëtar i Shëndetit Publik – IKSHPK);</w:t>
      </w:r>
    </w:p>
    <w:p w14:paraId="4B9CE19B" w14:textId="77777777" w:rsidR="00C93F16" w:rsidRPr="00705B56" w:rsidRDefault="00C93F16" w:rsidP="00C93F16">
      <w:pPr>
        <w:pStyle w:val="ListParagraph"/>
        <w:numPr>
          <w:ilvl w:val="0"/>
          <w:numId w:val="50"/>
        </w:numPr>
        <w:spacing w:line="240" w:lineRule="auto"/>
        <w:jc w:val="both"/>
        <w:rPr>
          <w:rFonts w:ascii="Arial" w:hAnsi="Arial" w:cs="Arial"/>
          <w:lang w:val="sq-AL"/>
        </w:rPr>
      </w:pPr>
      <w:r w:rsidRPr="00705B56">
        <w:rPr>
          <w:rFonts w:ascii="Arial" w:hAnsi="Arial" w:cs="Arial"/>
          <w:lang w:val="sq-AL"/>
        </w:rPr>
        <w:t>Ministria e Financave, Punës dhe Transfereve.</w:t>
      </w:r>
    </w:p>
    <w:p w14:paraId="5C87D6B1" w14:textId="77777777" w:rsidR="00C93F16" w:rsidRPr="00705B56" w:rsidRDefault="00C93F16" w:rsidP="00C93F16">
      <w:pPr>
        <w:spacing w:line="240" w:lineRule="auto"/>
        <w:jc w:val="both"/>
        <w:rPr>
          <w:rFonts w:ascii="Arial" w:hAnsi="Arial" w:cs="Arial"/>
          <w:lang w:val="sq-AL"/>
        </w:rPr>
      </w:pPr>
      <w:r w:rsidRPr="00705B56">
        <w:rPr>
          <w:rFonts w:ascii="Arial" w:hAnsi="Arial" w:cs="Arial"/>
          <w:lang w:val="sq-AL"/>
        </w:rPr>
        <w:t>Pjesë e Grupit Punues janë gjithashtu përfaqësues nga shoqëria civile (INDEP) dhe Programin e Kombeve të Bashkuara për Zhvillim (UNDP) ka kontribuar me ekspertizë të angazhuar, duke mbështetur Sekretariatin dhe Këshillin për Ndryshime Klimatike gjatë procesit të hartimit.</w:t>
      </w:r>
    </w:p>
    <w:p w14:paraId="20FF4247" w14:textId="72A2A818" w:rsidR="00C93F16" w:rsidRPr="00705B56" w:rsidRDefault="00C93F16" w:rsidP="00556F7D">
      <w:pPr>
        <w:spacing w:line="240" w:lineRule="auto"/>
        <w:jc w:val="both"/>
        <w:rPr>
          <w:rFonts w:ascii="Arial" w:hAnsi="Arial" w:cs="Arial"/>
          <w:lang w:val="sq-AL"/>
        </w:rPr>
      </w:pPr>
      <w:r w:rsidRPr="00705B56">
        <w:rPr>
          <w:rFonts w:ascii="Arial" w:hAnsi="Arial" w:cs="Arial"/>
          <w:lang w:val="sq-AL"/>
        </w:rPr>
        <w:t>Konsultimet synojnë të shtrihen përtej këtij grupi bazë, përmes takimeve sektoriale dhe punëtorive të hapura me organizata të shoqërisë civile, akademinë dhe aktorët e sektorit privat, për të siguruar pronësi të gjerë shoqërore të dokumentit.</w:t>
      </w:r>
    </w:p>
    <w:p w14:paraId="7152AFB0" w14:textId="69EC4741" w:rsidR="001D4FA1" w:rsidRPr="00705B56" w:rsidRDefault="00683E20" w:rsidP="007C0869">
      <w:pPr>
        <w:pStyle w:val="Heading2"/>
        <w:rPr>
          <w:rFonts w:ascii="Arial" w:hAnsi="Arial" w:cs="Arial"/>
          <w:b/>
          <w:bCs/>
          <w:color w:val="246D5D"/>
          <w:lang w:val="sq-AL"/>
        </w:rPr>
      </w:pPr>
      <w:bookmarkStart w:id="12" w:name="_Toc211532678"/>
      <w:r w:rsidRPr="00705B56">
        <w:rPr>
          <w:rFonts w:ascii="Arial" w:hAnsi="Arial" w:cs="Arial"/>
          <w:b/>
          <w:bCs/>
          <w:color w:val="246D5D"/>
          <w:lang w:val="sq-AL"/>
        </w:rPr>
        <w:t>Mbledhja dhe analiza e të dhënave</w:t>
      </w:r>
      <w:bookmarkEnd w:id="12"/>
    </w:p>
    <w:p w14:paraId="0C2ADB51" w14:textId="1A2EE72C" w:rsidR="001D4FA1" w:rsidRPr="00705B56" w:rsidRDefault="00683E20" w:rsidP="007C0869">
      <w:pPr>
        <w:pStyle w:val="Heading3"/>
        <w:rPr>
          <w:rFonts w:ascii="Arial" w:hAnsi="Arial" w:cs="Arial"/>
          <w:color w:val="246D5D"/>
          <w:lang w:val="sq-AL"/>
        </w:rPr>
      </w:pPr>
      <w:bookmarkStart w:id="13" w:name="_Toc211532679"/>
      <w:r w:rsidRPr="00705B56">
        <w:rPr>
          <w:rFonts w:ascii="Arial" w:hAnsi="Arial" w:cs="Arial"/>
          <w:color w:val="246D5D"/>
          <w:lang w:val="sq-AL"/>
        </w:rPr>
        <w:t>Burimet e të dhënave klimatike</w:t>
      </w:r>
      <w:bookmarkEnd w:id="13"/>
    </w:p>
    <w:p w14:paraId="6D6C1864" w14:textId="550A3D3F" w:rsidR="00683E20" w:rsidRPr="00705B56" w:rsidRDefault="00683E20" w:rsidP="00683E20">
      <w:pPr>
        <w:spacing w:line="240" w:lineRule="auto"/>
        <w:jc w:val="both"/>
        <w:rPr>
          <w:rFonts w:ascii="Arial" w:hAnsi="Arial" w:cs="Arial"/>
          <w:lang w:val="sq-AL"/>
        </w:rPr>
      </w:pPr>
      <w:r w:rsidRPr="00705B56">
        <w:rPr>
          <w:rFonts w:ascii="Arial" w:hAnsi="Arial" w:cs="Arial"/>
          <w:lang w:val="sq-AL"/>
        </w:rPr>
        <w:t>Disa burime kryesore të të dhënave klimatike kanë luajtur rol të rëndësishëm në vlerësimin e ndjeshmërisë së Republikës së Kosovës ndaj ndryshimeve klimatike dhe në orientimin e strategjive të përshtatjes. Në krye qëndron IHMK, i cili vepron si autoriteti kryesor për mbledhjen dhe mirëmbajtjen e të dhënave meteorologjike, duke përfshirë të dhëna afatgjata mbi temperaturat dhe reshjet që datojnë që nga vitet 1950. Megjithatë, konflikti i vitit 1999 ka sjellë humbjen e një pjese të konsiderueshme të këtyre të dhënave historike, duke paraqitur sfida për analizën afatgjatë të prirjeve klimatike.</w:t>
      </w:r>
    </w:p>
    <w:p w14:paraId="66F0ACBC" w14:textId="1E379AFD" w:rsidR="00683E20" w:rsidRPr="00705B56" w:rsidRDefault="00683E20" w:rsidP="00683E20">
      <w:pPr>
        <w:spacing w:line="240" w:lineRule="auto"/>
        <w:jc w:val="both"/>
        <w:rPr>
          <w:rFonts w:ascii="Arial" w:hAnsi="Arial" w:cs="Arial"/>
          <w:lang w:val="sq-AL"/>
        </w:rPr>
      </w:pPr>
      <w:r w:rsidRPr="00705B56">
        <w:rPr>
          <w:rFonts w:ascii="Arial" w:hAnsi="Arial" w:cs="Arial"/>
          <w:lang w:val="sq-AL"/>
        </w:rPr>
        <w:t>Përveç të dhënave kombëtare, studimet shkencore dhe akademike kanë një rol kritik në pasurimin e bazës së njohurive klimatike. Hulumtimet e kryera nga universitete kombëtare dhe ndërkombëtare</w:t>
      </w:r>
      <w:r w:rsidR="00652F6F" w:rsidRPr="00705B56">
        <w:rPr>
          <w:rFonts w:ascii="Arial" w:hAnsi="Arial" w:cs="Arial"/>
          <w:lang w:val="sq-AL"/>
        </w:rPr>
        <w:t xml:space="preserve">, </w:t>
      </w:r>
      <w:r w:rsidRPr="00705B56">
        <w:rPr>
          <w:rFonts w:ascii="Arial" w:hAnsi="Arial" w:cs="Arial"/>
          <w:lang w:val="sq-AL"/>
        </w:rPr>
        <w:t xml:space="preserve">përfshirë Universitetin e Prishtinës dhe institucione të ndryshme akademike evropiane kanë kontribuar në thellimin </w:t>
      </w:r>
      <w:r w:rsidRPr="00705B56">
        <w:rPr>
          <w:rFonts w:ascii="Arial" w:hAnsi="Arial" w:cs="Arial"/>
          <w:lang w:val="sq-AL"/>
        </w:rPr>
        <w:lastRenderedPageBreak/>
        <w:t>e kuptimit të rreziqeve klimatike në Kosovë. Këto studime ofrojnë analiza të specializuara që plotësojnë të dhënat e vëzhgimit, veçanërisht në zonat ku të dhënat historike janë të kufizuara.</w:t>
      </w:r>
    </w:p>
    <w:p w14:paraId="3A1FA49B" w14:textId="406AB043" w:rsidR="00683E20" w:rsidRPr="00705B56" w:rsidRDefault="00683E20" w:rsidP="00683E20">
      <w:pPr>
        <w:spacing w:line="240" w:lineRule="auto"/>
        <w:jc w:val="both"/>
        <w:rPr>
          <w:rFonts w:ascii="Arial" w:hAnsi="Arial" w:cs="Arial"/>
          <w:lang w:val="sq-AL"/>
        </w:rPr>
      </w:pPr>
      <w:r w:rsidRPr="00705B56">
        <w:rPr>
          <w:rFonts w:ascii="Arial" w:hAnsi="Arial" w:cs="Arial"/>
          <w:lang w:val="sq-AL"/>
        </w:rPr>
        <w:t>Të dhëna të detajuara sektoriale janë mbledhur gjithashtu përmes projekteve të synuara zhvillimore dhe kërkimore. Organizata të ndryshme ndërkombëtare, përfshirë Bankën Botërore, UNDP dhe GIZ-in, kanë mbështetur studime dhe vlerësime që përfshijnë informacione klimatike të rëndësishme për infrastrukturën, bujqësinë, burimet ujore dhe sektorë të tjerë kyç. Këto grupe të dhënash në nivel projekti janë thelbësore për të kuptuar ndikimet e lokalizuara dhe për të informuar ndërhyrjet e përshtatjes në nivele sektoriale.</w:t>
      </w:r>
    </w:p>
    <w:p w14:paraId="6AFA8EE5" w14:textId="49B3375A" w:rsidR="00683E20" w:rsidRPr="00705B56" w:rsidRDefault="00683E20" w:rsidP="00683E20">
      <w:pPr>
        <w:spacing w:line="240" w:lineRule="auto"/>
        <w:jc w:val="both"/>
        <w:rPr>
          <w:rFonts w:ascii="Arial" w:hAnsi="Arial" w:cs="Arial"/>
          <w:lang w:val="sq-AL"/>
        </w:rPr>
      </w:pPr>
      <w:r w:rsidRPr="00705B56">
        <w:rPr>
          <w:rFonts w:ascii="Arial" w:hAnsi="Arial" w:cs="Arial"/>
          <w:lang w:val="sq-AL"/>
        </w:rPr>
        <w:t>Për më tepër, burime të tjera të të dhënave klimatike përfshijnë burime ndërkombëtare të të dhënave dhe modele klimatike. Institucione të tilla si Qendra Evropiane për Parashikime të Motit Afatmesëm (QEPMA) dhe Programi Copernicus ofrojnë të dhëna rajonale dhe globale klimatike, të cilat shpesh zvogëlohen dhe përdoren për modelimin e skenarëve dhe parashikimet e klimës në të ardhmen në Kosovë. Këto burime ndihmojnë në plotësimin e boshllëqeve të të dhënave dhe mundësojnë një vlerësim më gjithëpërfshirës të tendencave klimatike.</w:t>
      </w:r>
    </w:p>
    <w:p w14:paraId="22622E18" w14:textId="7465FCE3" w:rsidR="00AD6702" w:rsidRPr="00705B56" w:rsidRDefault="00683E20" w:rsidP="001D4FA1">
      <w:pPr>
        <w:spacing w:line="240" w:lineRule="auto"/>
        <w:jc w:val="both"/>
        <w:rPr>
          <w:rFonts w:ascii="Arial" w:hAnsi="Arial" w:cs="Arial"/>
          <w:lang w:val="sq-AL"/>
        </w:rPr>
      </w:pPr>
      <w:r w:rsidRPr="00705B56">
        <w:rPr>
          <w:rFonts w:ascii="Arial" w:hAnsi="Arial" w:cs="Arial"/>
          <w:lang w:val="sq-AL"/>
        </w:rPr>
        <w:t>Së fundi, të dhënat e sensorëve në distancë dhe të dhënat të bazuara në satelit përdoren gjithnjë e më shumë, veçanërisht për monitorimin e ndryshimeve të mbulesës së tokës, shëndetin e bimësisë dhe kushtet e thatësirës. Këto mjete ofrojnë njohuri të vlefshme dhe të azhurnuara që mbështesin vlerësimet e vazhdueshme të rrezikut klimatik dhe planifikimin e përshtatjes</w:t>
      </w:r>
    </w:p>
    <w:p w14:paraId="27E598A1" w14:textId="450E8FB4" w:rsidR="001D4FA1" w:rsidRPr="00705B56" w:rsidRDefault="00683E20" w:rsidP="001D4FA1">
      <w:pPr>
        <w:spacing w:line="240" w:lineRule="auto"/>
        <w:jc w:val="both"/>
        <w:rPr>
          <w:rFonts w:ascii="Arial" w:hAnsi="Arial" w:cs="Arial"/>
          <w:lang w:val="sq-AL"/>
        </w:rPr>
      </w:pPr>
      <w:r w:rsidRPr="00705B56">
        <w:rPr>
          <w:rFonts w:ascii="Arial" w:hAnsi="Arial" w:cs="Arial"/>
          <w:lang w:val="sq-AL"/>
        </w:rPr>
        <w:t>Së bashku, këto burime të ndryshme të të dhënave formojnë themelin e analizës së rrezikut klimatik të Kosovës dhe janë thelbësore për udhëzimin e masave të përshtatjes të bazuara në prova në të gjithë sektorët</w:t>
      </w:r>
      <w:r w:rsidR="001D4FA1" w:rsidRPr="00705B56">
        <w:rPr>
          <w:rFonts w:ascii="Arial" w:hAnsi="Arial" w:cs="Arial"/>
          <w:lang w:val="sq-AL"/>
        </w:rPr>
        <w:t>.</w:t>
      </w:r>
    </w:p>
    <w:p w14:paraId="2E1D0DD7" w14:textId="4E013034" w:rsidR="001D4FA1" w:rsidRPr="00705B56" w:rsidRDefault="00683E20" w:rsidP="007C0869">
      <w:pPr>
        <w:pStyle w:val="Heading3"/>
        <w:rPr>
          <w:rFonts w:ascii="Arial" w:hAnsi="Arial" w:cs="Arial"/>
          <w:color w:val="246D5D"/>
          <w:lang w:val="sq-AL"/>
        </w:rPr>
      </w:pPr>
      <w:bookmarkStart w:id="14" w:name="_Toc211532680"/>
      <w:r w:rsidRPr="00705B56">
        <w:rPr>
          <w:rFonts w:ascii="Arial" w:hAnsi="Arial" w:cs="Arial"/>
          <w:color w:val="246D5D"/>
          <w:lang w:val="sq-AL"/>
        </w:rPr>
        <w:t>Metodologjia e vlerësimit të ndjeshmërisë ndaj klimës</w:t>
      </w:r>
      <w:bookmarkEnd w:id="14"/>
    </w:p>
    <w:p w14:paraId="44B6ED7B" w14:textId="177C659B" w:rsidR="00683E20" w:rsidRPr="00705B56" w:rsidRDefault="00683E20" w:rsidP="00683E20">
      <w:pPr>
        <w:spacing w:line="240" w:lineRule="auto"/>
        <w:jc w:val="both"/>
        <w:rPr>
          <w:rFonts w:ascii="Arial" w:hAnsi="Arial" w:cs="Arial"/>
          <w:lang w:val="sq-AL"/>
        </w:rPr>
      </w:pPr>
      <w:r w:rsidRPr="00705B56">
        <w:rPr>
          <w:rFonts w:ascii="Arial" w:hAnsi="Arial" w:cs="Arial"/>
          <w:lang w:val="sq-AL"/>
        </w:rPr>
        <w:t>Seksioni në vijim paraqet metodologjinë për vlerësimin e ndjeshmërisë dhe rrezikut klimatik, të bazuar në udhëzimet e Panelit Ndërqeveritar për Ndryshimet Klimatike (IPCC).</w:t>
      </w:r>
    </w:p>
    <w:p w14:paraId="41010461" w14:textId="1B0BD6CE" w:rsidR="00683E20" w:rsidRPr="00705B56" w:rsidRDefault="00683E20" w:rsidP="00683E20">
      <w:pPr>
        <w:jc w:val="both"/>
        <w:rPr>
          <w:rFonts w:ascii="Arial" w:hAnsi="Arial" w:cs="Arial"/>
          <w:lang w:val="sq-AL"/>
        </w:rPr>
      </w:pPr>
      <w:r w:rsidRPr="00705B56">
        <w:rPr>
          <w:rFonts w:ascii="Arial" w:hAnsi="Arial" w:cs="Arial"/>
          <w:lang w:val="sq-AL"/>
        </w:rPr>
        <w:t>Sipas raportit të fundit të IPCC</w:t>
      </w:r>
      <w:r w:rsidR="001D4FA1" w:rsidRPr="00705B56">
        <w:rPr>
          <w:rStyle w:val="FootnoteReference"/>
          <w:rFonts w:ascii="Arial" w:hAnsi="Arial" w:cs="Arial"/>
          <w:lang w:val="sq-AL"/>
        </w:rPr>
        <w:footnoteReference w:id="6"/>
      </w:r>
      <w:r w:rsidR="001D4FA1" w:rsidRPr="00705B56">
        <w:rPr>
          <w:rFonts w:ascii="Arial" w:hAnsi="Arial" w:cs="Arial"/>
          <w:lang w:val="sq-AL"/>
        </w:rPr>
        <w:t xml:space="preserve">, </w:t>
      </w:r>
      <w:r w:rsidRPr="00705B56">
        <w:rPr>
          <w:rFonts w:ascii="Arial" w:hAnsi="Arial" w:cs="Arial"/>
          <w:lang w:val="sq-AL"/>
        </w:rPr>
        <w:t>koncepti i rrezikut i referohet ndërveprimeve dinamike ndërmjet rreziqeve të lidhura me klimën, ekspozimit dhe ndjeshmërisë së shoqërisë njerëzore, specieve apo ekosistemeve të prekura, që çojnë në rrezik të krijuar nga ndryshimet klimatike.</w:t>
      </w:r>
    </w:p>
    <w:p w14:paraId="6D923EAE" w14:textId="73231F98" w:rsidR="00C038D2" w:rsidRPr="00705B56" w:rsidRDefault="00683E20" w:rsidP="00683E20">
      <w:pPr>
        <w:spacing w:line="240" w:lineRule="auto"/>
        <w:jc w:val="both"/>
        <w:rPr>
          <w:rFonts w:ascii="Arial" w:hAnsi="Arial" w:cs="Arial"/>
          <w:lang w:val="sq-AL"/>
        </w:rPr>
      </w:pPr>
      <w:r w:rsidRPr="00705B56">
        <w:rPr>
          <w:rFonts w:ascii="Arial" w:hAnsi="Arial" w:cs="Arial"/>
          <w:lang w:val="sq-AL"/>
        </w:rPr>
        <w:t>Identifikimi i rreziqeve të ndjeshme ndaj klimës është bazuar në një analizë të rreziqeve klimatike që prekin vendin. Kjo analizë është plotësuar me shqyrtimin e ekspozimit fizik, social dhe të ekosistemeve, si dhe të kapacitetit institucional të Kosovës për t’iu përgjigjur ndikimeve të këtyre rreziqeve. Kjo qasje integruese siguron një kuptim gjithëpërfshirës të faktorëve që përcaktojnë rrezikun klimatik dhe ndihmon në përcaktimin e ndërhyrjeve më të nevojshme për ndërtimin e qëndrueshmërisë në nivel kombëtar dhe lokal</w:t>
      </w:r>
      <w:r w:rsidR="00C038D2" w:rsidRPr="00705B56">
        <w:rPr>
          <w:rFonts w:ascii="Arial" w:hAnsi="Arial" w:cs="Arial"/>
          <w:lang w:val="sq-AL"/>
        </w:rPr>
        <w:t>.</w:t>
      </w:r>
    </w:p>
    <w:p w14:paraId="24317BAC" w14:textId="27DDE524" w:rsidR="00687DBC" w:rsidRPr="00705B56" w:rsidRDefault="004C6E93" w:rsidP="00AD6702">
      <w:pPr>
        <w:spacing w:line="240" w:lineRule="auto"/>
        <w:jc w:val="both"/>
        <w:rPr>
          <w:rFonts w:ascii="Arial" w:hAnsi="Arial" w:cs="Arial"/>
          <w:lang w:val="sq-AL"/>
        </w:rPr>
      </w:pPr>
      <w:r w:rsidRPr="00705B56">
        <w:rPr>
          <w:rFonts w:ascii="Arial" w:hAnsi="Arial" w:cs="Arial"/>
          <w:noProof/>
        </w:rPr>
        <w:lastRenderedPageBreak/>
        <w:drawing>
          <wp:anchor distT="0" distB="0" distL="114300" distR="114300" simplePos="0" relativeHeight="251782144" behindDoc="0" locked="0" layoutInCell="1" allowOverlap="1" wp14:anchorId="08915697" wp14:editId="06AC50AD">
            <wp:simplePos x="0" y="0"/>
            <wp:positionH relativeFrom="margin">
              <wp:align>center</wp:align>
            </wp:positionH>
            <wp:positionV relativeFrom="margin">
              <wp:posOffset>591185</wp:posOffset>
            </wp:positionV>
            <wp:extent cx="5444490" cy="3432175"/>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4490" cy="3432175"/>
                    </a:xfrm>
                    <a:prstGeom prst="rect">
                      <a:avLst/>
                    </a:prstGeom>
                    <a:noFill/>
                  </pic:spPr>
                </pic:pic>
              </a:graphicData>
            </a:graphic>
            <wp14:sizeRelH relativeFrom="margin">
              <wp14:pctWidth>0</wp14:pctWidth>
            </wp14:sizeRelH>
            <wp14:sizeRelV relativeFrom="margin">
              <wp14:pctHeight>0</wp14:pctHeight>
            </wp14:sizeRelV>
          </wp:anchor>
        </w:drawing>
      </w:r>
      <w:r w:rsidRPr="00705B56">
        <w:rPr>
          <w:rFonts w:ascii="Arial" w:hAnsi="Arial" w:cs="Arial"/>
          <w:noProof/>
        </w:rPr>
        <mc:AlternateContent>
          <mc:Choice Requires="wps">
            <w:drawing>
              <wp:anchor distT="0" distB="0" distL="114300" distR="114300" simplePos="0" relativeHeight="251811840" behindDoc="0" locked="0" layoutInCell="1" allowOverlap="1" wp14:anchorId="1C3D1C2A" wp14:editId="456468C9">
                <wp:simplePos x="0" y="0"/>
                <wp:positionH relativeFrom="margin">
                  <wp:align>center</wp:align>
                </wp:positionH>
                <wp:positionV relativeFrom="paragraph">
                  <wp:posOffset>4027805</wp:posOffset>
                </wp:positionV>
                <wp:extent cx="5444490" cy="175260"/>
                <wp:effectExtent l="0" t="0" r="3810" b="0"/>
                <wp:wrapSquare wrapText="bothSides"/>
                <wp:docPr id="1641070396" name="Text Box 1"/>
                <wp:cNvGraphicFramePr/>
                <a:graphic xmlns:a="http://schemas.openxmlformats.org/drawingml/2006/main">
                  <a:graphicData uri="http://schemas.microsoft.com/office/word/2010/wordprocessingShape">
                    <wps:wsp>
                      <wps:cNvSpPr txBox="1"/>
                      <wps:spPr>
                        <a:xfrm>
                          <a:off x="0" y="0"/>
                          <a:ext cx="5444490" cy="175260"/>
                        </a:xfrm>
                        <a:prstGeom prst="rect">
                          <a:avLst/>
                        </a:prstGeom>
                        <a:solidFill>
                          <a:prstClr val="white"/>
                        </a:solidFill>
                        <a:ln>
                          <a:noFill/>
                        </a:ln>
                      </wps:spPr>
                      <wps:txbx>
                        <w:txbxContent>
                          <w:p w14:paraId="33A87C3F" w14:textId="6A694DF0" w:rsidR="00AD6702" w:rsidRPr="00556F7D" w:rsidRDefault="00AD6702" w:rsidP="00D23BB3">
                            <w:pPr>
                              <w:pStyle w:val="Caption"/>
                              <w:rPr>
                                <w:rFonts w:ascii="Arial" w:hAnsi="Arial" w:cs="Arial"/>
                                <w:noProof/>
                                <w:sz w:val="22"/>
                                <w:szCs w:val="22"/>
                                <w:lang w:val="sq-AL"/>
                              </w:rPr>
                            </w:pPr>
                            <w:bookmarkStart w:id="15" w:name="_Toc211532603"/>
                            <w:r w:rsidRPr="00556F7D">
                              <w:rPr>
                                <w:rFonts w:ascii="Arial" w:hAnsi="Arial" w:cs="Arial"/>
                              </w:rPr>
                              <w:t xml:space="preserve">Figura </w:t>
                            </w:r>
                            <w:r w:rsidRPr="00556F7D">
                              <w:rPr>
                                <w:rFonts w:ascii="Arial" w:hAnsi="Arial" w:cs="Arial"/>
                              </w:rPr>
                              <w:fldChar w:fldCharType="begin"/>
                            </w:r>
                            <w:r w:rsidRPr="00556F7D">
                              <w:rPr>
                                <w:rFonts w:ascii="Arial" w:hAnsi="Arial" w:cs="Arial"/>
                              </w:rPr>
                              <w:instrText xml:space="preserve"> SEQ Figura \* ARABIC </w:instrText>
                            </w:r>
                            <w:r w:rsidRPr="00556F7D">
                              <w:rPr>
                                <w:rFonts w:ascii="Arial" w:hAnsi="Arial" w:cs="Arial"/>
                              </w:rPr>
                              <w:fldChar w:fldCharType="separate"/>
                            </w:r>
                            <w:r w:rsidR="0005579F" w:rsidRPr="00556F7D">
                              <w:rPr>
                                <w:rFonts w:ascii="Arial" w:hAnsi="Arial" w:cs="Arial"/>
                                <w:noProof/>
                              </w:rPr>
                              <w:t>2</w:t>
                            </w:r>
                            <w:r w:rsidRPr="00556F7D">
                              <w:rPr>
                                <w:rFonts w:ascii="Arial" w:hAnsi="Arial" w:cs="Arial"/>
                              </w:rPr>
                              <w:fldChar w:fldCharType="end"/>
                            </w:r>
                            <w:r w:rsidRPr="00556F7D">
                              <w:rPr>
                                <w:rFonts w:ascii="Arial" w:hAnsi="Arial" w:cs="Arial"/>
                              </w:rPr>
                              <w:t>. Përcaktimi i rrezikut. Burimi: modifikuar nga IPCC (2014).</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3D1C2A" id="_x0000_s1029" type="#_x0000_t202" style="position:absolute;left:0;text-align:left;margin-left:0;margin-top:317.15pt;width:428.7pt;height:13.8pt;z-index:2518118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" stroked="f">
                <v:textbox inset="0,0,0,0">
                  <w:txbxContent>
                    <w:p w14:paraId="33A87C3F" w14:textId="6A694DF0" w:rsidR="00AD6702" w:rsidRPr="00556F7D" w:rsidRDefault="00AD6702" w:rsidP="00D23BB3">
                      <w:pPr>
                        <w:pStyle w:val="Caption"/>
                        <w:rPr>
                          <w:rFonts w:ascii="Arial" w:hAnsi="Arial" w:cs="Arial"/>
                          <w:noProof/>
                          <w:sz w:val="22"/>
                          <w:szCs w:val="22"/>
                          <w:lang w:val="sq-AL"/>
                        </w:rPr>
                      </w:pPr>
                      <w:bookmarkStart w:id="15" w:name="_Toc211532603"/>
                      <w:r w:rsidRPr="00556F7D">
                        <w:rPr>
                          <w:rFonts w:ascii="Arial" w:hAnsi="Arial" w:cs="Arial"/>
                        </w:rPr>
                        <w:t xml:space="preserve">Figura </w:t>
                      </w:r>
                      <w:r w:rsidRPr="00556F7D">
                        <w:rPr>
                          <w:rFonts w:ascii="Arial" w:hAnsi="Arial" w:cs="Arial"/>
                        </w:rPr>
                        <w:fldChar w:fldCharType="begin"/>
                      </w:r>
                      <w:r w:rsidRPr="00556F7D">
                        <w:rPr>
                          <w:rFonts w:ascii="Arial" w:hAnsi="Arial" w:cs="Arial"/>
                        </w:rPr>
                        <w:instrText xml:space="preserve"> SEQ Figura \* ARABIC </w:instrText>
                      </w:r>
                      <w:r w:rsidRPr="00556F7D">
                        <w:rPr>
                          <w:rFonts w:ascii="Arial" w:hAnsi="Arial" w:cs="Arial"/>
                        </w:rPr>
                        <w:fldChar w:fldCharType="separate"/>
                      </w:r>
                      <w:r w:rsidR="0005579F" w:rsidRPr="00556F7D">
                        <w:rPr>
                          <w:rFonts w:ascii="Arial" w:hAnsi="Arial" w:cs="Arial"/>
                          <w:noProof/>
                        </w:rPr>
                        <w:t>2</w:t>
                      </w:r>
                      <w:r w:rsidRPr="00556F7D">
                        <w:rPr>
                          <w:rFonts w:ascii="Arial" w:hAnsi="Arial" w:cs="Arial"/>
                        </w:rPr>
                        <w:fldChar w:fldCharType="end"/>
                      </w:r>
                      <w:r w:rsidRPr="00556F7D">
                        <w:rPr>
                          <w:rFonts w:ascii="Arial" w:hAnsi="Arial" w:cs="Arial"/>
                        </w:rPr>
                        <w:t xml:space="preserve">. </w:t>
                      </w:r>
                      <w:r w:rsidRPr="00556F7D">
                        <w:rPr>
                          <w:rFonts w:ascii="Arial" w:hAnsi="Arial" w:cs="Arial"/>
                        </w:rPr>
                        <w:t>Përcaktimi i rrezikut. Burimi: modifikuar nga IPCC (2014).</w:t>
                      </w:r>
                      <w:bookmarkEnd w:id="15"/>
                    </w:p>
                  </w:txbxContent>
                </v:textbox>
                <w10:wrap type="square" anchorx="margin"/>
              </v:shape>
            </w:pict>
          </mc:Fallback>
        </mc:AlternateContent>
      </w:r>
      <w:r w:rsidR="00683E20" w:rsidRPr="00705B56">
        <w:rPr>
          <w:rFonts w:ascii="Arial" w:hAnsi="Arial" w:cs="Arial"/>
          <w:lang w:val="sq-AL"/>
        </w:rPr>
        <w:t>Metodologjia për këtë vlerësim të ndjeshmërisë dhe rrezikut është ndërtuar mbi kornizën konceptuale të raportit të pestë të IPCC-së</w:t>
      </w:r>
      <w:r w:rsidR="00C07E8E" w:rsidRPr="00705B56">
        <w:rPr>
          <w:rFonts w:ascii="Arial" w:hAnsi="Arial" w:cs="Arial"/>
          <w:lang w:val="sq-AL"/>
        </w:rPr>
        <w:t>.</w:t>
      </w:r>
      <w:r w:rsidR="001D4FA1" w:rsidRPr="00705B56">
        <w:rPr>
          <w:rStyle w:val="FootnoteReference"/>
          <w:rFonts w:ascii="Arial" w:hAnsi="Arial" w:cs="Arial"/>
          <w:lang w:val="sq-AL"/>
        </w:rPr>
        <w:footnoteReference w:id="7"/>
      </w:r>
      <w:r w:rsidR="001D4FA1" w:rsidRPr="00705B56">
        <w:rPr>
          <w:rFonts w:ascii="Arial" w:hAnsi="Arial" w:cs="Arial"/>
          <w:lang w:val="sq-AL"/>
        </w:rPr>
        <w:t xml:space="preserve"> </w:t>
      </w:r>
      <w:r w:rsidR="00683E20" w:rsidRPr="00705B56">
        <w:rPr>
          <w:rFonts w:ascii="Arial" w:hAnsi="Arial" w:cs="Arial"/>
          <w:lang w:val="sq-AL"/>
        </w:rPr>
        <w:t>Qasjet dhe konceptet e këtij raporti janë përdorur për të përkufizuar rrezikun klimatik si një funksion të disa elementeve që ndikojnë dhe ndërveprojnë me njëra-tjetrën</w:t>
      </w:r>
      <w:r w:rsidR="001D4FA1" w:rsidRPr="00705B56">
        <w:rPr>
          <w:rFonts w:ascii="Arial" w:hAnsi="Arial" w:cs="Arial"/>
          <w:lang w:val="sq-AL"/>
        </w:rPr>
        <w:t>:</w:t>
      </w:r>
    </w:p>
    <w:p w14:paraId="4C6F5E98" w14:textId="3B6E9C6F" w:rsidR="00683E20" w:rsidRPr="00705B56" w:rsidRDefault="00683E20" w:rsidP="00F36447">
      <w:pPr>
        <w:pStyle w:val="ListParagraph"/>
        <w:numPr>
          <w:ilvl w:val="0"/>
          <w:numId w:val="5"/>
        </w:numPr>
        <w:spacing w:before="0" w:line="240" w:lineRule="auto"/>
        <w:jc w:val="both"/>
        <w:rPr>
          <w:rFonts w:ascii="Arial" w:hAnsi="Arial" w:cs="Arial"/>
          <w:lang w:val="sq-AL"/>
        </w:rPr>
      </w:pPr>
      <w:r w:rsidRPr="00705B56">
        <w:rPr>
          <w:rFonts w:ascii="Arial" w:hAnsi="Arial" w:cs="Arial"/>
          <w:b/>
          <w:bCs/>
          <w:lang w:val="sq-AL"/>
        </w:rPr>
        <w:t>Rrezik (Hazard):</w:t>
      </w:r>
      <w:r w:rsidRPr="00705B56">
        <w:rPr>
          <w:rFonts w:ascii="Arial" w:hAnsi="Arial" w:cs="Arial"/>
          <w:lang w:val="sq-AL"/>
        </w:rPr>
        <w:t xml:space="preserve"> Referencë për ndodhjen e mundshme të një ngjarjeje ose trendi fizik, natyror apo </w:t>
      </w:r>
      <w:r w:rsidR="00687DBC" w:rsidRPr="00705B56">
        <w:rPr>
          <w:rFonts w:ascii="Arial" w:hAnsi="Arial" w:cs="Arial"/>
          <w:color w:val="FF0000"/>
          <w:lang w:val="sq-AL"/>
        </w:rPr>
        <w:t xml:space="preserve"> </w:t>
      </w:r>
      <w:r w:rsidR="00E30741" w:rsidRPr="00705B56">
        <w:rPr>
          <w:rFonts w:ascii="Arial" w:hAnsi="Arial" w:cs="Arial"/>
          <w:color w:val="FF0000"/>
          <w:lang w:val="sq-AL"/>
        </w:rPr>
        <w:t xml:space="preserve">i </w:t>
      </w:r>
      <w:r w:rsidRPr="00705B56">
        <w:rPr>
          <w:rFonts w:ascii="Arial" w:hAnsi="Arial" w:cs="Arial"/>
          <w:lang w:val="sq-AL"/>
        </w:rPr>
        <w:t>shkaktuar nga njeriu, ose ndikimit fizik, i cili mund të shkaktojë humbje jete, lëndime ose pasoja të tjera shëndetësore, si dhe dëmtime dhe humbje të pronës, infrastrukturës, mjeteve të jetesës, ofrimit të shërbimeve, ekosistemeve dhe burimeve mjedisore.</w:t>
      </w:r>
    </w:p>
    <w:p w14:paraId="678CCAF4" w14:textId="60F6868E" w:rsidR="00683E20" w:rsidRPr="00705B56" w:rsidRDefault="00683E20" w:rsidP="00F36447">
      <w:pPr>
        <w:pStyle w:val="ListParagraph"/>
        <w:numPr>
          <w:ilvl w:val="0"/>
          <w:numId w:val="5"/>
        </w:numPr>
        <w:spacing w:before="0" w:line="240" w:lineRule="auto"/>
        <w:jc w:val="both"/>
        <w:rPr>
          <w:rFonts w:ascii="Arial" w:hAnsi="Arial" w:cs="Arial"/>
          <w:lang w:val="sq-AL"/>
        </w:rPr>
      </w:pPr>
      <w:r w:rsidRPr="00705B56">
        <w:rPr>
          <w:rFonts w:ascii="Arial" w:hAnsi="Arial" w:cs="Arial"/>
          <w:b/>
          <w:bCs/>
          <w:lang w:val="sq-AL"/>
        </w:rPr>
        <w:t xml:space="preserve"> </w:t>
      </w:r>
      <w:r w:rsidR="00E30741" w:rsidRPr="00705B56">
        <w:rPr>
          <w:rFonts w:ascii="Arial" w:hAnsi="Arial" w:cs="Arial"/>
          <w:b/>
          <w:bCs/>
          <w:lang w:val="sq-AL"/>
        </w:rPr>
        <w:t xml:space="preserve">Efektet </w:t>
      </w:r>
      <w:r w:rsidRPr="00705B56">
        <w:rPr>
          <w:rFonts w:ascii="Arial" w:hAnsi="Arial" w:cs="Arial"/>
          <w:b/>
          <w:bCs/>
          <w:lang w:val="sq-AL"/>
        </w:rPr>
        <w:t>(Impacts)</w:t>
      </w:r>
      <w:r w:rsidRPr="00705B56">
        <w:rPr>
          <w:rFonts w:ascii="Arial" w:hAnsi="Arial" w:cs="Arial"/>
          <w:lang w:val="sq-AL"/>
        </w:rPr>
        <w:t xml:space="preserve"> përkufizohen si pasoja ose rezultate dhe përbëhen nga efektet në sistemet natyrore dhe njerëzore. Ky term përdoret kryesisht për t’iu referuar efekteve në sistemet natyrore dhe njerëzore të ngjarjeve ekstreme të motit dhe klimës, si dhe të ndryshimeve klimatike. Ndikimet i referohen efekteve në jetë, mjete jetese, shëndet, ekosisteme, ekonomi, shoqëri, kulturë, shërbime dhe infrastrukturë, si pasojë e ndërveprimit të ndryshimeve klimatike ose ngjarjeve të rrezikshme klimatike që ndodhin brenda një periudhe të caktuar kohore dhe cenueshmërisë së një shoqërie ose sistemi të ekspozuar. Për më tepër, </w:t>
      </w:r>
      <w:r w:rsidR="00E30741" w:rsidRPr="00705B56">
        <w:rPr>
          <w:rFonts w:ascii="Arial" w:hAnsi="Arial" w:cs="Arial"/>
          <w:lang w:val="sq-AL"/>
        </w:rPr>
        <w:t xml:space="preserve"> efektet </w:t>
      </w:r>
      <w:r w:rsidRPr="00705B56">
        <w:rPr>
          <w:rFonts w:ascii="Arial" w:hAnsi="Arial" w:cs="Arial"/>
          <w:lang w:val="sq-AL"/>
        </w:rPr>
        <w:t>njihen edhe si pasoja dhe rezultate. Ndikimet e ndryshimeve klimatike në sistemet gjeofizike, përfshirë përmbytjet, thatësirat dhe rritjen e nivelit të detit, janë një nëngrup i ndikimeve të quajtura ndikime fizike.</w:t>
      </w:r>
    </w:p>
    <w:p w14:paraId="1F52D566" w14:textId="6A25F4A1" w:rsidR="00683E20" w:rsidRPr="00705B56" w:rsidRDefault="00683E20" w:rsidP="00F36447">
      <w:pPr>
        <w:pStyle w:val="ListParagraph"/>
        <w:numPr>
          <w:ilvl w:val="0"/>
          <w:numId w:val="5"/>
        </w:numPr>
        <w:spacing w:before="0" w:line="240" w:lineRule="auto"/>
        <w:jc w:val="both"/>
        <w:rPr>
          <w:rFonts w:ascii="Arial" w:hAnsi="Arial" w:cs="Arial"/>
          <w:lang w:val="sq-AL"/>
        </w:rPr>
      </w:pPr>
      <w:r w:rsidRPr="00705B56">
        <w:rPr>
          <w:rFonts w:ascii="Arial" w:hAnsi="Arial" w:cs="Arial"/>
          <w:b/>
          <w:bCs/>
          <w:lang w:val="sq-AL"/>
        </w:rPr>
        <w:t>Ekspozimi (Exposure)</w:t>
      </w:r>
      <w:r w:rsidRPr="00705B56">
        <w:rPr>
          <w:rFonts w:ascii="Arial" w:hAnsi="Arial" w:cs="Arial"/>
          <w:lang w:val="sq-AL"/>
        </w:rPr>
        <w:t>: prania e njerëzve, mjeteve të jetesës, specieve ose ekosistemeve, funksioneve mjedisore, shërbimeve dhe burimeve, duke përfshirë infrastrukturën ose asetet ekonomike, sociale dhe kulturore, në vende dhe mjedise që mund të preken negativisht nga ngjarjet e ndryshimeve klimatike.</w:t>
      </w:r>
    </w:p>
    <w:p w14:paraId="47D16CF7" w14:textId="77777777" w:rsidR="00683E20" w:rsidRPr="00705B56" w:rsidRDefault="00683E20" w:rsidP="00F36447">
      <w:pPr>
        <w:pStyle w:val="ListParagraph"/>
        <w:numPr>
          <w:ilvl w:val="0"/>
          <w:numId w:val="5"/>
        </w:numPr>
        <w:spacing w:before="0" w:line="240" w:lineRule="auto"/>
        <w:jc w:val="both"/>
        <w:rPr>
          <w:rFonts w:ascii="Arial" w:hAnsi="Arial" w:cs="Arial"/>
          <w:lang w:val="sq-AL"/>
        </w:rPr>
      </w:pPr>
      <w:r w:rsidRPr="00705B56">
        <w:rPr>
          <w:rFonts w:ascii="Arial" w:hAnsi="Arial" w:cs="Arial"/>
          <w:b/>
          <w:bCs/>
          <w:lang w:val="sq-AL"/>
        </w:rPr>
        <w:t>Cenueshmëria (Vulnerability)</w:t>
      </w:r>
      <w:r w:rsidRPr="00705B56">
        <w:rPr>
          <w:rFonts w:ascii="Arial" w:hAnsi="Arial" w:cs="Arial"/>
          <w:lang w:val="sq-AL"/>
        </w:rPr>
        <w:t>: tendenca për t'u prekur negativisht. Ky term përfshin një sërë konceptesh dhe elementësh, duke përfshirë ndjeshmërinë ose ndjeshmërinë ndaj dëmit dhe mungesën e kapacitetit për t'u përballur dhe përshtatur.</w:t>
      </w:r>
    </w:p>
    <w:p w14:paraId="484E2170" w14:textId="77777777" w:rsidR="00683E20" w:rsidRPr="00705B56" w:rsidRDefault="00683E20" w:rsidP="00F36447">
      <w:pPr>
        <w:pStyle w:val="ListParagraph"/>
        <w:numPr>
          <w:ilvl w:val="0"/>
          <w:numId w:val="6"/>
        </w:numPr>
        <w:spacing w:before="0" w:line="240" w:lineRule="auto"/>
        <w:jc w:val="both"/>
        <w:rPr>
          <w:rFonts w:ascii="Arial" w:hAnsi="Arial" w:cs="Arial"/>
          <w:lang w:val="sq-AL"/>
        </w:rPr>
      </w:pPr>
      <w:r w:rsidRPr="00705B56">
        <w:rPr>
          <w:rFonts w:ascii="Arial" w:hAnsi="Arial" w:cs="Arial"/>
          <w:b/>
          <w:bCs/>
          <w:lang w:val="sq-AL"/>
        </w:rPr>
        <w:t>Ndjeshmëria (Sensitivity)</w:t>
      </w:r>
      <w:r w:rsidRPr="00705B56">
        <w:rPr>
          <w:rFonts w:ascii="Arial" w:hAnsi="Arial" w:cs="Arial"/>
          <w:lang w:val="sq-AL"/>
        </w:rPr>
        <w:t>: shkalla në të cilën një sistem ose specie preket, qoftë negativisht ose përfitueshëm, nga ndryshueshmëria ose ndryshimi i klimës. Faktorët përcaktues socioekonomikë dhe mjedisorë, siç janë disponueshmëria e sistemeve të kanalizimeve dhe higjienës, mosha, gjinia, të ardhurat, etj., ndikojnë në shkallën e ndjeshmërisë që paraqet një sistem ose specie.</w:t>
      </w:r>
    </w:p>
    <w:p w14:paraId="78659A21" w14:textId="726198F7" w:rsidR="00683E20" w:rsidRPr="00705B56" w:rsidRDefault="00683E20" w:rsidP="00F36447">
      <w:pPr>
        <w:pStyle w:val="ListParagraph"/>
        <w:numPr>
          <w:ilvl w:val="0"/>
          <w:numId w:val="6"/>
        </w:numPr>
        <w:spacing w:before="0" w:line="240" w:lineRule="auto"/>
        <w:jc w:val="both"/>
        <w:rPr>
          <w:rFonts w:ascii="Arial" w:hAnsi="Arial" w:cs="Arial"/>
          <w:lang w:val="sq-AL"/>
        </w:rPr>
      </w:pPr>
      <w:r w:rsidRPr="00705B56">
        <w:rPr>
          <w:rFonts w:ascii="Arial" w:hAnsi="Arial" w:cs="Arial"/>
          <w:b/>
          <w:bCs/>
          <w:lang w:val="sq-AL"/>
        </w:rPr>
        <w:t xml:space="preserve">Kapaciteti </w:t>
      </w:r>
      <w:r w:rsidR="00FF51E6" w:rsidRPr="00705B56">
        <w:rPr>
          <w:rFonts w:ascii="Arial" w:hAnsi="Arial" w:cs="Arial"/>
          <w:b/>
          <w:bCs/>
          <w:lang w:val="sq-AL"/>
        </w:rPr>
        <w:t>përshtatës (</w:t>
      </w:r>
      <w:r w:rsidRPr="00705B56">
        <w:rPr>
          <w:rFonts w:ascii="Arial" w:hAnsi="Arial" w:cs="Arial"/>
          <w:b/>
          <w:bCs/>
          <w:lang w:val="sq-AL"/>
        </w:rPr>
        <w:t>Adaptive capacity)</w:t>
      </w:r>
      <w:r w:rsidRPr="00705B56">
        <w:rPr>
          <w:rFonts w:ascii="Arial" w:hAnsi="Arial" w:cs="Arial"/>
          <w:lang w:val="sq-AL"/>
        </w:rPr>
        <w:t xml:space="preserve"> i referohet aftësisë së një sistemi për t'u përshtatur me ndryshimet klimatike, për</w:t>
      </w:r>
      <w:r w:rsidR="00687DBC" w:rsidRPr="00705B56">
        <w:rPr>
          <w:rFonts w:ascii="Arial" w:hAnsi="Arial" w:cs="Arial"/>
          <w:color w:val="FF0000"/>
          <w:lang w:val="sq-AL"/>
        </w:rPr>
        <w:t xml:space="preserve"> </w:t>
      </w:r>
      <w:r w:rsidR="000E6939" w:rsidRPr="00705B56">
        <w:rPr>
          <w:rFonts w:ascii="Arial" w:hAnsi="Arial" w:cs="Arial"/>
          <w:lang w:val="sq-AL"/>
        </w:rPr>
        <w:t xml:space="preserve">t’i zbutur </w:t>
      </w:r>
      <w:r w:rsidRPr="00705B56">
        <w:rPr>
          <w:rFonts w:ascii="Arial" w:hAnsi="Arial" w:cs="Arial"/>
          <w:lang w:val="sq-AL"/>
        </w:rPr>
        <w:t xml:space="preserve">dëmet e mundshme, për të përfituar nga mundësitë ose për t'u përballur me pasojat. Treguesit e kapacitetit </w:t>
      </w:r>
      <w:r w:rsidR="000E6939" w:rsidRPr="00705B56">
        <w:rPr>
          <w:rFonts w:ascii="Arial" w:hAnsi="Arial" w:cs="Arial"/>
          <w:lang w:val="sq-AL"/>
        </w:rPr>
        <w:t xml:space="preserve"> përshtatës</w:t>
      </w:r>
      <w:r w:rsidRPr="00705B56">
        <w:rPr>
          <w:rFonts w:ascii="Arial" w:hAnsi="Arial" w:cs="Arial"/>
          <w:lang w:val="sq-AL"/>
        </w:rPr>
        <w:t xml:space="preserve">mund të </w:t>
      </w:r>
      <w:r w:rsidRPr="00705B56">
        <w:rPr>
          <w:rFonts w:ascii="Arial" w:hAnsi="Arial" w:cs="Arial"/>
          <w:lang w:val="sq-AL"/>
        </w:rPr>
        <w:lastRenderedPageBreak/>
        <w:t>përfshijnë ekzistencën ose ndërtimin e digave  ose futjen e kulturave alternative të përshtatshme për temperaturën ose të përshtatura ndaj thatësirës.</w:t>
      </w:r>
    </w:p>
    <w:p w14:paraId="6CD6D906" w14:textId="2FBCB9B8" w:rsidR="00683E20" w:rsidRPr="00705B56" w:rsidRDefault="00683E20" w:rsidP="00683E20">
      <w:pPr>
        <w:spacing w:line="240" w:lineRule="auto"/>
        <w:jc w:val="both"/>
        <w:rPr>
          <w:rFonts w:ascii="Arial" w:hAnsi="Arial" w:cs="Arial"/>
          <w:b/>
          <w:bCs/>
          <w:lang w:val="sq-AL"/>
        </w:rPr>
      </w:pPr>
      <w:r w:rsidRPr="00705B56">
        <w:rPr>
          <w:rFonts w:ascii="Arial" w:hAnsi="Arial" w:cs="Arial"/>
          <w:lang w:val="sq-AL"/>
        </w:rPr>
        <w:t>Siç është përshkruar më sipër, rreziku i ndikimeve të ndryshimeve klimatike në sistemet njerëzore dhe ekologjike lidhet drejtpërdrejt me ndërveprimet dinamike midis rreziqeve klimatike si temperaturat e larta, reshjet e dendura të shiut apo periudhat e thatësirës</w:t>
      </w:r>
      <w:r w:rsidR="00652F6F" w:rsidRPr="00705B56">
        <w:rPr>
          <w:rFonts w:ascii="Arial" w:hAnsi="Arial" w:cs="Arial"/>
          <w:lang w:val="sq-AL"/>
        </w:rPr>
        <w:t xml:space="preserve"> </w:t>
      </w:r>
      <w:r w:rsidRPr="00705B56">
        <w:rPr>
          <w:rFonts w:ascii="Arial" w:hAnsi="Arial" w:cs="Arial"/>
          <w:lang w:val="sq-AL"/>
        </w:rPr>
        <w:t xml:space="preserve">dhe nivelit të ekspozimit dhe cenueshmërisë së elementëve të sistemit. Në thelb, rreziku klimatik është produkt i ndërveprimit midis rreziqeve, ekspozimit dhe cenueshmërisë. </w:t>
      </w:r>
      <w:r w:rsidRPr="00705B56">
        <w:rPr>
          <w:rFonts w:ascii="Arial" w:hAnsi="Arial" w:cs="Arial"/>
          <w:b/>
          <w:bCs/>
          <w:lang w:val="sq-AL"/>
        </w:rPr>
        <w:t>Ky koncept thekson ndërvarësinë e këtyre faktorëve, duke nënvizuar se pa rreziqe nuk ka ekspozim, dhe pa ekspozim nuk ekziston cenueshmëri.</w:t>
      </w:r>
    </w:p>
    <w:p w14:paraId="11AB75E9" w14:textId="762D9DDC" w:rsidR="007357EB" w:rsidRPr="00705B56" w:rsidRDefault="007357EB" w:rsidP="007357EB">
      <w:pPr>
        <w:spacing w:line="240" w:lineRule="auto"/>
        <w:jc w:val="both"/>
        <w:rPr>
          <w:rFonts w:ascii="Arial" w:hAnsi="Arial" w:cs="Arial"/>
          <w:lang w:val="sq-AL"/>
        </w:rPr>
      </w:pPr>
      <w:r w:rsidRPr="00705B56">
        <w:rPr>
          <w:rFonts w:ascii="Arial" w:hAnsi="Arial" w:cs="Arial"/>
          <w:lang w:val="sq-AL"/>
        </w:rPr>
        <w:t>Në përputhje me këtë kornizë dhe sipas IPCC-së</w:t>
      </w:r>
      <w:r w:rsidR="00ED6D16" w:rsidRPr="00705B56">
        <w:rPr>
          <w:rStyle w:val="FootnoteReference"/>
          <w:rFonts w:ascii="Arial" w:hAnsi="Arial" w:cs="Arial"/>
          <w:lang w:val="sq-AL"/>
        </w:rPr>
        <w:footnoteReference w:id="8"/>
      </w:r>
      <w:r w:rsidR="00ED6D16" w:rsidRPr="00705B56">
        <w:rPr>
          <w:rFonts w:ascii="Arial" w:hAnsi="Arial" w:cs="Arial"/>
          <w:lang w:val="sq-AL"/>
        </w:rPr>
        <w:t xml:space="preserve">, </w:t>
      </w:r>
      <w:r w:rsidRPr="00705B56">
        <w:rPr>
          <w:rFonts w:ascii="Arial" w:hAnsi="Arial" w:cs="Arial"/>
          <w:lang w:val="sq-AL"/>
        </w:rPr>
        <w:t>kuptimi i rrezikut klimatik kërkon shqyrtimin e lidhjes ndërmjet emetimeve të gazrave serrë (GHG), ndryshimeve klimatike që pasojnë, dhe ndikimeve të tyre të lidhura. Zhvillimi i emetimeve të GHG-ve i ndikuar nga zhvillimi socio-ekonomik dhe nga zbatimi (ose mungesa) e politikave për zbutje — ndikon drejtpërdrejt në shkallën e ngrohjes globale dhe në intensitetin e ndikimeve klimatike.</w:t>
      </w:r>
    </w:p>
    <w:p w14:paraId="4D5BB3BA" w14:textId="4F0DEED7" w:rsidR="007357EB" w:rsidRPr="00705B56" w:rsidRDefault="007357EB" w:rsidP="007357EB">
      <w:pPr>
        <w:spacing w:line="240" w:lineRule="auto"/>
        <w:jc w:val="both"/>
        <w:rPr>
          <w:rFonts w:ascii="Arial" w:hAnsi="Arial" w:cs="Arial"/>
          <w:lang w:val="sq-AL"/>
        </w:rPr>
      </w:pPr>
      <w:r w:rsidRPr="00705B56">
        <w:rPr>
          <w:rFonts w:ascii="Arial" w:hAnsi="Arial" w:cs="Arial"/>
          <w:lang w:val="sq-AL"/>
        </w:rPr>
        <w:t>Skenarët e emetimeve si RCP 8.5 (skenar me emetime shumë të larta dhe mungesë të zbutjes së ndjeshme) dhe RCP 4.5 (skenar me zbutje të ndërmjetme) përdoren gjerësisht në studimet për rrezikun klimatik për të eksploruar të ardhme të mundshme klimatike. Këta skenarë parashikojnë rritje të shpeshtësisë dhe intensitetit të ngjarjeve ekstreme si valët e të nxehtit, thatësirat dhe reshjet e dendura — me pasoja serioze për ekosistemet, biodiversitetin dhe sistemet njerëzore.</w:t>
      </w:r>
    </w:p>
    <w:p w14:paraId="07E7F743" w14:textId="36DA9C02" w:rsidR="007357EB" w:rsidRPr="00705B56" w:rsidRDefault="007357EB" w:rsidP="007357EB">
      <w:pPr>
        <w:spacing w:line="240" w:lineRule="auto"/>
        <w:jc w:val="both"/>
        <w:rPr>
          <w:rFonts w:ascii="Arial" w:hAnsi="Arial" w:cs="Arial"/>
          <w:lang w:val="sq-AL"/>
        </w:rPr>
      </w:pPr>
      <w:r w:rsidRPr="00705B56">
        <w:rPr>
          <w:rFonts w:ascii="Arial" w:hAnsi="Arial" w:cs="Arial"/>
          <w:lang w:val="sq-AL"/>
        </w:rPr>
        <w:t>Për të ofruar një perspektivë më të integruar, Raporti i Gjashtë Vlerësues i IPCC-së</w:t>
      </w:r>
      <w:r w:rsidR="00ED6D16" w:rsidRPr="00705B56">
        <w:rPr>
          <w:rFonts w:ascii="Arial" w:hAnsi="Arial" w:cs="Arial"/>
          <w:vertAlign w:val="superscript"/>
          <w:lang w:val="sq-AL"/>
        </w:rPr>
        <w:footnoteReference w:id="9"/>
      </w:r>
      <w:r w:rsidR="00ED6D16" w:rsidRPr="00705B56">
        <w:rPr>
          <w:rFonts w:ascii="Arial" w:hAnsi="Arial" w:cs="Arial"/>
          <w:lang w:val="sq-AL"/>
        </w:rPr>
        <w:t xml:space="preserve"> i</w:t>
      </w:r>
      <w:r w:rsidRPr="00705B56">
        <w:rPr>
          <w:rFonts w:ascii="Arial" w:hAnsi="Arial" w:cs="Arial"/>
          <w:lang w:val="sq-AL"/>
        </w:rPr>
        <w:t xml:space="preserve"> prezantoi Skenarët e Përbashkët Socio-Ekonomikë (SSP), të cilët përfshijnë variabla si rritja e popullsisë, zhvillimi ekonomik, arsimi dhe ndërgjegjësimi mjedisor. Kombinimi i skenarëve SSP me skenarët tradicionalë RCP mundëson një analizë gjithëpërfshirëse të shkaktarëve dhe pasojave të ndryshimeve klimatike. Kjo qasje e integruar është thelbësore për të vlerësuar se si skenarë të ndryshëm të zhvillimit mund të formësojnë rreziqet klimatike në nivel kombëtar, përfshirë ndjeshmërinë e Kosovës ndaj rritjes së temperaturave dhe ndryshimeve në modelin e reshjeve.</w:t>
      </w:r>
    </w:p>
    <w:p w14:paraId="02A6C49D" w14:textId="125D5EA4" w:rsidR="001D4FA1" w:rsidRPr="00705B56" w:rsidRDefault="007357EB" w:rsidP="004C6E93">
      <w:pPr>
        <w:spacing w:line="240" w:lineRule="auto"/>
        <w:jc w:val="both"/>
        <w:rPr>
          <w:rFonts w:ascii="Arial" w:hAnsi="Arial" w:cs="Arial"/>
          <w:lang w:val="sq-AL"/>
        </w:rPr>
      </w:pPr>
      <w:r w:rsidRPr="00705B56">
        <w:rPr>
          <w:rFonts w:ascii="Arial" w:hAnsi="Arial" w:cs="Arial"/>
          <w:lang w:val="sq-AL"/>
        </w:rPr>
        <w:lastRenderedPageBreak/>
        <w:t>Marrëdhëniet ndërmjet zhvillimit socio-ekonomik, trajektoreve të emetimeve, ndryshimeve klimatike dhe rreziqeve që pasojnë janë ilustruar në Figurën 3.</w:t>
      </w:r>
      <w:r w:rsidR="00D846AE" w:rsidRPr="00705B56">
        <w:rPr>
          <w:rFonts w:ascii="Arial" w:hAnsi="Arial" w:cs="Arial"/>
          <w:noProof/>
        </w:rPr>
        <mc:AlternateContent>
          <mc:Choice Requires="wps">
            <w:drawing>
              <wp:anchor distT="0" distB="0" distL="114300" distR="114300" simplePos="0" relativeHeight="251694080" behindDoc="0" locked="0" layoutInCell="1" allowOverlap="1" wp14:anchorId="3C5BEC1D" wp14:editId="7FD2F68C">
                <wp:simplePos x="0" y="0"/>
                <wp:positionH relativeFrom="column">
                  <wp:posOffset>1278890</wp:posOffset>
                </wp:positionH>
                <wp:positionV relativeFrom="paragraph">
                  <wp:posOffset>5250815</wp:posOffset>
                </wp:positionV>
                <wp:extent cx="3552825" cy="332509"/>
                <wp:effectExtent l="0" t="0" r="0" b="0"/>
                <wp:wrapNone/>
                <wp:docPr id="1729207044" name="Cuadro de texto 7"/>
                <wp:cNvGraphicFramePr/>
                <a:graphic xmlns:a="http://schemas.openxmlformats.org/drawingml/2006/main">
                  <a:graphicData uri="http://schemas.microsoft.com/office/word/2010/wordprocessingShape">
                    <wps:wsp>
                      <wps:cNvSpPr txBox="1"/>
                      <wps:spPr>
                        <a:xfrm>
                          <a:off x="0" y="0"/>
                          <a:ext cx="3552825" cy="332509"/>
                        </a:xfrm>
                        <a:prstGeom prst="rect">
                          <a:avLst/>
                        </a:prstGeom>
                        <a:noFill/>
                        <a:ln w="6350">
                          <a:noFill/>
                        </a:ln>
                      </wps:spPr>
                      <wps:txbx>
                        <w:txbxContent>
                          <w:p w14:paraId="7F4499BE" w14:textId="77777777" w:rsidR="007065D4" w:rsidRDefault="007065D4" w:rsidP="007357EB">
                            <w:pPr>
                              <w:spacing w:line="240" w:lineRule="auto"/>
                              <w:jc w:val="center"/>
                            </w:pPr>
                            <w:r w:rsidRPr="000A14EE">
                              <w:t>R</w:t>
                            </w:r>
                            <w:r>
                              <w:t>reziku</w:t>
                            </w:r>
                            <w:r w:rsidRPr="000A14EE">
                              <w:t xml:space="preserve"> = </w:t>
                            </w:r>
                            <w:r>
                              <w:t>Rreziku natyror</w:t>
                            </w:r>
                            <w:r w:rsidRPr="000A14EE">
                              <w:t xml:space="preserve"> * E</w:t>
                            </w:r>
                            <w:r>
                              <w:t>kspozimi</w:t>
                            </w:r>
                            <w:r w:rsidRPr="000A14EE">
                              <w:t xml:space="preserve"> * </w:t>
                            </w:r>
                            <w:r w:rsidRPr="007F3A64">
                              <w:t>Cenueshmëria</w:t>
                            </w:r>
                          </w:p>
                          <w:p w14:paraId="061D8761" w14:textId="34CB889C" w:rsidR="007065D4" w:rsidRPr="00BD03D8" w:rsidRDefault="007065D4" w:rsidP="00D846AE">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5BEC1D" id="Cuadro de texto 7" o:spid="_x0000_s1030" type="#_x0000_t202" style="position:absolute;left:0;text-align:left;margin-left:100.7pt;margin-top:413.45pt;width:279.75pt;height:2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" filled="f" stroked="f" strokeweight=".5pt">
                <v:textbox>
                  <w:txbxContent>
                    <w:p w14:paraId="7F4499BE" w14:textId="77777777" w:rsidR="007065D4" w:rsidRDefault="007065D4" w:rsidP="007357EB">
                      <w:pPr>
                        <w:spacing w:line="240" w:lineRule="auto"/>
                        <w:jc w:val="center"/>
                      </w:pPr>
                      <w:r w:rsidRPr="000A14EE">
                        <w:t>R</w:t>
                      </w:r>
                      <w:r>
                        <w:t>reziku</w:t>
                      </w:r>
                      <w:r w:rsidRPr="000A14EE">
                        <w:t xml:space="preserve"> = </w:t>
                      </w:r>
                      <w:r>
                        <w:t>Rreziku natyror</w:t>
                      </w:r>
                      <w:r w:rsidRPr="000A14EE">
                        <w:t xml:space="preserve"> * E</w:t>
                      </w:r>
                      <w:r>
                        <w:t>kspozimi</w:t>
                      </w:r>
                      <w:r w:rsidRPr="000A14EE">
                        <w:t xml:space="preserve"> * </w:t>
                      </w:r>
                      <w:r w:rsidRPr="007F3A64">
                        <w:t>Cenueshmëria</w:t>
                      </w:r>
                    </w:p>
                    <w:p w14:paraId="061D8761" w14:textId="34CB889C" w:rsidR="007065D4" w:rsidRPr="00BD03D8" w:rsidRDefault="007065D4" w:rsidP="00D846AE">
                      <w:pPr>
                        <w:spacing w:line="240" w:lineRule="auto"/>
                        <w:jc w:val="center"/>
                      </w:pPr>
                    </w:p>
                  </w:txbxContent>
                </v:textbox>
              </v:shape>
            </w:pict>
          </mc:Fallback>
        </mc:AlternateContent>
      </w:r>
      <w:r w:rsidR="00AD6702" w:rsidRPr="00705B56">
        <w:rPr>
          <w:rFonts w:ascii="Arial" w:hAnsi="Arial" w:cs="Arial"/>
          <w:noProof/>
        </w:rPr>
        <mc:AlternateContent>
          <mc:Choice Requires="wps">
            <w:drawing>
              <wp:anchor distT="0" distB="0" distL="114300" distR="114300" simplePos="0" relativeHeight="251813888" behindDoc="0" locked="0" layoutInCell="1" allowOverlap="1" wp14:anchorId="08269469" wp14:editId="397EFE93">
                <wp:simplePos x="0" y="0"/>
                <wp:positionH relativeFrom="column">
                  <wp:posOffset>573405</wp:posOffset>
                </wp:positionH>
                <wp:positionV relativeFrom="paragraph">
                  <wp:posOffset>5300345</wp:posOffset>
                </wp:positionV>
                <wp:extent cx="5327015" cy="635"/>
                <wp:effectExtent l="0" t="0" r="0" b="0"/>
                <wp:wrapTopAndBottom/>
                <wp:docPr id="1418044281" name="Text Box 1"/>
                <wp:cNvGraphicFramePr/>
                <a:graphic xmlns:a="http://schemas.openxmlformats.org/drawingml/2006/main">
                  <a:graphicData uri="http://schemas.microsoft.com/office/word/2010/wordprocessingShape">
                    <wps:wsp>
                      <wps:cNvSpPr txBox="1"/>
                      <wps:spPr>
                        <a:xfrm>
                          <a:off x="0" y="0"/>
                          <a:ext cx="5327015" cy="635"/>
                        </a:xfrm>
                        <a:prstGeom prst="rect">
                          <a:avLst/>
                        </a:prstGeom>
                        <a:solidFill>
                          <a:prstClr val="white"/>
                        </a:solidFill>
                        <a:ln>
                          <a:noFill/>
                        </a:ln>
                      </wps:spPr>
                      <wps:txbx>
                        <w:txbxContent>
                          <w:p w14:paraId="5A8A159D" w14:textId="3F06E85B" w:rsidR="00AD6702" w:rsidRPr="00556F7D" w:rsidRDefault="00AD6702" w:rsidP="00D23BB3">
                            <w:pPr>
                              <w:pStyle w:val="Caption"/>
                              <w:rPr>
                                <w:rFonts w:ascii="Arial" w:hAnsi="Arial" w:cs="Arial"/>
                                <w:noProof/>
                                <w:sz w:val="22"/>
                                <w:szCs w:val="22"/>
                                <w:lang w:val="sq-AL" w:eastAsia="sq-AL"/>
                              </w:rPr>
                            </w:pPr>
                            <w:bookmarkStart w:id="16" w:name="_Toc211532604"/>
                            <w:r w:rsidRPr="00556F7D">
                              <w:rPr>
                                <w:rFonts w:ascii="Arial" w:hAnsi="Arial" w:cs="Arial"/>
                              </w:rPr>
                              <w:t xml:space="preserve">Figura </w:t>
                            </w:r>
                            <w:r w:rsidRPr="00556F7D">
                              <w:rPr>
                                <w:rFonts w:ascii="Arial" w:hAnsi="Arial" w:cs="Arial"/>
                              </w:rPr>
                              <w:fldChar w:fldCharType="begin"/>
                            </w:r>
                            <w:r w:rsidRPr="00556F7D">
                              <w:rPr>
                                <w:rFonts w:ascii="Arial" w:hAnsi="Arial" w:cs="Arial"/>
                              </w:rPr>
                              <w:instrText xml:space="preserve"> SEQ Figura \* ARABIC </w:instrText>
                            </w:r>
                            <w:r w:rsidRPr="00556F7D">
                              <w:rPr>
                                <w:rFonts w:ascii="Arial" w:hAnsi="Arial" w:cs="Arial"/>
                              </w:rPr>
                              <w:fldChar w:fldCharType="separate"/>
                            </w:r>
                            <w:r w:rsidR="0005579F" w:rsidRPr="00556F7D">
                              <w:rPr>
                                <w:rFonts w:ascii="Arial" w:hAnsi="Arial" w:cs="Arial"/>
                                <w:noProof/>
                              </w:rPr>
                              <w:t>3</w:t>
                            </w:r>
                            <w:r w:rsidRPr="00556F7D">
                              <w:rPr>
                                <w:rFonts w:ascii="Arial" w:hAnsi="Arial" w:cs="Arial"/>
                              </w:rPr>
                              <w:fldChar w:fldCharType="end"/>
                            </w:r>
                            <w:r w:rsidRPr="00556F7D">
                              <w:rPr>
                                <w:rFonts w:ascii="Arial" w:hAnsi="Arial" w:cs="Arial"/>
                              </w:rPr>
                              <w:t>. Marrëdhënia midis ndryshimeve socio-ekonomike, emetimeve të gazrave serrë, ndryshimeve klimatike dhe rreziqeve të lidhura bazuar në skenarë të ndryshëm të emetimeve. Burimi: IPCC (2023)</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269469" id="_x0000_s1031" type="#_x0000_t202" style="position:absolute;left:0;text-align:left;margin-left:45.15pt;margin-top:417.35pt;width:419.45pt;height:.0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" stroked="f">
                <v:textbox style="mso-fit-shape-to-text:t" inset="0,0,0,0">
                  <w:txbxContent>
                    <w:p w14:paraId="5A8A159D" w14:textId="3F06E85B" w:rsidR="00AD6702" w:rsidRPr="00556F7D" w:rsidRDefault="00AD6702" w:rsidP="00D23BB3">
                      <w:pPr>
                        <w:pStyle w:val="Caption"/>
                        <w:rPr>
                          <w:rFonts w:ascii="Arial" w:hAnsi="Arial" w:cs="Arial"/>
                          <w:noProof/>
                          <w:sz w:val="22"/>
                          <w:szCs w:val="22"/>
                          <w:lang w:val="sq-AL" w:eastAsia="sq-AL"/>
                        </w:rPr>
                      </w:pPr>
                      <w:bookmarkStart w:id="17" w:name="_Toc211532604"/>
                      <w:r w:rsidRPr="00556F7D">
                        <w:rPr>
                          <w:rFonts w:ascii="Arial" w:hAnsi="Arial" w:cs="Arial"/>
                        </w:rPr>
                        <w:t xml:space="preserve">Figura </w:t>
                      </w:r>
                      <w:r w:rsidRPr="00556F7D">
                        <w:rPr>
                          <w:rFonts w:ascii="Arial" w:hAnsi="Arial" w:cs="Arial"/>
                        </w:rPr>
                        <w:fldChar w:fldCharType="begin"/>
                      </w:r>
                      <w:r w:rsidRPr="00556F7D">
                        <w:rPr>
                          <w:rFonts w:ascii="Arial" w:hAnsi="Arial" w:cs="Arial"/>
                        </w:rPr>
                        <w:instrText xml:space="preserve"> SEQ Figura \* ARABIC </w:instrText>
                      </w:r>
                      <w:r w:rsidRPr="00556F7D">
                        <w:rPr>
                          <w:rFonts w:ascii="Arial" w:hAnsi="Arial" w:cs="Arial"/>
                        </w:rPr>
                        <w:fldChar w:fldCharType="separate"/>
                      </w:r>
                      <w:r w:rsidR="0005579F" w:rsidRPr="00556F7D">
                        <w:rPr>
                          <w:rFonts w:ascii="Arial" w:hAnsi="Arial" w:cs="Arial"/>
                          <w:noProof/>
                        </w:rPr>
                        <w:t>3</w:t>
                      </w:r>
                      <w:r w:rsidRPr="00556F7D">
                        <w:rPr>
                          <w:rFonts w:ascii="Arial" w:hAnsi="Arial" w:cs="Arial"/>
                        </w:rPr>
                        <w:fldChar w:fldCharType="end"/>
                      </w:r>
                      <w:r w:rsidRPr="00556F7D">
                        <w:rPr>
                          <w:rFonts w:ascii="Arial" w:hAnsi="Arial" w:cs="Arial"/>
                        </w:rPr>
                        <w:t xml:space="preserve">. </w:t>
                      </w:r>
                      <w:r w:rsidRPr="00556F7D">
                        <w:rPr>
                          <w:rFonts w:ascii="Arial" w:hAnsi="Arial" w:cs="Arial"/>
                        </w:rPr>
                        <w:t>Marrëdhënia midis ndryshimeve socio-ekonomike, emetimeve të gazrave serrë, ndryshimeve klimatike dhe rreziqeve të lidhura bazuar në skenarë të ndryshëm të emetimeve. Burimi: IPCC (2023)</w:t>
                      </w:r>
                      <w:bookmarkEnd w:id="17"/>
                    </w:p>
                  </w:txbxContent>
                </v:textbox>
                <w10:wrap type="topAndBottom"/>
              </v:shape>
            </w:pict>
          </mc:Fallback>
        </mc:AlternateContent>
      </w:r>
      <w:r w:rsidR="00D846AE" w:rsidRPr="00705B56">
        <w:rPr>
          <w:rFonts w:ascii="Arial" w:hAnsi="Arial" w:cs="Arial"/>
          <w:i/>
          <w:iCs/>
          <w:noProof/>
        </w:rPr>
        <w:drawing>
          <wp:anchor distT="0" distB="0" distL="114300" distR="114300" simplePos="0" relativeHeight="251693056" behindDoc="0" locked="0" layoutInCell="1" allowOverlap="1" wp14:anchorId="3F41DCC7" wp14:editId="76F04553">
            <wp:simplePos x="0" y="0"/>
            <wp:positionH relativeFrom="margin">
              <wp:align>center</wp:align>
            </wp:positionH>
            <wp:positionV relativeFrom="paragraph">
              <wp:posOffset>91</wp:posOffset>
            </wp:positionV>
            <wp:extent cx="5327374" cy="5243539"/>
            <wp:effectExtent l="0" t="0" r="6985" b="0"/>
            <wp:wrapTopAndBottom/>
            <wp:docPr id="2010187794"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5816" name="Imagen 1" descr="Interfaz de usuario gráfica, Aplicación&#10;&#10;El contenido generado por IA puede ser incorrecto."/>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163"/>
                    <a:stretch/>
                  </pic:blipFill>
                  <pic:spPr bwMode="auto">
                    <a:xfrm>
                      <a:off x="0" y="0"/>
                      <a:ext cx="5327374" cy="52435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B58BDC" w14:textId="44FEF2C8" w:rsidR="003D7455" w:rsidRPr="00705B56" w:rsidRDefault="003D7455" w:rsidP="003D7455">
      <w:pPr>
        <w:spacing w:line="240" w:lineRule="auto"/>
        <w:jc w:val="both"/>
        <w:rPr>
          <w:rFonts w:ascii="Arial" w:hAnsi="Arial" w:cs="Arial"/>
          <w:lang w:val="sq-AL"/>
        </w:rPr>
      </w:pPr>
      <w:r w:rsidRPr="00705B56">
        <w:rPr>
          <w:rFonts w:ascii="Arial" w:hAnsi="Arial" w:cs="Arial"/>
          <w:lang w:val="sq-AL"/>
        </w:rPr>
        <w:t>Siç tregohet në Figurën 3, trajektoret e ndryshme të emetimeve si SSP1-1.9 (skenar me zbutje shumë të fortë) apo SSP5-8.5 (skenar me emetime shumë të larta) — çojnë në nivele të ndryshme të ngrohjes globale dhe rreziqe të ndërlidhura. Këto rreziqe nuk varen vetëm nga shkalla e ngrohjes, por edhe nga mënyra se si shoqëritë arrijnë — ose nuk arrijnë — të përshtaten me ndikimet klimatike.</w:t>
      </w:r>
    </w:p>
    <w:p w14:paraId="7C788C30" w14:textId="5FC2EDC6" w:rsidR="00525DCA" w:rsidRPr="00705B56" w:rsidRDefault="003D7455" w:rsidP="00C038D2">
      <w:pPr>
        <w:spacing w:line="240" w:lineRule="auto"/>
        <w:jc w:val="both"/>
        <w:rPr>
          <w:rFonts w:ascii="Arial" w:hAnsi="Arial" w:cs="Arial"/>
          <w:lang w:val="sq-AL"/>
        </w:rPr>
      </w:pPr>
      <w:r w:rsidRPr="00705B56">
        <w:rPr>
          <w:rFonts w:ascii="Arial" w:hAnsi="Arial" w:cs="Arial"/>
          <w:b/>
          <w:bCs/>
          <w:lang w:val="sq-AL"/>
        </w:rPr>
        <w:t xml:space="preserve">Në përmbledhje, metodologjia e përdorur për vlerësimin e ndjeshmërisë dhe rrezikut klimatik në Kosovë është e ndërtuar mbi kornizën konceptuale të IPCC-së, e cila e përkufizon rrezikun si ndërveprim ndërmjet </w:t>
      </w:r>
      <w:r w:rsidR="00E945AC" w:rsidRPr="00705B56">
        <w:rPr>
          <w:rFonts w:ascii="Arial" w:hAnsi="Arial" w:cs="Arial"/>
          <w:b/>
          <w:bCs/>
          <w:lang w:val="sq-AL"/>
        </w:rPr>
        <w:t xml:space="preserve"> rrezikut natyror</w:t>
      </w:r>
      <w:r w:rsidRPr="00705B56">
        <w:rPr>
          <w:rFonts w:ascii="Arial" w:hAnsi="Arial" w:cs="Arial"/>
          <w:b/>
          <w:bCs/>
          <w:lang w:val="sq-AL"/>
        </w:rPr>
        <w:t xml:space="preserve">ekspozimit dhe ndjeshmërisë. </w:t>
      </w:r>
      <w:r w:rsidRPr="00705B56">
        <w:rPr>
          <w:rFonts w:ascii="Arial" w:hAnsi="Arial" w:cs="Arial"/>
          <w:lang w:val="sq-AL"/>
        </w:rPr>
        <w:t>Përdorimi i kombinuar i skenarëve RCP dhe SSP siguron që analiza të përfshijë jo vetëm rreziqet fizike të ndërlidhura me ndryshimet klimatike, por edhe faktorët socio-ekonomikë që ndikojnë në kapacitetin e vendit për të reaguar ndaj tyre. Kjo bazë e mbështetur në dëshmi forcon prioritizimin e veprimeve të përshtatjes nëpër sektorë dhe ndihmon në marrjen e vendimeve strategjike për ndërtimin e qëndrueshmërisë afatgjatë ndaj klimës në Kosovë</w:t>
      </w:r>
      <w:r w:rsidR="00525DCA" w:rsidRPr="00705B56">
        <w:rPr>
          <w:rFonts w:ascii="Arial" w:hAnsi="Arial" w:cs="Arial"/>
          <w:lang w:val="sq-AL"/>
        </w:rPr>
        <w:t>.</w:t>
      </w:r>
    </w:p>
    <w:p w14:paraId="53FF1E13" w14:textId="1E111C5B" w:rsidR="00ED6D16" w:rsidRPr="00705B56" w:rsidRDefault="003D7455" w:rsidP="00AE16AB">
      <w:pPr>
        <w:pStyle w:val="Heading3"/>
        <w:rPr>
          <w:rFonts w:ascii="Arial" w:hAnsi="Arial" w:cs="Arial"/>
          <w:lang w:val="sq-AL"/>
        </w:rPr>
      </w:pPr>
      <w:bookmarkStart w:id="17" w:name="_Toc211532681"/>
      <w:r w:rsidRPr="00705B56">
        <w:rPr>
          <w:rFonts w:ascii="Arial" w:hAnsi="Arial" w:cs="Arial"/>
          <w:lang w:val="sq-AL"/>
        </w:rPr>
        <w:t>Zinxhirët e ndikimit</w:t>
      </w:r>
      <w:bookmarkEnd w:id="17"/>
    </w:p>
    <w:p w14:paraId="55BBA4CD" w14:textId="069BB534" w:rsidR="00001131" w:rsidRPr="00705B56" w:rsidRDefault="00001131" w:rsidP="00001131">
      <w:pPr>
        <w:spacing w:line="240" w:lineRule="auto"/>
        <w:jc w:val="both"/>
        <w:rPr>
          <w:rFonts w:ascii="Arial" w:hAnsi="Arial" w:cs="Arial"/>
          <w:lang w:val="sq-AL"/>
        </w:rPr>
      </w:pPr>
      <w:r w:rsidRPr="00705B56">
        <w:rPr>
          <w:rFonts w:ascii="Arial" w:hAnsi="Arial" w:cs="Arial"/>
          <w:lang w:val="sq-AL"/>
        </w:rPr>
        <w:t xml:space="preserve">Duke u mbështetur në vlerësimin e ndjeshmërisë dhe rrezikut klimatik të paraqitur në seksionin paraprak, janë zhvilluar zinxhirët e ndikimit për të operacionalizuar kornizën e IPCC-së dhe për të ilustruar marrëdhëniet shkak-pasojë që përkufizojnë rreziqet e lidhura me klimën në sektorët prioritarë të Kosovës. Këto mjete vizuale e përkthejnë konceptin e rrezikut, ekspozimit dhe ndjeshmërisë në rrugë sektoriale të </w:t>
      </w:r>
      <w:r w:rsidRPr="00705B56">
        <w:rPr>
          <w:rFonts w:ascii="Arial" w:hAnsi="Arial" w:cs="Arial"/>
          <w:lang w:val="sq-AL"/>
        </w:rPr>
        <w:lastRenderedPageBreak/>
        <w:t>rrezikut, duke ofruar një mënyrë të strukturuar dhe transparente për të vlerësuar se si rreziqet klimatike ndërveprojnë me sistemet socio-ekonomike dhe mjedisore.</w:t>
      </w:r>
    </w:p>
    <w:p w14:paraId="67EC6C68" w14:textId="120C1B60" w:rsidR="00BC2C89" w:rsidRPr="00705B56" w:rsidRDefault="00001131" w:rsidP="00001131">
      <w:pPr>
        <w:spacing w:line="240" w:lineRule="auto"/>
        <w:jc w:val="both"/>
        <w:rPr>
          <w:rFonts w:ascii="Arial" w:hAnsi="Arial" w:cs="Arial"/>
          <w:lang w:val="sq-AL"/>
        </w:rPr>
      </w:pPr>
      <w:r w:rsidRPr="00705B56">
        <w:rPr>
          <w:rFonts w:ascii="Arial" w:hAnsi="Arial" w:cs="Arial"/>
          <w:lang w:val="sq-AL"/>
        </w:rPr>
        <w:t>Zinxhirët e ndikimit — të njohur edhe si diagrame shkak-pasojë — fillojnë me identifikimin e rreziqeve klimatike (p.sh., përmbytje, thatësira, valë të të nxehtit), të ndjekura nga ndikimet ndërmjetëse dhe përfundimtare që këto rreziqe mund të shkaktojnë. Diagramet më pas përfshijnë elementët e ekspozuar — si popullata, infrastrukturë apo ekosisteme — së bashku me faktorët kyç të ndjeshmërisë, përfshirë sensitivitetin (p.sh., niveli i varfërisë, brishtësia ekologjike) dhe kapacitetin adaptues (p.sh., qeverisja, qasja në teknologji dhe burime)</w:t>
      </w:r>
      <w:r w:rsidR="00BC2C89" w:rsidRPr="00705B56">
        <w:rPr>
          <w:rFonts w:ascii="Arial" w:hAnsi="Arial" w:cs="Arial"/>
          <w:lang w:val="sq-AL"/>
        </w:rPr>
        <w:t>.</w:t>
      </w:r>
    </w:p>
    <w:p w14:paraId="0071DA68" w14:textId="230469AF" w:rsidR="00001131" w:rsidRPr="00705B56" w:rsidRDefault="00AD6702" w:rsidP="004C6E93">
      <w:pPr>
        <w:jc w:val="both"/>
        <w:rPr>
          <w:rFonts w:ascii="Arial" w:hAnsi="Arial" w:cs="Arial"/>
          <w:lang w:val="sq-AL"/>
        </w:rPr>
      </w:pPr>
      <w:r w:rsidRPr="00705B56">
        <w:rPr>
          <w:rFonts w:ascii="Arial" w:hAnsi="Arial" w:cs="Arial"/>
          <w:noProof/>
        </w:rPr>
        <mc:AlternateContent>
          <mc:Choice Requires="wps">
            <w:drawing>
              <wp:anchor distT="0" distB="0" distL="114300" distR="114300" simplePos="0" relativeHeight="251815936" behindDoc="0" locked="0" layoutInCell="1" allowOverlap="1" wp14:anchorId="4AF989DC" wp14:editId="32511A6C">
                <wp:simplePos x="0" y="0"/>
                <wp:positionH relativeFrom="column">
                  <wp:posOffset>320675</wp:posOffset>
                </wp:positionH>
                <wp:positionV relativeFrom="paragraph">
                  <wp:posOffset>3688715</wp:posOffset>
                </wp:positionV>
                <wp:extent cx="6269990" cy="635"/>
                <wp:effectExtent l="0" t="0" r="0" b="0"/>
                <wp:wrapSquare wrapText="bothSides"/>
                <wp:docPr id="1491995259" name="Text Box 1"/>
                <wp:cNvGraphicFramePr/>
                <a:graphic xmlns:a="http://schemas.openxmlformats.org/drawingml/2006/main">
                  <a:graphicData uri="http://schemas.microsoft.com/office/word/2010/wordprocessingShape">
                    <wps:wsp>
                      <wps:cNvSpPr txBox="1"/>
                      <wps:spPr>
                        <a:xfrm>
                          <a:off x="0" y="0"/>
                          <a:ext cx="6269990" cy="635"/>
                        </a:xfrm>
                        <a:prstGeom prst="rect">
                          <a:avLst/>
                        </a:prstGeom>
                        <a:solidFill>
                          <a:prstClr val="white"/>
                        </a:solidFill>
                        <a:ln>
                          <a:noFill/>
                        </a:ln>
                      </wps:spPr>
                      <wps:txbx>
                        <w:txbxContent>
                          <w:p w14:paraId="3BF41DA0" w14:textId="5BD3592E" w:rsidR="00AD6702" w:rsidRPr="00556F7D" w:rsidRDefault="00AD6702" w:rsidP="00D23BB3">
                            <w:pPr>
                              <w:pStyle w:val="Caption"/>
                              <w:rPr>
                                <w:rFonts w:ascii="Arial" w:hAnsi="Arial" w:cs="Arial"/>
                                <w:noProof/>
                                <w:sz w:val="22"/>
                                <w:szCs w:val="22"/>
                                <w:lang w:val="sq-AL" w:eastAsia="sq-AL"/>
                              </w:rPr>
                            </w:pPr>
                            <w:bookmarkStart w:id="18" w:name="_Toc211532605"/>
                            <w:r w:rsidRPr="00556F7D">
                              <w:rPr>
                                <w:rFonts w:ascii="Arial" w:hAnsi="Arial" w:cs="Arial"/>
                              </w:rPr>
                              <w:t xml:space="preserve">Figura </w:t>
                            </w:r>
                            <w:r w:rsidRPr="00556F7D">
                              <w:rPr>
                                <w:rFonts w:ascii="Arial" w:hAnsi="Arial" w:cs="Arial"/>
                              </w:rPr>
                              <w:fldChar w:fldCharType="begin"/>
                            </w:r>
                            <w:r w:rsidRPr="00556F7D">
                              <w:rPr>
                                <w:rFonts w:ascii="Arial" w:hAnsi="Arial" w:cs="Arial"/>
                              </w:rPr>
                              <w:instrText xml:space="preserve"> SEQ Figura \* ARABIC </w:instrText>
                            </w:r>
                            <w:r w:rsidRPr="00556F7D">
                              <w:rPr>
                                <w:rFonts w:ascii="Arial" w:hAnsi="Arial" w:cs="Arial"/>
                              </w:rPr>
                              <w:fldChar w:fldCharType="separate"/>
                            </w:r>
                            <w:r w:rsidR="0005579F" w:rsidRPr="00556F7D">
                              <w:rPr>
                                <w:rFonts w:ascii="Arial" w:hAnsi="Arial" w:cs="Arial"/>
                                <w:noProof/>
                              </w:rPr>
                              <w:t>4</w:t>
                            </w:r>
                            <w:r w:rsidRPr="00556F7D">
                              <w:rPr>
                                <w:rFonts w:ascii="Arial" w:hAnsi="Arial" w:cs="Arial"/>
                              </w:rPr>
                              <w:fldChar w:fldCharType="end"/>
                            </w:r>
                            <w:r w:rsidRPr="00556F7D">
                              <w:rPr>
                                <w:rFonts w:ascii="Arial" w:hAnsi="Arial" w:cs="Arial"/>
                              </w:rPr>
                              <w:t>. Zinxhiri i Ndikimit të Përgjithshëm.Burimi: MMPHI, 2025.</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F989DC" id="_x0000_s1032" type="#_x0000_t202" style="position:absolute;left:0;text-align:left;margin-left:25.25pt;margin-top:290.45pt;width:493.7pt;height:.0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" stroked="f">
                <v:textbox style="mso-fit-shape-to-text:t" inset="0,0,0,0">
                  <w:txbxContent>
                    <w:p w14:paraId="3BF41DA0" w14:textId="5BD3592E" w:rsidR="00AD6702" w:rsidRPr="00556F7D" w:rsidRDefault="00AD6702" w:rsidP="00D23BB3">
                      <w:pPr>
                        <w:pStyle w:val="Caption"/>
                        <w:rPr>
                          <w:rFonts w:ascii="Arial" w:hAnsi="Arial" w:cs="Arial"/>
                          <w:noProof/>
                          <w:sz w:val="22"/>
                          <w:szCs w:val="22"/>
                          <w:lang w:val="sq-AL" w:eastAsia="sq-AL"/>
                        </w:rPr>
                      </w:pPr>
                      <w:bookmarkStart w:id="20" w:name="_Toc211532605"/>
                      <w:r w:rsidRPr="00556F7D">
                        <w:rPr>
                          <w:rFonts w:ascii="Arial" w:hAnsi="Arial" w:cs="Arial"/>
                        </w:rPr>
                        <w:t xml:space="preserve">Figura </w:t>
                      </w:r>
                      <w:r w:rsidRPr="00556F7D">
                        <w:rPr>
                          <w:rFonts w:ascii="Arial" w:hAnsi="Arial" w:cs="Arial"/>
                        </w:rPr>
                        <w:fldChar w:fldCharType="begin"/>
                      </w:r>
                      <w:r w:rsidRPr="00556F7D">
                        <w:rPr>
                          <w:rFonts w:ascii="Arial" w:hAnsi="Arial" w:cs="Arial"/>
                        </w:rPr>
                        <w:instrText xml:space="preserve"> SEQ Figura \* ARABIC </w:instrText>
                      </w:r>
                      <w:r w:rsidRPr="00556F7D">
                        <w:rPr>
                          <w:rFonts w:ascii="Arial" w:hAnsi="Arial" w:cs="Arial"/>
                        </w:rPr>
                        <w:fldChar w:fldCharType="separate"/>
                      </w:r>
                      <w:r w:rsidR="0005579F" w:rsidRPr="00556F7D">
                        <w:rPr>
                          <w:rFonts w:ascii="Arial" w:hAnsi="Arial" w:cs="Arial"/>
                          <w:noProof/>
                        </w:rPr>
                        <w:t>4</w:t>
                      </w:r>
                      <w:r w:rsidRPr="00556F7D">
                        <w:rPr>
                          <w:rFonts w:ascii="Arial" w:hAnsi="Arial" w:cs="Arial"/>
                        </w:rPr>
                        <w:fldChar w:fldCharType="end"/>
                      </w:r>
                      <w:r w:rsidRPr="00556F7D">
                        <w:rPr>
                          <w:rFonts w:ascii="Arial" w:hAnsi="Arial" w:cs="Arial"/>
                        </w:rPr>
                        <w:t xml:space="preserve">. </w:t>
                      </w:r>
                      <w:r w:rsidRPr="00556F7D">
                        <w:rPr>
                          <w:rFonts w:ascii="Arial" w:hAnsi="Arial" w:cs="Arial"/>
                        </w:rPr>
                        <w:t>Zinxhiri i Ndikimit të Përgjithshëm.Burimi: MMPHI, 2025.</w:t>
                      </w:r>
                      <w:bookmarkEnd w:id="20"/>
                    </w:p>
                  </w:txbxContent>
                </v:textbox>
                <w10:wrap type="square"/>
              </v:shape>
            </w:pict>
          </mc:Fallback>
        </mc:AlternateContent>
      </w:r>
      <w:r w:rsidRPr="00705B56">
        <w:rPr>
          <w:rFonts w:ascii="Arial" w:hAnsi="Arial" w:cs="Arial"/>
          <w:noProof/>
        </w:rPr>
        <w:drawing>
          <wp:anchor distT="0" distB="0" distL="114300" distR="114300" simplePos="0" relativeHeight="251779072" behindDoc="0" locked="0" layoutInCell="1" allowOverlap="1" wp14:anchorId="4694DD3A" wp14:editId="74568A3F">
            <wp:simplePos x="0" y="0"/>
            <wp:positionH relativeFrom="column">
              <wp:posOffset>320675</wp:posOffset>
            </wp:positionH>
            <wp:positionV relativeFrom="paragraph">
              <wp:posOffset>233045</wp:posOffset>
            </wp:positionV>
            <wp:extent cx="6269990" cy="3398520"/>
            <wp:effectExtent l="0" t="0" r="0" b="0"/>
            <wp:wrapSquare wrapText="bothSides"/>
            <wp:docPr id="47177702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77027" name="Imagen 20"/>
                    <pic:cNvPicPr>
                      <a:picLocks noChangeAspect="1" noChangeArrowheads="1"/>
                    </pic:cNvPicPr>
                  </pic:nvPicPr>
                  <pic:blipFill rotWithShape="1">
                    <a:blip r:embed="rId23">
                      <a:extLst>
                        <a:ext uri="{28A0092B-C50C-407E-A947-70E740481C1C}">
                          <a14:useLocalDpi xmlns:a14="http://schemas.microsoft.com/office/drawing/2010/main" val="0"/>
                        </a:ext>
                      </a:extLst>
                    </a:blip>
                    <a:srcRect t="5990" b="7826"/>
                    <a:stretch>
                      <a:fillRect/>
                    </a:stretch>
                  </pic:blipFill>
                  <pic:spPr bwMode="auto">
                    <a:xfrm>
                      <a:off x="0" y="0"/>
                      <a:ext cx="6269990" cy="3398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BB41D7" w14:textId="37008A7D" w:rsidR="00001131" w:rsidRPr="00705B56" w:rsidRDefault="00001131" w:rsidP="00001131">
      <w:pPr>
        <w:spacing w:line="240" w:lineRule="auto"/>
        <w:jc w:val="both"/>
        <w:rPr>
          <w:rFonts w:ascii="Arial" w:hAnsi="Arial" w:cs="Arial"/>
          <w:lang w:val="sq-AL"/>
        </w:rPr>
      </w:pPr>
      <w:r w:rsidRPr="00705B56">
        <w:rPr>
          <w:rFonts w:ascii="Arial" w:hAnsi="Arial" w:cs="Arial"/>
          <w:lang w:val="sq-AL"/>
        </w:rPr>
        <w:t>Kjo qasje është në përputhje me konceptin e rrezikut të përcaktuar nga IPCC, i cili e konceptualizon rrezikun si një funksion të rrezikut natyror  ekspozimit dhe ndjeshmërisë. Zinxhirët e ndikimit ndihmojnë në operacionalizimin e kësaj kornize përmes një mjeti vizual dhe analitik, i cili lehtëson identifikimin e:</w:t>
      </w:r>
    </w:p>
    <w:p w14:paraId="19D9AA60" w14:textId="6F5722DB" w:rsidR="00001131" w:rsidRPr="00705B56" w:rsidRDefault="00001131" w:rsidP="00F36447">
      <w:pPr>
        <w:pStyle w:val="ListParagraph"/>
        <w:numPr>
          <w:ilvl w:val="1"/>
          <w:numId w:val="33"/>
        </w:numPr>
        <w:spacing w:line="240" w:lineRule="auto"/>
        <w:jc w:val="both"/>
        <w:rPr>
          <w:rFonts w:ascii="Arial" w:hAnsi="Arial" w:cs="Arial"/>
          <w:lang w:val="sq-AL"/>
        </w:rPr>
      </w:pPr>
      <w:r w:rsidRPr="00705B56">
        <w:rPr>
          <w:rFonts w:ascii="Arial" w:hAnsi="Arial" w:cs="Arial"/>
          <w:lang w:val="sq-AL"/>
        </w:rPr>
        <w:t>faktorëve socio-ekonomikë dhe mjedisorë që rrisin ekspozimin dhe ndjeshmërinë;</w:t>
      </w:r>
    </w:p>
    <w:p w14:paraId="4E69F379" w14:textId="414D65B1" w:rsidR="00001131" w:rsidRPr="00705B56" w:rsidRDefault="00001131" w:rsidP="00F36447">
      <w:pPr>
        <w:pStyle w:val="ListParagraph"/>
        <w:numPr>
          <w:ilvl w:val="1"/>
          <w:numId w:val="33"/>
        </w:numPr>
        <w:spacing w:line="240" w:lineRule="auto"/>
        <w:jc w:val="both"/>
        <w:rPr>
          <w:rFonts w:ascii="Arial" w:hAnsi="Arial" w:cs="Arial"/>
          <w:lang w:val="sq-AL"/>
        </w:rPr>
      </w:pPr>
      <w:r w:rsidRPr="00705B56">
        <w:rPr>
          <w:rFonts w:ascii="Arial" w:hAnsi="Arial" w:cs="Arial"/>
          <w:lang w:val="sq-AL"/>
        </w:rPr>
        <w:t>grupeve shoqërore, aseteve dhe ekosistemeve që janë më të rrezikuara;</w:t>
      </w:r>
    </w:p>
    <w:p w14:paraId="286199F6" w14:textId="375E120B" w:rsidR="00001131" w:rsidRPr="00705B56" w:rsidRDefault="00001131" w:rsidP="00F36447">
      <w:pPr>
        <w:pStyle w:val="ListParagraph"/>
        <w:numPr>
          <w:ilvl w:val="1"/>
          <w:numId w:val="33"/>
        </w:numPr>
        <w:spacing w:line="240" w:lineRule="auto"/>
        <w:jc w:val="both"/>
        <w:rPr>
          <w:rFonts w:ascii="Arial" w:hAnsi="Arial" w:cs="Arial"/>
          <w:lang w:val="sq-AL"/>
        </w:rPr>
      </w:pPr>
      <w:r w:rsidRPr="00705B56">
        <w:rPr>
          <w:rFonts w:ascii="Arial" w:hAnsi="Arial" w:cs="Arial"/>
          <w:lang w:val="sq-AL"/>
        </w:rPr>
        <w:t>kërcënimeve klimatike të veçanta për çdo sektor dhe efekteve që ato mund të shkaktojnë në sisteme të ndërlidhura.</w:t>
      </w:r>
    </w:p>
    <w:p w14:paraId="5F0E0C61" w14:textId="3B986B79" w:rsidR="001F51DC" w:rsidRPr="00705B56" w:rsidRDefault="00001131" w:rsidP="00001131">
      <w:pPr>
        <w:spacing w:line="240" w:lineRule="auto"/>
        <w:jc w:val="both"/>
        <w:rPr>
          <w:rFonts w:ascii="Arial" w:hAnsi="Arial" w:cs="Arial"/>
          <w:lang w:val="sq-AL"/>
        </w:rPr>
      </w:pPr>
      <w:r w:rsidRPr="00705B56">
        <w:rPr>
          <w:rFonts w:ascii="Arial" w:hAnsi="Arial" w:cs="Arial"/>
          <w:lang w:val="sq-AL"/>
        </w:rPr>
        <w:t xml:space="preserve">Për qëllimet e </w:t>
      </w:r>
      <w:r w:rsidR="00C93F16" w:rsidRPr="00705B56">
        <w:rPr>
          <w:rFonts w:ascii="Arial" w:hAnsi="Arial" w:cs="Arial"/>
          <w:lang w:val="sq-AL"/>
        </w:rPr>
        <w:t>Strategjisë</w:t>
      </w:r>
      <w:r w:rsidRPr="00705B56">
        <w:rPr>
          <w:rFonts w:ascii="Arial" w:hAnsi="Arial" w:cs="Arial"/>
          <w:lang w:val="sq-AL"/>
        </w:rPr>
        <w:t xml:space="preserve">, janë zhvilluar zinxhirë ndikimi specifikë për secilin nga sektorët prioritarë. Këta zinxhirë pasqyrojnë profilet e rrezikut të veçanta për çdo sektor dhe janë përdorur si bazë për vlerësimin e ndjeshmërisë dhe për formulimin e objektivave të përshtatjes. </w:t>
      </w:r>
      <w:r w:rsidR="001F51DC" w:rsidRPr="00705B56">
        <w:rPr>
          <w:rFonts w:ascii="Arial" w:hAnsi="Arial" w:cs="Arial"/>
          <w:lang w:val="sq-AL"/>
        </w:rPr>
        <w:br w:type="page"/>
      </w:r>
    </w:p>
    <w:p w14:paraId="53D69760" w14:textId="0B14BF1A" w:rsidR="008244CF" w:rsidRPr="00705B56" w:rsidRDefault="001D4FA1" w:rsidP="008244CF">
      <w:pPr>
        <w:pStyle w:val="Heading1"/>
        <w:rPr>
          <w:rFonts w:ascii="Arial" w:hAnsi="Arial" w:cs="Arial"/>
          <w:b/>
          <w:bCs/>
          <w:color w:val="22635D"/>
          <w:lang w:val="sq-AL"/>
        </w:rPr>
      </w:pPr>
      <w:bookmarkStart w:id="19" w:name="_Toc211532682"/>
      <w:bookmarkStart w:id="20" w:name="OLE_LINK9"/>
      <w:bookmarkStart w:id="21" w:name="OLE_LINK10"/>
      <w:r w:rsidRPr="00705B56">
        <w:rPr>
          <w:rFonts w:ascii="Arial" w:hAnsi="Arial" w:cs="Arial"/>
          <w:b/>
          <w:bCs/>
          <w:color w:val="22635D"/>
          <w:lang w:val="sq-AL"/>
        </w:rPr>
        <w:lastRenderedPageBreak/>
        <w:t xml:space="preserve">IV. </w:t>
      </w:r>
      <w:r w:rsidR="00001131" w:rsidRPr="00705B56">
        <w:rPr>
          <w:rFonts w:ascii="Arial" w:hAnsi="Arial" w:cs="Arial"/>
          <w:b/>
          <w:bCs/>
          <w:color w:val="22635D"/>
          <w:lang w:val="sq-AL"/>
        </w:rPr>
        <w:t>HISTORIKU</w:t>
      </w:r>
      <w:r w:rsidR="00652F6F" w:rsidRPr="00705B56">
        <w:rPr>
          <w:rFonts w:ascii="Arial" w:hAnsi="Arial" w:cs="Arial"/>
          <w:b/>
          <w:bCs/>
          <w:color w:val="22635D"/>
          <w:lang w:val="sq-AL"/>
        </w:rPr>
        <w:t xml:space="preserve"> &amp; KAPITULLI SHKENCOR</w:t>
      </w:r>
      <w:bookmarkEnd w:id="19"/>
    </w:p>
    <w:p w14:paraId="006160AA" w14:textId="6B006AD2" w:rsidR="001A77F8" w:rsidRPr="00705B56" w:rsidRDefault="00001131" w:rsidP="008E17FD">
      <w:pPr>
        <w:spacing w:line="240" w:lineRule="auto"/>
        <w:jc w:val="both"/>
        <w:rPr>
          <w:rFonts w:ascii="Arial" w:hAnsi="Arial" w:cs="Arial"/>
          <w:lang w:val="sq-AL"/>
        </w:rPr>
      </w:pPr>
      <w:r w:rsidRPr="00705B56">
        <w:rPr>
          <w:rFonts w:ascii="Arial" w:hAnsi="Arial" w:cs="Arial"/>
          <w:lang w:val="sq-AL"/>
        </w:rPr>
        <w:t>Ky kapitull ofron një pasqyrë të përgjithshme të vendosjes gjeografike të Kosovës, kushteve klimatike dhe ndikimeve rajonale, të cilat përcaktojnë ekspozimin e vendit ndaj rreziqeve klimatike dhe cenueshmërinë e tij në të gjithë sektorët. E formuar nga pozicioni i saj në Ballkanin Perëndimor dhe topografia e saj e larmishme, klima e Kosovës paraqet ndryshueshmëri të konsiderueshme hapësinore dhe kohore. Njohja e këtyre faktorëve është kritike për kontekstualizimin e vlerësimit të rrezikut dhe identifikimin e veprimeve prioritare të përshtatjes</w:t>
      </w:r>
      <w:r w:rsidR="001A77F8" w:rsidRPr="00705B56">
        <w:rPr>
          <w:rFonts w:ascii="Arial" w:hAnsi="Arial" w:cs="Arial"/>
          <w:lang w:val="sq-AL"/>
        </w:rPr>
        <w:t>.</w:t>
      </w:r>
    </w:p>
    <w:p w14:paraId="6979011F" w14:textId="77777777" w:rsidR="008244CF" w:rsidRPr="00705B56" w:rsidRDefault="008244CF" w:rsidP="008244CF">
      <w:pPr>
        <w:pStyle w:val="Heading2"/>
        <w:spacing w:after="160"/>
        <w:rPr>
          <w:rFonts w:ascii="Arial" w:hAnsi="Arial" w:cs="Arial"/>
          <w:lang w:val="de-DE"/>
        </w:rPr>
      </w:pPr>
      <w:bookmarkStart w:id="22" w:name="_Toc211532683"/>
      <w:r w:rsidRPr="00705B56">
        <w:rPr>
          <w:rFonts w:ascii="Arial" w:hAnsi="Arial" w:cs="Arial"/>
          <w:lang w:val="de-DE"/>
        </w:rPr>
        <w:t>Historiku</w:t>
      </w:r>
      <w:bookmarkEnd w:id="22"/>
    </w:p>
    <w:p w14:paraId="622CEB29" w14:textId="77777777" w:rsidR="008244CF" w:rsidRPr="00705B56" w:rsidRDefault="008244CF" w:rsidP="008244CF">
      <w:pPr>
        <w:pStyle w:val="Heading3"/>
        <w:rPr>
          <w:rFonts w:ascii="Arial" w:hAnsi="Arial" w:cs="Arial"/>
          <w:lang w:val="de-DE"/>
        </w:rPr>
      </w:pPr>
      <w:bookmarkStart w:id="23" w:name="_Toc211532684"/>
      <w:r w:rsidRPr="00705B56">
        <w:rPr>
          <w:rFonts w:ascii="Arial" w:hAnsi="Arial" w:cs="Arial"/>
          <w:lang w:val="de-DE"/>
        </w:rPr>
        <w:t>Gjendja aktuale dhe përkufizimi i problemit</w:t>
      </w:r>
      <w:bookmarkEnd w:id="23"/>
    </w:p>
    <w:p w14:paraId="7046691F" w14:textId="77777777" w:rsidR="008244CF" w:rsidRPr="00705B56" w:rsidRDefault="008244CF" w:rsidP="008244CF">
      <w:pPr>
        <w:jc w:val="both"/>
        <w:rPr>
          <w:rFonts w:ascii="Arial" w:hAnsi="Arial" w:cs="Arial"/>
          <w:lang w:val="de-DE"/>
        </w:rPr>
      </w:pPr>
      <w:r w:rsidRPr="00705B56">
        <w:rPr>
          <w:rFonts w:ascii="Arial" w:hAnsi="Arial" w:cs="Arial"/>
          <w:lang w:val="de-DE"/>
        </w:rPr>
        <w:t xml:space="preserve">Kosova po përjeton një rritje të dukshme të temperaturave mesatare, të vlerësuar rreth </w:t>
      </w:r>
      <w:r w:rsidRPr="00705B56">
        <w:rPr>
          <w:rFonts w:ascii="Arial" w:hAnsi="Arial" w:cs="Arial"/>
          <w:b/>
          <w:bCs/>
          <w:lang w:val="de-DE"/>
        </w:rPr>
        <w:t>1.2°C</w:t>
      </w:r>
      <w:r w:rsidRPr="00705B56">
        <w:rPr>
          <w:rFonts w:ascii="Arial" w:hAnsi="Arial" w:cs="Arial"/>
          <w:lang w:val="de-DE"/>
        </w:rPr>
        <w:t xml:space="preserve"> që nga mesi i shekullit të njëzetë. Ky trend ngrohjeje shoqërohet me valë të nxehti më të shpeshta dhe më intensive, temperatura më të larta gjatë natës, si dhe kërkesë në rritje për ujë dhe energji. Edhe pse sasia totale e reshjeve vjetore nuk ka ndryshuar ndjeshëm, shpërndarja e tyre hapësinore dhe kohore është bërë gjithnjë e më e parregullt. Periudhat e gjata të thatësisë tashmë ndërpriten shpesh nga reshje të shkurtra, me intensitet të lartë, që shkaktojnë përmbytje të rrëmbyeshme. Paralelisht, rreziku nga zjarret në pyje është rritur gjatë muajve të nxehtë e të thatë të verës, ndërsa ndjeshmëria ndaj rrëshqitjeve të dheut mbetet e lartë në rajonet malore të vendit. Këto ndryshime, të kombinuara me dendësinë e lartë të popullsisë dhe aktivitetet ekonomike në ultësirat urbane dhe përgjatë luginave lumore, krijojnë një mozaik të ndërlikuar të cenueshmërisë klimatike.</w:t>
      </w:r>
    </w:p>
    <w:p w14:paraId="583BB34F" w14:textId="77777777" w:rsidR="008244CF" w:rsidRPr="00705B56" w:rsidRDefault="008244CF" w:rsidP="008244CF">
      <w:pPr>
        <w:jc w:val="both"/>
        <w:rPr>
          <w:rFonts w:ascii="Arial" w:hAnsi="Arial" w:cs="Arial"/>
          <w:lang w:val="de-DE"/>
        </w:rPr>
      </w:pPr>
      <w:r w:rsidRPr="00705B56">
        <w:rPr>
          <w:rFonts w:ascii="Arial" w:hAnsi="Arial" w:cs="Arial"/>
          <w:lang w:val="de-DE"/>
        </w:rPr>
        <w:t>Problemi kryesor që përballet vendi është se intensiteti dhe paqëndrueshmëria gjithnjë në rritje e rreziqeve klimatike — që variojnë nga të nxehtit ekstrem dhe përmbytjet, deri te thatësirat, zjarret në pyje dhe rrëshqitjet e dheut — po tejkalojnë kapacitetet ekzistuese të menaxhimit të rrezikut në Kosovë. Ky zhvillim paraqet një kërcënim të konsiderueshëm për zhvillimin afatgjatë socio-ekonomik të vendit dhe aftësinë e tij për të mbrojtur komunitetet dhe infrastrukturën.</w:t>
      </w:r>
    </w:p>
    <w:p w14:paraId="055AD105" w14:textId="0C86BB51" w:rsidR="008244CF" w:rsidRPr="00705B56" w:rsidRDefault="00BB1ABA" w:rsidP="008244CF">
      <w:pPr>
        <w:pStyle w:val="Heading3"/>
        <w:rPr>
          <w:rFonts w:ascii="Arial" w:hAnsi="Arial" w:cs="Arial"/>
          <w:lang w:val="de-DE"/>
        </w:rPr>
      </w:pPr>
      <w:bookmarkStart w:id="24" w:name="_Toc211532685"/>
      <w:r>
        <w:rPr>
          <w:rFonts w:ascii="Arial" w:hAnsi="Arial" w:cs="Arial"/>
          <w:lang w:val="de-DE"/>
        </w:rPr>
        <w:t>Pë</w:t>
      </w:r>
      <w:r w:rsidRPr="00BB1ABA">
        <w:rPr>
          <w:rFonts w:ascii="Arial" w:hAnsi="Arial" w:cs="Arial"/>
          <w:lang w:val="de-DE"/>
        </w:rPr>
        <w:t>rshkallezimi</w:t>
      </w:r>
      <w:r w:rsidR="008244CF" w:rsidRPr="00705B56">
        <w:rPr>
          <w:rFonts w:ascii="Arial" w:hAnsi="Arial" w:cs="Arial"/>
          <w:lang w:val="de-DE"/>
        </w:rPr>
        <w:t xml:space="preserve"> i problemit me kalimin e kohës</w:t>
      </w:r>
      <w:bookmarkEnd w:id="24"/>
    </w:p>
    <w:p w14:paraId="08114ED6" w14:textId="77777777" w:rsidR="008244CF" w:rsidRPr="00705B56" w:rsidRDefault="008244CF" w:rsidP="008244CF">
      <w:pPr>
        <w:jc w:val="both"/>
        <w:rPr>
          <w:rFonts w:ascii="Arial" w:hAnsi="Arial" w:cs="Arial"/>
          <w:lang w:val="de-DE"/>
        </w:rPr>
      </w:pPr>
      <w:r w:rsidRPr="00705B56">
        <w:rPr>
          <w:rFonts w:ascii="Arial" w:hAnsi="Arial" w:cs="Arial"/>
          <w:lang w:val="de-DE"/>
        </w:rPr>
        <w:t xml:space="preserve">Gjatë pesë dekadave të fundit, të dhënat klimatike tregojnë një trend të qëndrueshëm ngrohjeje prej rreth 1.2°C, ku çdo dekadë e re është më e ngrohtë se e mëparshmja. Valët e të nxehtit janë bërë më të gjata dhe më intensive, me një numër gjithnjë e më të madh ditësh që tejkalojnë 35°C, veçanërisht pas vitit 2000. Vëzhgimet tregojnë se modelet e reshjeve janë bërë më të parregullta, të karakterizuara nga periudha të zgjatura thatësie gjatë verës dhe rritje të reshjeve të shkurtra me intensitet të lartë. Vlerësimet hidrologjike tregojnë se rreth </w:t>
      </w:r>
      <w:r w:rsidRPr="00705B56">
        <w:rPr>
          <w:rFonts w:ascii="Arial" w:hAnsi="Arial" w:cs="Arial"/>
          <w:b/>
          <w:bCs/>
          <w:lang w:val="de-DE"/>
        </w:rPr>
        <w:t>491 kilometra</w:t>
      </w:r>
      <w:r w:rsidRPr="00705B56">
        <w:rPr>
          <w:rFonts w:ascii="Arial" w:hAnsi="Arial" w:cs="Arial"/>
          <w:lang w:val="de-DE"/>
        </w:rPr>
        <w:t xml:space="preserve"> të lumenjve të Kosovës përballen me rrezik të shpeshtë përmbytjeje, ndërsa përmbytjet e mëdha kombëtare në vitet </w:t>
      </w:r>
      <w:r w:rsidRPr="00705B56">
        <w:rPr>
          <w:rFonts w:ascii="Arial" w:hAnsi="Arial" w:cs="Arial"/>
          <w:b/>
          <w:bCs/>
          <w:lang w:val="de-DE"/>
        </w:rPr>
        <w:t>2013, 2014 dhe 2016</w:t>
      </w:r>
      <w:r w:rsidRPr="00705B56">
        <w:rPr>
          <w:rFonts w:ascii="Arial" w:hAnsi="Arial" w:cs="Arial"/>
          <w:lang w:val="de-DE"/>
        </w:rPr>
        <w:t xml:space="preserve"> kanë shkaktuar dëme që arrijnë miliona euro. Vetëm në </w:t>
      </w:r>
      <w:r w:rsidRPr="00705B56">
        <w:rPr>
          <w:rFonts w:ascii="Arial" w:hAnsi="Arial" w:cs="Arial"/>
          <w:b/>
          <w:bCs/>
          <w:lang w:val="de-DE"/>
        </w:rPr>
        <w:t>janar 2023</w:t>
      </w:r>
      <w:r w:rsidRPr="00705B56">
        <w:rPr>
          <w:rFonts w:ascii="Arial" w:hAnsi="Arial" w:cs="Arial"/>
          <w:lang w:val="de-DE"/>
        </w:rPr>
        <w:t xml:space="preserve">, përmbytjet e rënda në Skenderaj shkaktuan dëme të vlerësuara në </w:t>
      </w:r>
      <w:r w:rsidRPr="00705B56">
        <w:rPr>
          <w:rFonts w:ascii="Arial" w:hAnsi="Arial" w:cs="Arial"/>
          <w:b/>
          <w:bCs/>
          <w:lang w:val="de-DE"/>
        </w:rPr>
        <w:t>rreth 12 milionë euro</w:t>
      </w:r>
      <w:r w:rsidRPr="00705B56">
        <w:rPr>
          <w:rFonts w:ascii="Arial" w:hAnsi="Arial" w:cs="Arial"/>
          <w:lang w:val="de-DE"/>
        </w:rPr>
        <w:t>.</w:t>
      </w:r>
    </w:p>
    <w:p w14:paraId="1B0A2D0E" w14:textId="77777777" w:rsidR="008244CF" w:rsidRPr="00705B56" w:rsidRDefault="008244CF" w:rsidP="008244CF">
      <w:pPr>
        <w:jc w:val="both"/>
        <w:rPr>
          <w:rFonts w:ascii="Arial" w:hAnsi="Arial" w:cs="Arial"/>
          <w:lang w:val="de-DE"/>
        </w:rPr>
      </w:pPr>
      <w:r w:rsidRPr="00705B56">
        <w:rPr>
          <w:rFonts w:ascii="Arial" w:hAnsi="Arial" w:cs="Arial"/>
          <w:lang w:val="de-DE"/>
        </w:rPr>
        <w:t xml:space="preserve">Thatësirat janë bërë më të përhapura, ku rreth </w:t>
      </w:r>
      <w:r w:rsidRPr="00705B56">
        <w:rPr>
          <w:rFonts w:ascii="Arial" w:hAnsi="Arial" w:cs="Arial"/>
          <w:b/>
          <w:bCs/>
          <w:lang w:val="de-DE"/>
        </w:rPr>
        <w:t>80 për qind e komunave</w:t>
      </w:r>
      <w:r w:rsidRPr="00705B56">
        <w:rPr>
          <w:rFonts w:ascii="Arial" w:hAnsi="Arial" w:cs="Arial"/>
          <w:lang w:val="de-DE"/>
        </w:rPr>
        <w:t xml:space="preserve"> kanë përjetuar mungesë uji që nga viti 2004, shumica e të cilave raportojnë përkeqësim të situatës në vitet e fundit. Zjarret në pyje janë gjithashtu në rritje si për nga frekuenca, ashtu edhe për nga ashpërsia, veçanërisht në fund të pranverës dhe gjatë verës, duke ndikuar në pothuajse gjysmën e sipërfaqes pyjore të vendit. Në vitin </w:t>
      </w:r>
      <w:r w:rsidRPr="00705B56">
        <w:rPr>
          <w:rFonts w:ascii="Arial" w:hAnsi="Arial" w:cs="Arial"/>
          <w:b/>
          <w:bCs/>
          <w:lang w:val="de-DE"/>
        </w:rPr>
        <w:t>2021</w:t>
      </w:r>
      <w:r w:rsidRPr="00705B56">
        <w:rPr>
          <w:rFonts w:ascii="Arial" w:hAnsi="Arial" w:cs="Arial"/>
          <w:lang w:val="de-DE"/>
        </w:rPr>
        <w:t xml:space="preserve"> janë regjistruar </w:t>
      </w:r>
      <w:r w:rsidRPr="00705B56">
        <w:rPr>
          <w:rFonts w:ascii="Arial" w:hAnsi="Arial" w:cs="Arial"/>
          <w:b/>
          <w:bCs/>
          <w:lang w:val="de-DE"/>
        </w:rPr>
        <w:t>92 zjarre</w:t>
      </w:r>
      <w:r w:rsidRPr="00705B56">
        <w:rPr>
          <w:rFonts w:ascii="Arial" w:hAnsi="Arial" w:cs="Arial"/>
          <w:lang w:val="de-DE"/>
        </w:rPr>
        <w:t xml:space="preserve">, të cilat kanë djegur </w:t>
      </w:r>
      <w:r w:rsidRPr="00705B56">
        <w:rPr>
          <w:rFonts w:ascii="Arial" w:hAnsi="Arial" w:cs="Arial"/>
          <w:b/>
          <w:bCs/>
          <w:lang w:val="de-DE"/>
        </w:rPr>
        <w:t>7,580 hektarë</w:t>
      </w:r>
      <w:r w:rsidRPr="00705B56">
        <w:rPr>
          <w:rFonts w:ascii="Arial" w:hAnsi="Arial" w:cs="Arial"/>
          <w:lang w:val="de-DE"/>
        </w:rPr>
        <w:t xml:space="preserve"> tokë. Rreth </w:t>
      </w:r>
      <w:r w:rsidRPr="00705B56">
        <w:rPr>
          <w:rFonts w:ascii="Arial" w:hAnsi="Arial" w:cs="Arial"/>
          <w:b/>
          <w:bCs/>
          <w:lang w:val="de-DE"/>
        </w:rPr>
        <w:t>47.9 për qind</w:t>
      </w:r>
      <w:r w:rsidRPr="00705B56">
        <w:rPr>
          <w:rFonts w:ascii="Arial" w:hAnsi="Arial" w:cs="Arial"/>
          <w:lang w:val="de-DE"/>
        </w:rPr>
        <w:t xml:space="preserve"> e territorit të Kosovës klasifikohet si zonë me rrezik të lartë ose shumë të lartë për rrëshqitje dheu, sidomos në komunat perëndimore dhe jugore, ndërsa rreth </w:t>
      </w:r>
      <w:r w:rsidRPr="00705B56">
        <w:rPr>
          <w:rFonts w:ascii="Arial" w:hAnsi="Arial" w:cs="Arial"/>
          <w:b/>
          <w:bCs/>
          <w:lang w:val="de-DE"/>
        </w:rPr>
        <w:t>1.3 për qind</w:t>
      </w:r>
      <w:r w:rsidRPr="00705B56">
        <w:rPr>
          <w:rFonts w:ascii="Arial" w:hAnsi="Arial" w:cs="Arial"/>
          <w:lang w:val="de-DE"/>
        </w:rPr>
        <w:t xml:space="preserve"> e popullsisë dhe </w:t>
      </w:r>
      <w:r w:rsidRPr="00705B56">
        <w:rPr>
          <w:rFonts w:ascii="Arial" w:hAnsi="Arial" w:cs="Arial"/>
          <w:b/>
          <w:bCs/>
          <w:lang w:val="de-DE"/>
        </w:rPr>
        <w:t>1.35 për qind</w:t>
      </w:r>
      <w:r w:rsidRPr="00705B56">
        <w:rPr>
          <w:rFonts w:ascii="Arial" w:hAnsi="Arial" w:cs="Arial"/>
          <w:lang w:val="de-DE"/>
        </w:rPr>
        <w:t xml:space="preserve"> e zonave të ndërtuara parashikohet të mbeten të ekspozuara deri në </w:t>
      </w:r>
      <w:r w:rsidRPr="00705B56">
        <w:rPr>
          <w:rFonts w:ascii="Arial" w:hAnsi="Arial" w:cs="Arial"/>
          <w:b/>
          <w:bCs/>
          <w:lang w:val="de-DE"/>
        </w:rPr>
        <w:t>vitin 2030</w:t>
      </w:r>
      <w:r w:rsidRPr="00705B56">
        <w:rPr>
          <w:rFonts w:ascii="Arial" w:hAnsi="Arial" w:cs="Arial"/>
          <w:lang w:val="de-DE"/>
        </w:rPr>
        <w:t>.</w:t>
      </w:r>
    </w:p>
    <w:p w14:paraId="706F263C" w14:textId="77777777" w:rsidR="008244CF" w:rsidRPr="00705B56" w:rsidRDefault="008244CF" w:rsidP="008244CF">
      <w:pPr>
        <w:jc w:val="both"/>
        <w:rPr>
          <w:rFonts w:ascii="Arial" w:hAnsi="Arial" w:cs="Arial"/>
          <w:lang w:val="de-DE"/>
        </w:rPr>
      </w:pPr>
      <w:r w:rsidRPr="00705B56">
        <w:rPr>
          <w:rFonts w:ascii="Arial" w:hAnsi="Arial" w:cs="Arial"/>
          <w:lang w:val="de-DE"/>
        </w:rPr>
        <w:t xml:space="preserve">Vlerësimet ekonomike tregojnë humbje mesatare vjetore nga përmbytjet rreth </w:t>
      </w:r>
      <w:r w:rsidRPr="00705B56">
        <w:rPr>
          <w:rFonts w:ascii="Arial" w:hAnsi="Arial" w:cs="Arial"/>
          <w:b/>
          <w:bCs/>
          <w:lang w:val="de-DE"/>
        </w:rPr>
        <w:t>58 milionë dollarë amerikanë</w:t>
      </w:r>
      <w:r w:rsidRPr="00705B56">
        <w:rPr>
          <w:rFonts w:ascii="Arial" w:hAnsi="Arial" w:cs="Arial"/>
          <w:lang w:val="de-DE"/>
        </w:rPr>
        <w:t xml:space="preserve">, ndërsa projeksionet sinjalizojnë rritje të humbjeve nën të gjitha skenarët e ardhshëm klimatikë. Modelet makroekonomike sugjerojnë se, në mungesë të masave të adaptimit, rreziqet klimatike mund të </w:t>
      </w:r>
      <w:r w:rsidRPr="00705B56">
        <w:rPr>
          <w:rFonts w:ascii="Arial" w:hAnsi="Arial" w:cs="Arial"/>
          <w:lang w:val="de-DE"/>
        </w:rPr>
        <w:lastRenderedPageBreak/>
        <w:t xml:space="preserve">ulin Prodhimin e Brendshëm Bruto të vendit deri në </w:t>
      </w:r>
      <w:r w:rsidRPr="00705B56">
        <w:rPr>
          <w:rFonts w:ascii="Arial" w:hAnsi="Arial" w:cs="Arial"/>
          <w:b/>
          <w:bCs/>
          <w:lang w:val="de-DE"/>
        </w:rPr>
        <w:t>5.1 për qind deri në vitin 2050</w:t>
      </w:r>
      <w:r w:rsidRPr="00705B56">
        <w:rPr>
          <w:rFonts w:ascii="Arial" w:hAnsi="Arial" w:cs="Arial"/>
          <w:lang w:val="de-DE"/>
        </w:rPr>
        <w:t>. Këto ndikime burojnë kryesisht nga përmbytjet lumore, efektet e thatësirës në bujqësi dhe stresi termik mbi produktivitetin e punës.</w:t>
      </w:r>
    </w:p>
    <w:p w14:paraId="731AB5D1" w14:textId="77777777" w:rsidR="008244CF" w:rsidRPr="00705B56" w:rsidRDefault="008244CF" w:rsidP="008244CF">
      <w:pPr>
        <w:pStyle w:val="Heading3"/>
        <w:rPr>
          <w:rFonts w:ascii="Arial" w:hAnsi="Arial" w:cs="Arial"/>
          <w:lang w:val="de-DE"/>
        </w:rPr>
      </w:pPr>
      <w:bookmarkStart w:id="25" w:name="_Toc211532686"/>
      <w:r w:rsidRPr="00705B56">
        <w:rPr>
          <w:rFonts w:ascii="Arial" w:hAnsi="Arial" w:cs="Arial"/>
          <w:color w:val="0F4761"/>
          <w:lang w:val="de-DE"/>
        </w:rPr>
        <w:t>Krahasimi ndërkombëtar dhe standardet përkatëse</w:t>
      </w:r>
      <w:bookmarkEnd w:id="25"/>
    </w:p>
    <w:p w14:paraId="62BE1407" w14:textId="77777777" w:rsidR="008244CF" w:rsidRPr="00705B56" w:rsidRDefault="008244CF" w:rsidP="008244CF">
      <w:pPr>
        <w:jc w:val="both"/>
        <w:rPr>
          <w:rFonts w:ascii="Arial" w:hAnsi="Arial" w:cs="Arial"/>
          <w:lang w:val="de-DE"/>
        </w:rPr>
      </w:pPr>
      <w:r w:rsidRPr="00705B56">
        <w:rPr>
          <w:rFonts w:ascii="Arial" w:hAnsi="Arial" w:cs="Arial"/>
          <w:lang w:val="de-DE"/>
        </w:rPr>
        <w:t>Trajektorja klimatike e vërejtur në Kosovë pasqyron modelet rajonale në Ballkanin Perëndimor, ku ngrohja ka tejkaluar mesataren globale dhe ekstremet e reshjeve janë bërë më të shpeshta. Shkalla e ngrohjes në Kosovë është e përputhshme me mesataren rajonale, por vendi është më i ekspozuar ndaj ndikimeve klimatike për shkak të urbanizimit të dendur në luginat lumore dhe infrastrukturës së kufizuar të drenazhimit dhe kontrollit të përmbytjeve.</w:t>
      </w:r>
    </w:p>
    <w:p w14:paraId="3113292F" w14:textId="77777777" w:rsidR="008244CF" w:rsidRPr="00705B56" w:rsidRDefault="008244CF" w:rsidP="008244CF">
      <w:pPr>
        <w:jc w:val="both"/>
        <w:rPr>
          <w:rFonts w:ascii="Arial" w:hAnsi="Arial" w:cs="Arial"/>
          <w:lang w:val="de-DE"/>
        </w:rPr>
      </w:pPr>
      <w:r w:rsidRPr="00705B56">
        <w:rPr>
          <w:rFonts w:ascii="Arial" w:hAnsi="Arial" w:cs="Arial"/>
          <w:lang w:val="de-DE"/>
        </w:rPr>
        <w:t>Konteksti i Kosovës paraqet disa karakteristika unike. Lumenjtë me pellgje të vogla dhe të pjerrëta reagojnë me shpejtësi ndaj reshjeve, duke rritur frekuencën e përmbytjeve të rrëmbyeshme. Vendbanimet dhe infrastruktura janë zhvilluar shumë afër shtretërve lumorë, ndërsa varësia e vendit nga qymyri për prodhimin e energjisë e përkeqëson efektin e “ishujve të nxehtësisë” në zonat urbane. Një kufizim tjetër mbetet mungesa historike e të dhënave afatgjata mjedisore, të nevojshme për modelimin gjithëpërfshirës të rreziqeve natyrore.</w:t>
      </w:r>
    </w:p>
    <w:p w14:paraId="471FC558" w14:textId="77777777" w:rsidR="008244CF" w:rsidRPr="00705B56" w:rsidRDefault="008244CF" w:rsidP="008244CF">
      <w:pPr>
        <w:jc w:val="both"/>
        <w:rPr>
          <w:rFonts w:ascii="Arial" w:hAnsi="Arial" w:cs="Arial"/>
          <w:lang w:val="de-DE"/>
        </w:rPr>
      </w:pPr>
      <w:r w:rsidRPr="00705B56">
        <w:rPr>
          <w:rFonts w:ascii="Arial" w:hAnsi="Arial" w:cs="Arial"/>
          <w:lang w:val="de-DE"/>
        </w:rPr>
        <w:t xml:space="preserve">Ky vlerësim është në përputhje me kuadrot kryesore ndërkombëtare, përfshirë </w:t>
      </w:r>
      <w:r w:rsidRPr="00705B56">
        <w:rPr>
          <w:rFonts w:ascii="Arial" w:hAnsi="Arial" w:cs="Arial"/>
          <w:b/>
          <w:bCs/>
          <w:lang w:val="de-DE"/>
        </w:rPr>
        <w:t>Raportin e Gjashtë të Vlerësimit të IPCC (AR6)</w:t>
      </w:r>
      <w:r w:rsidRPr="00705B56">
        <w:rPr>
          <w:rFonts w:ascii="Arial" w:hAnsi="Arial" w:cs="Arial"/>
          <w:lang w:val="de-DE"/>
        </w:rPr>
        <w:t xml:space="preserve">, </w:t>
      </w:r>
      <w:r w:rsidRPr="00705B56">
        <w:rPr>
          <w:rFonts w:ascii="Arial" w:hAnsi="Arial" w:cs="Arial"/>
          <w:b/>
          <w:bCs/>
          <w:lang w:val="de-DE"/>
        </w:rPr>
        <w:t>Kornizën e Sendait për Reduktimin e Rreziqeve nga Fatkeqësitë</w:t>
      </w:r>
      <w:r w:rsidRPr="00705B56">
        <w:rPr>
          <w:rFonts w:ascii="Arial" w:hAnsi="Arial" w:cs="Arial"/>
          <w:lang w:val="de-DE"/>
        </w:rPr>
        <w:t xml:space="preserve">, dhe </w:t>
      </w:r>
      <w:r w:rsidRPr="00705B56">
        <w:rPr>
          <w:rFonts w:ascii="Arial" w:hAnsi="Arial" w:cs="Arial"/>
          <w:b/>
          <w:bCs/>
          <w:lang w:val="de-DE"/>
        </w:rPr>
        <w:t>Direktivën e BE-së për Përmbytjet (2007/60/EC)</w:t>
      </w:r>
      <w:r w:rsidRPr="00705B56">
        <w:rPr>
          <w:rFonts w:ascii="Arial" w:hAnsi="Arial" w:cs="Arial"/>
          <w:lang w:val="de-DE"/>
        </w:rPr>
        <w:t xml:space="preserve">, e cila kërkon hartëzimin e rreziqeve dhe hartimin e planeve të menaxhimit. Metodologjitë e aplikuara në Kosovë mbështeten gjithashtu në udhëzimet e </w:t>
      </w:r>
      <w:r w:rsidRPr="00705B56">
        <w:rPr>
          <w:rFonts w:ascii="Arial" w:hAnsi="Arial" w:cs="Arial"/>
          <w:b/>
          <w:bCs/>
          <w:lang w:val="de-DE"/>
        </w:rPr>
        <w:t>Portalit të Njohurive për Ndryshimet Klimatike të Bankës Botërore</w:t>
      </w:r>
      <w:r w:rsidRPr="00705B56">
        <w:rPr>
          <w:rFonts w:ascii="Arial" w:hAnsi="Arial" w:cs="Arial"/>
          <w:lang w:val="de-DE"/>
        </w:rPr>
        <w:t xml:space="preserve"> dhe </w:t>
      </w:r>
      <w:r w:rsidRPr="00705B56">
        <w:rPr>
          <w:rFonts w:ascii="Arial" w:hAnsi="Arial" w:cs="Arial"/>
          <w:b/>
          <w:bCs/>
          <w:lang w:val="de-DE"/>
        </w:rPr>
        <w:t>Kornizës së Investimeve për Ballkanin Perëndimor (WBIF)</w:t>
      </w:r>
      <w:r w:rsidRPr="00705B56">
        <w:rPr>
          <w:rFonts w:ascii="Arial" w:hAnsi="Arial" w:cs="Arial"/>
          <w:lang w:val="de-DE"/>
        </w:rPr>
        <w:t>. Krahasuar me vendet fqinje, sistemet e monitorimit dhe analizës së të dhënave në Kosovë janë të përputhshme me standardet rajonale, megjithëse mbeten boshllëqe të konsiderueshme në mirëmbajtjen e infrastrukturës së drenazhimit, menaxhimin e zonave përmbytëse dhe zbatimin e planeve hapësinore.</w:t>
      </w:r>
    </w:p>
    <w:p w14:paraId="28E28F92" w14:textId="77777777" w:rsidR="008244CF" w:rsidRPr="00705B56" w:rsidRDefault="008244CF" w:rsidP="008244CF">
      <w:pPr>
        <w:pStyle w:val="Heading3"/>
        <w:rPr>
          <w:rFonts w:ascii="Arial" w:hAnsi="Arial" w:cs="Arial"/>
          <w:lang w:val="en"/>
        </w:rPr>
      </w:pPr>
      <w:bookmarkStart w:id="26" w:name="_Toc211532687"/>
      <w:r w:rsidRPr="00705B56">
        <w:rPr>
          <w:rFonts w:ascii="Arial" w:hAnsi="Arial" w:cs="Arial"/>
          <w:lang w:val="en"/>
        </w:rPr>
        <w:t>Shkaqet dhe faktorët ndikues</w:t>
      </w:r>
      <w:bookmarkEnd w:id="26"/>
    </w:p>
    <w:p w14:paraId="2A39E0CE" w14:textId="5F3C2BC7" w:rsidR="008244CF" w:rsidRPr="00705B56" w:rsidRDefault="008244CF" w:rsidP="00C62DE9">
      <w:pPr>
        <w:jc w:val="both"/>
        <w:rPr>
          <w:rFonts w:ascii="Arial" w:hAnsi="Arial" w:cs="Arial"/>
        </w:rPr>
      </w:pPr>
      <w:r w:rsidRPr="00705B56">
        <w:rPr>
          <w:rFonts w:ascii="Arial" w:hAnsi="Arial" w:cs="Arial"/>
        </w:rPr>
        <w:t xml:space="preserve">Shkaktari kryesor i rreziqeve të identifikuara është </w:t>
      </w:r>
      <w:r w:rsidRPr="00705B56">
        <w:rPr>
          <w:rFonts w:ascii="Arial" w:hAnsi="Arial" w:cs="Arial"/>
          <w:b/>
          <w:bCs/>
        </w:rPr>
        <w:t>ndryshimi global i klimës</w:t>
      </w:r>
      <w:r w:rsidRPr="00705B56">
        <w:rPr>
          <w:rFonts w:ascii="Arial" w:hAnsi="Arial" w:cs="Arial"/>
        </w:rPr>
        <w:t>, i cili manifestohet përmes rritjes së temperaturave, ndryshimit të modeleve të reshjeve dhe shtimit të ekstremeve klimatike. Topografia dhe përdorimi i tokës në Kosovë i përkeqësojnë këto rreziqe, pasi ultësirat e dendura me popullsi dhe shpatet e zhveshura malore rrisin ekspozimin dhe ulin kapacitetin natyror të thithjes e mbajtjes së ujit. Sfida të shumta në menaxhimin e ujërave, përfshirë kapacitetet e pamjaftueshme të drenazhimit, sedimentimin dhe mungesën e mirëmbajtjes së infrastrukturës mbrojtëse, kontribuojnë në përsëritjen e përmbytjeve dhe erozionit. Urbanizimi i shpejtë dhe shpesh i pakontrolluar ka intensifikuar rrjedhjen sipërfaqësore dhe ekspozimin ndaj rreziqeve klimatike, ndërsa fragmentimi institucional dhe zbatimi i dobët i legjislacionit mjedisor pengojnë një reagim të koordinuar adaptues.</w:t>
      </w:r>
    </w:p>
    <w:p w14:paraId="07EE62A3" w14:textId="55ACBD38" w:rsidR="00C62DE9" w:rsidRPr="00C62DE9" w:rsidRDefault="00C62DE9" w:rsidP="00C62DE9">
      <w:pPr>
        <w:pStyle w:val="Caption"/>
        <w:keepNext/>
        <w:rPr>
          <w:rFonts w:ascii="Arial" w:hAnsi="Arial" w:cs="Arial"/>
        </w:rPr>
      </w:pPr>
      <w:r w:rsidRPr="00C62DE9">
        <w:rPr>
          <w:rFonts w:ascii="Arial" w:hAnsi="Arial" w:cs="Arial"/>
        </w:rPr>
        <w:t xml:space="preserve">Tabela </w:t>
      </w:r>
      <w:r w:rsidRPr="00C62DE9">
        <w:rPr>
          <w:rFonts w:ascii="Arial" w:hAnsi="Arial" w:cs="Arial"/>
        </w:rPr>
        <w:fldChar w:fldCharType="begin"/>
      </w:r>
      <w:r w:rsidRPr="00C62DE9">
        <w:rPr>
          <w:rFonts w:ascii="Arial" w:hAnsi="Arial" w:cs="Arial"/>
        </w:rPr>
        <w:instrText xml:space="preserve"> SEQ Tabela \* ARABIC </w:instrText>
      </w:r>
      <w:r w:rsidRPr="00C62DE9">
        <w:rPr>
          <w:rFonts w:ascii="Arial" w:hAnsi="Arial" w:cs="Arial"/>
        </w:rPr>
        <w:fldChar w:fldCharType="separate"/>
      </w:r>
      <w:r w:rsidRPr="00C62DE9">
        <w:rPr>
          <w:rFonts w:ascii="Arial" w:hAnsi="Arial" w:cs="Arial"/>
          <w:noProof/>
        </w:rPr>
        <w:t>1</w:t>
      </w:r>
      <w:r w:rsidRPr="00C62DE9">
        <w:rPr>
          <w:rFonts w:ascii="Arial" w:hAnsi="Arial" w:cs="Arial"/>
        </w:rPr>
        <w:fldChar w:fldCharType="end"/>
      </w:r>
      <w:r w:rsidRPr="00C62DE9">
        <w:rPr>
          <w:rFonts w:ascii="Arial" w:hAnsi="Arial" w:cs="Arial"/>
        </w:rPr>
        <w:t>. Faktorët kryesorë që kontribuojnë në cenueshmërinë klimatike në Kosovë</w:t>
      </w:r>
    </w:p>
    <w:tbl>
      <w:tblPr>
        <w:tblStyle w:val="TableGridLight"/>
        <w:tblW w:w="0" w:type="auto"/>
        <w:tblLook w:val="04A0" w:firstRow="1" w:lastRow="0" w:firstColumn="1" w:lastColumn="0" w:noHBand="0" w:noVBand="1"/>
      </w:tblPr>
      <w:tblGrid>
        <w:gridCol w:w="1975"/>
        <w:gridCol w:w="3060"/>
        <w:gridCol w:w="2365"/>
        <w:gridCol w:w="2796"/>
      </w:tblGrid>
      <w:tr w:rsidR="008244CF" w:rsidRPr="00705B56" w14:paraId="359D6EFF" w14:textId="77777777" w:rsidTr="004C6E93">
        <w:trPr>
          <w:tblHeader/>
        </w:trPr>
        <w:tc>
          <w:tcPr>
            <w:tcW w:w="1975" w:type="dxa"/>
            <w:vAlign w:val="center"/>
            <w:hideMark/>
          </w:tcPr>
          <w:p w14:paraId="0971FB3B" w14:textId="77777777" w:rsidR="008244CF" w:rsidRPr="00705B56" w:rsidRDefault="008244CF" w:rsidP="00F524CC">
            <w:pPr>
              <w:spacing w:before="0"/>
              <w:jc w:val="both"/>
              <w:rPr>
                <w:rFonts w:ascii="Arial" w:hAnsi="Arial" w:cs="Arial"/>
                <w:b/>
                <w:bCs/>
                <w:sz w:val="20"/>
                <w:szCs w:val="20"/>
                <w:lang w:val="de-DE"/>
              </w:rPr>
            </w:pPr>
            <w:r w:rsidRPr="00705B56">
              <w:rPr>
                <w:rStyle w:val="Strong"/>
                <w:rFonts w:ascii="Arial" w:hAnsi="Arial" w:cs="Arial"/>
                <w:sz w:val="20"/>
                <w:szCs w:val="20"/>
              </w:rPr>
              <w:t>Grupi i faktorëve</w:t>
            </w:r>
          </w:p>
        </w:tc>
        <w:tc>
          <w:tcPr>
            <w:tcW w:w="3060" w:type="dxa"/>
            <w:vAlign w:val="center"/>
            <w:hideMark/>
          </w:tcPr>
          <w:p w14:paraId="74BFC957" w14:textId="77777777" w:rsidR="008244CF" w:rsidRPr="00705B56" w:rsidRDefault="008244CF" w:rsidP="00F524CC">
            <w:pPr>
              <w:spacing w:before="0"/>
              <w:jc w:val="both"/>
              <w:rPr>
                <w:rFonts w:ascii="Arial" w:hAnsi="Arial" w:cs="Arial"/>
                <w:b/>
                <w:bCs/>
                <w:sz w:val="20"/>
                <w:szCs w:val="20"/>
                <w:lang w:val="de-DE"/>
              </w:rPr>
            </w:pPr>
            <w:r w:rsidRPr="00705B56">
              <w:rPr>
                <w:rStyle w:val="Strong"/>
                <w:rFonts w:ascii="Arial" w:hAnsi="Arial" w:cs="Arial"/>
                <w:sz w:val="20"/>
                <w:szCs w:val="20"/>
              </w:rPr>
              <w:t>Përshkrimi i shkurtër</w:t>
            </w:r>
          </w:p>
        </w:tc>
        <w:tc>
          <w:tcPr>
            <w:tcW w:w="2365" w:type="dxa"/>
            <w:vAlign w:val="center"/>
            <w:hideMark/>
          </w:tcPr>
          <w:p w14:paraId="7C9C16AC" w14:textId="77777777" w:rsidR="008244CF" w:rsidRPr="00705B56" w:rsidRDefault="008244CF" w:rsidP="00F524CC">
            <w:pPr>
              <w:spacing w:before="0"/>
              <w:jc w:val="both"/>
              <w:rPr>
                <w:rFonts w:ascii="Arial" w:hAnsi="Arial" w:cs="Arial"/>
                <w:b/>
                <w:bCs/>
                <w:sz w:val="20"/>
                <w:szCs w:val="20"/>
                <w:lang w:val="de-DE"/>
              </w:rPr>
            </w:pPr>
            <w:r w:rsidRPr="00705B56">
              <w:rPr>
                <w:rStyle w:val="Strong"/>
                <w:rFonts w:ascii="Arial" w:hAnsi="Arial" w:cs="Arial"/>
                <w:sz w:val="20"/>
                <w:szCs w:val="20"/>
              </w:rPr>
              <w:t>Kontributi në problem</w:t>
            </w:r>
          </w:p>
        </w:tc>
        <w:tc>
          <w:tcPr>
            <w:tcW w:w="0" w:type="auto"/>
            <w:vAlign w:val="center"/>
            <w:hideMark/>
          </w:tcPr>
          <w:p w14:paraId="0B1EBF4C" w14:textId="77777777" w:rsidR="008244CF" w:rsidRPr="00705B56" w:rsidRDefault="008244CF" w:rsidP="00F524CC">
            <w:pPr>
              <w:spacing w:before="0"/>
              <w:jc w:val="both"/>
              <w:rPr>
                <w:rFonts w:ascii="Arial" w:hAnsi="Arial" w:cs="Arial"/>
                <w:b/>
                <w:bCs/>
                <w:sz w:val="20"/>
                <w:szCs w:val="20"/>
                <w:lang w:val="de-DE"/>
              </w:rPr>
            </w:pPr>
            <w:r w:rsidRPr="00705B56">
              <w:rPr>
                <w:rStyle w:val="Strong"/>
                <w:rFonts w:ascii="Arial" w:hAnsi="Arial" w:cs="Arial"/>
                <w:sz w:val="20"/>
                <w:szCs w:val="20"/>
              </w:rPr>
              <w:t>Burimi i provave</w:t>
            </w:r>
          </w:p>
        </w:tc>
      </w:tr>
      <w:tr w:rsidR="008244CF" w:rsidRPr="00705B56" w14:paraId="49ECBEFB" w14:textId="77777777" w:rsidTr="00F524CC">
        <w:tc>
          <w:tcPr>
            <w:tcW w:w="1975" w:type="dxa"/>
            <w:vAlign w:val="center"/>
            <w:hideMark/>
          </w:tcPr>
          <w:p w14:paraId="73B802CD" w14:textId="77777777" w:rsidR="008244CF" w:rsidRPr="00705B56" w:rsidRDefault="008244CF" w:rsidP="00F524CC">
            <w:pPr>
              <w:spacing w:before="0"/>
              <w:jc w:val="both"/>
              <w:rPr>
                <w:rFonts w:ascii="Arial" w:hAnsi="Arial" w:cs="Arial"/>
                <w:sz w:val="20"/>
                <w:szCs w:val="20"/>
                <w:lang w:val="de-DE"/>
              </w:rPr>
            </w:pPr>
            <w:r w:rsidRPr="00705B56">
              <w:rPr>
                <w:rFonts w:ascii="Arial" w:hAnsi="Arial" w:cs="Arial"/>
                <w:sz w:val="20"/>
                <w:szCs w:val="20"/>
              </w:rPr>
              <w:t>Ndryshimet klimatike globale</w:t>
            </w:r>
          </w:p>
        </w:tc>
        <w:tc>
          <w:tcPr>
            <w:tcW w:w="3060" w:type="dxa"/>
            <w:vAlign w:val="center"/>
            <w:hideMark/>
          </w:tcPr>
          <w:p w14:paraId="75506E54" w14:textId="77777777" w:rsidR="008244CF" w:rsidRPr="00705B56" w:rsidRDefault="008244CF" w:rsidP="00F524CC">
            <w:pPr>
              <w:spacing w:before="0"/>
              <w:jc w:val="both"/>
              <w:rPr>
                <w:rFonts w:ascii="Arial" w:hAnsi="Arial" w:cs="Arial"/>
                <w:sz w:val="20"/>
                <w:szCs w:val="20"/>
                <w:lang w:val="de-DE"/>
              </w:rPr>
            </w:pPr>
            <w:r w:rsidRPr="00705B56">
              <w:rPr>
                <w:rFonts w:ascii="Arial" w:hAnsi="Arial" w:cs="Arial"/>
                <w:sz w:val="20"/>
                <w:szCs w:val="20"/>
                <w:lang w:val="de-DE"/>
              </w:rPr>
              <w:t>Ngrohje, reshje më të paqëndrueshme, ekstreme më të shpeshta</w:t>
            </w:r>
          </w:p>
        </w:tc>
        <w:tc>
          <w:tcPr>
            <w:tcW w:w="2365" w:type="dxa"/>
            <w:vAlign w:val="center"/>
            <w:hideMark/>
          </w:tcPr>
          <w:p w14:paraId="29A57019" w14:textId="77777777" w:rsidR="008244CF" w:rsidRPr="00705B56" w:rsidRDefault="008244CF" w:rsidP="00F524CC">
            <w:pPr>
              <w:spacing w:before="0"/>
              <w:jc w:val="both"/>
              <w:rPr>
                <w:rFonts w:ascii="Arial" w:hAnsi="Arial" w:cs="Arial"/>
                <w:sz w:val="20"/>
                <w:szCs w:val="20"/>
                <w:lang w:val="de-DE"/>
              </w:rPr>
            </w:pPr>
            <w:r w:rsidRPr="00705B56">
              <w:rPr>
                <w:rFonts w:ascii="Arial" w:hAnsi="Arial" w:cs="Arial"/>
                <w:sz w:val="20"/>
                <w:szCs w:val="20"/>
              </w:rPr>
              <w:t>Shumë i lartë</w:t>
            </w:r>
          </w:p>
        </w:tc>
        <w:tc>
          <w:tcPr>
            <w:tcW w:w="0" w:type="auto"/>
            <w:vAlign w:val="center"/>
            <w:hideMark/>
          </w:tcPr>
          <w:p w14:paraId="4ACA31FE" w14:textId="77777777" w:rsidR="008244CF" w:rsidRPr="00705B56" w:rsidRDefault="008244CF" w:rsidP="00F524CC">
            <w:pPr>
              <w:spacing w:before="0"/>
              <w:jc w:val="both"/>
              <w:rPr>
                <w:rFonts w:ascii="Arial" w:hAnsi="Arial" w:cs="Arial"/>
                <w:sz w:val="20"/>
                <w:szCs w:val="20"/>
                <w:lang w:val="de-DE"/>
              </w:rPr>
            </w:pPr>
            <w:r w:rsidRPr="00705B56">
              <w:rPr>
                <w:rFonts w:ascii="Arial" w:hAnsi="Arial" w:cs="Arial"/>
                <w:sz w:val="20"/>
                <w:szCs w:val="20"/>
                <w:lang w:val="de-DE"/>
              </w:rPr>
              <w:t>Seritë e KHMI; CCKP e Bankës Botërore; literatura rajonale</w:t>
            </w:r>
          </w:p>
        </w:tc>
      </w:tr>
      <w:tr w:rsidR="008244CF" w:rsidRPr="00705B56" w14:paraId="28A23808" w14:textId="77777777" w:rsidTr="00F524CC">
        <w:tc>
          <w:tcPr>
            <w:tcW w:w="1975" w:type="dxa"/>
            <w:vAlign w:val="center"/>
            <w:hideMark/>
          </w:tcPr>
          <w:p w14:paraId="1A6777A1" w14:textId="77777777" w:rsidR="008244CF" w:rsidRPr="00705B56" w:rsidRDefault="008244CF" w:rsidP="00F524CC">
            <w:pPr>
              <w:spacing w:before="0"/>
              <w:jc w:val="both"/>
              <w:rPr>
                <w:rFonts w:ascii="Arial" w:hAnsi="Arial" w:cs="Arial"/>
                <w:sz w:val="20"/>
                <w:szCs w:val="20"/>
                <w:lang w:val="de-DE"/>
              </w:rPr>
            </w:pPr>
            <w:r w:rsidRPr="00705B56">
              <w:rPr>
                <w:rFonts w:ascii="Arial" w:hAnsi="Arial" w:cs="Arial"/>
                <w:sz w:val="20"/>
                <w:szCs w:val="20"/>
              </w:rPr>
              <w:t>Topografia dhe përdorimi i tokës</w:t>
            </w:r>
          </w:p>
        </w:tc>
        <w:tc>
          <w:tcPr>
            <w:tcW w:w="3060" w:type="dxa"/>
            <w:vAlign w:val="center"/>
            <w:hideMark/>
          </w:tcPr>
          <w:p w14:paraId="0E652A2B" w14:textId="77777777" w:rsidR="008244CF" w:rsidRPr="00705B56" w:rsidRDefault="008244CF" w:rsidP="00F524CC">
            <w:pPr>
              <w:spacing w:before="0"/>
              <w:jc w:val="both"/>
              <w:rPr>
                <w:rFonts w:ascii="Arial" w:hAnsi="Arial" w:cs="Arial"/>
                <w:sz w:val="20"/>
                <w:szCs w:val="20"/>
                <w:lang w:val="de-DE"/>
              </w:rPr>
            </w:pPr>
            <w:r w:rsidRPr="00705B56">
              <w:rPr>
                <w:rFonts w:ascii="Arial" w:hAnsi="Arial" w:cs="Arial"/>
                <w:sz w:val="20"/>
                <w:szCs w:val="20"/>
                <w:lang w:val="de-DE"/>
              </w:rPr>
              <w:t>Ultësira të populluara; shpate të zhveshura; ndërhyrje në shtretërit lumorë</w:t>
            </w:r>
          </w:p>
        </w:tc>
        <w:tc>
          <w:tcPr>
            <w:tcW w:w="2365" w:type="dxa"/>
            <w:vAlign w:val="center"/>
            <w:hideMark/>
          </w:tcPr>
          <w:p w14:paraId="5A0F5C75" w14:textId="77777777" w:rsidR="008244CF" w:rsidRPr="00705B56" w:rsidRDefault="008244CF" w:rsidP="00F524CC">
            <w:pPr>
              <w:spacing w:before="0"/>
              <w:jc w:val="both"/>
              <w:rPr>
                <w:rFonts w:ascii="Arial" w:hAnsi="Arial" w:cs="Arial"/>
                <w:sz w:val="20"/>
                <w:szCs w:val="20"/>
                <w:lang w:val="de-DE"/>
              </w:rPr>
            </w:pPr>
            <w:r w:rsidRPr="00705B56">
              <w:rPr>
                <w:rFonts w:ascii="Arial" w:hAnsi="Arial" w:cs="Arial"/>
                <w:sz w:val="20"/>
                <w:szCs w:val="20"/>
              </w:rPr>
              <w:t>I lartë</w:t>
            </w:r>
          </w:p>
        </w:tc>
        <w:tc>
          <w:tcPr>
            <w:tcW w:w="0" w:type="auto"/>
            <w:vAlign w:val="center"/>
            <w:hideMark/>
          </w:tcPr>
          <w:p w14:paraId="1A5ACE1F" w14:textId="77777777" w:rsidR="008244CF" w:rsidRPr="00705B56" w:rsidRDefault="008244CF" w:rsidP="00F524CC">
            <w:pPr>
              <w:spacing w:before="0"/>
              <w:jc w:val="both"/>
              <w:rPr>
                <w:rFonts w:ascii="Arial" w:hAnsi="Arial" w:cs="Arial"/>
                <w:sz w:val="20"/>
                <w:szCs w:val="20"/>
                <w:lang w:val="de-DE"/>
              </w:rPr>
            </w:pPr>
            <w:r w:rsidRPr="00705B56">
              <w:rPr>
                <w:rFonts w:ascii="Arial" w:hAnsi="Arial" w:cs="Arial"/>
                <w:sz w:val="20"/>
                <w:szCs w:val="20"/>
                <w:lang w:val="de-DE"/>
              </w:rPr>
              <w:t>Hartat kombëtare të rrezikut, ELSUS v2, WBIF/IPF11</w:t>
            </w:r>
          </w:p>
        </w:tc>
      </w:tr>
      <w:tr w:rsidR="008244CF" w:rsidRPr="00705B56" w14:paraId="571BB823" w14:textId="77777777" w:rsidTr="00F524CC">
        <w:tc>
          <w:tcPr>
            <w:tcW w:w="1975" w:type="dxa"/>
            <w:vAlign w:val="center"/>
            <w:hideMark/>
          </w:tcPr>
          <w:p w14:paraId="724C4A4B" w14:textId="77777777" w:rsidR="008244CF" w:rsidRPr="00705B56" w:rsidRDefault="008244CF" w:rsidP="00F524CC">
            <w:pPr>
              <w:spacing w:before="0"/>
              <w:jc w:val="both"/>
              <w:rPr>
                <w:rFonts w:ascii="Arial" w:hAnsi="Arial" w:cs="Arial"/>
                <w:sz w:val="20"/>
                <w:szCs w:val="20"/>
                <w:lang w:val="de-DE"/>
              </w:rPr>
            </w:pPr>
            <w:r w:rsidRPr="00705B56">
              <w:rPr>
                <w:rFonts w:ascii="Arial" w:hAnsi="Arial" w:cs="Arial"/>
                <w:sz w:val="20"/>
                <w:szCs w:val="20"/>
              </w:rPr>
              <w:t>Menaxhimi i ujërave</w:t>
            </w:r>
          </w:p>
        </w:tc>
        <w:tc>
          <w:tcPr>
            <w:tcW w:w="3060" w:type="dxa"/>
            <w:vAlign w:val="center"/>
            <w:hideMark/>
          </w:tcPr>
          <w:p w14:paraId="73CB12B5" w14:textId="77777777" w:rsidR="008244CF" w:rsidRPr="00705B56" w:rsidRDefault="008244CF" w:rsidP="00F524CC">
            <w:pPr>
              <w:spacing w:before="0"/>
              <w:jc w:val="both"/>
              <w:rPr>
                <w:rFonts w:ascii="Arial" w:hAnsi="Arial" w:cs="Arial"/>
                <w:sz w:val="20"/>
                <w:szCs w:val="20"/>
                <w:lang w:val="de-DE"/>
              </w:rPr>
            </w:pPr>
            <w:r w:rsidRPr="00705B56">
              <w:rPr>
                <w:rFonts w:ascii="Arial" w:hAnsi="Arial" w:cs="Arial"/>
                <w:sz w:val="20"/>
                <w:szCs w:val="20"/>
                <w:lang w:val="de-DE"/>
              </w:rPr>
              <w:t>Kapacitete të kufizuara të drenazhimit; sediment/erozion; mungesë mirëmbajtjeje</w:t>
            </w:r>
          </w:p>
        </w:tc>
        <w:tc>
          <w:tcPr>
            <w:tcW w:w="2365" w:type="dxa"/>
            <w:vAlign w:val="center"/>
            <w:hideMark/>
          </w:tcPr>
          <w:p w14:paraId="5099A682" w14:textId="77777777" w:rsidR="008244CF" w:rsidRPr="00705B56" w:rsidRDefault="008244CF" w:rsidP="00F524CC">
            <w:pPr>
              <w:spacing w:before="0"/>
              <w:jc w:val="both"/>
              <w:rPr>
                <w:rFonts w:ascii="Arial" w:hAnsi="Arial" w:cs="Arial"/>
                <w:sz w:val="20"/>
                <w:szCs w:val="20"/>
                <w:lang w:val="de-DE"/>
              </w:rPr>
            </w:pPr>
            <w:r w:rsidRPr="00705B56">
              <w:rPr>
                <w:rFonts w:ascii="Arial" w:hAnsi="Arial" w:cs="Arial"/>
                <w:sz w:val="20"/>
                <w:szCs w:val="20"/>
              </w:rPr>
              <w:t>I lartë</w:t>
            </w:r>
          </w:p>
        </w:tc>
        <w:tc>
          <w:tcPr>
            <w:tcW w:w="0" w:type="auto"/>
            <w:vAlign w:val="center"/>
            <w:hideMark/>
          </w:tcPr>
          <w:p w14:paraId="3195B3B3" w14:textId="77777777" w:rsidR="008244CF" w:rsidRPr="00705B56" w:rsidRDefault="008244CF" w:rsidP="00F524CC">
            <w:pPr>
              <w:spacing w:before="0"/>
              <w:jc w:val="both"/>
              <w:rPr>
                <w:rFonts w:ascii="Arial" w:hAnsi="Arial" w:cs="Arial"/>
                <w:sz w:val="20"/>
                <w:szCs w:val="20"/>
                <w:lang w:val="de-DE"/>
              </w:rPr>
            </w:pPr>
            <w:r w:rsidRPr="00705B56">
              <w:rPr>
                <w:rFonts w:ascii="Arial" w:hAnsi="Arial" w:cs="Arial"/>
                <w:sz w:val="20"/>
                <w:szCs w:val="20"/>
                <w:lang w:val="de-DE"/>
              </w:rPr>
              <w:t>PRFA/FRM; rastet e dokumentuara të përmbytjeve</w:t>
            </w:r>
          </w:p>
        </w:tc>
      </w:tr>
      <w:tr w:rsidR="008244CF" w:rsidRPr="00705B56" w14:paraId="17C16733" w14:textId="77777777" w:rsidTr="00F524CC">
        <w:tc>
          <w:tcPr>
            <w:tcW w:w="1975" w:type="dxa"/>
            <w:vAlign w:val="center"/>
            <w:hideMark/>
          </w:tcPr>
          <w:p w14:paraId="5D73F5F2" w14:textId="77777777" w:rsidR="008244CF" w:rsidRPr="00705B56" w:rsidRDefault="008244CF" w:rsidP="00F524CC">
            <w:pPr>
              <w:spacing w:before="0"/>
              <w:jc w:val="both"/>
              <w:rPr>
                <w:rFonts w:ascii="Arial" w:hAnsi="Arial" w:cs="Arial"/>
                <w:sz w:val="20"/>
                <w:szCs w:val="20"/>
                <w:lang w:val="de-DE"/>
              </w:rPr>
            </w:pPr>
            <w:r w:rsidRPr="00705B56">
              <w:rPr>
                <w:rFonts w:ascii="Arial" w:hAnsi="Arial" w:cs="Arial"/>
                <w:sz w:val="20"/>
                <w:szCs w:val="20"/>
              </w:rPr>
              <w:t>Urbanizimi i pakontrolluar</w:t>
            </w:r>
          </w:p>
        </w:tc>
        <w:tc>
          <w:tcPr>
            <w:tcW w:w="3060" w:type="dxa"/>
            <w:vAlign w:val="center"/>
            <w:hideMark/>
          </w:tcPr>
          <w:p w14:paraId="44AF3FF2" w14:textId="77777777" w:rsidR="008244CF" w:rsidRPr="00705B56" w:rsidRDefault="008244CF" w:rsidP="00F524CC">
            <w:pPr>
              <w:spacing w:before="0"/>
              <w:jc w:val="both"/>
              <w:rPr>
                <w:rFonts w:ascii="Arial" w:hAnsi="Arial" w:cs="Arial"/>
                <w:sz w:val="20"/>
                <w:szCs w:val="20"/>
                <w:lang w:val="de-DE"/>
              </w:rPr>
            </w:pPr>
            <w:r w:rsidRPr="00705B56">
              <w:rPr>
                <w:rFonts w:ascii="Arial" w:hAnsi="Arial" w:cs="Arial"/>
                <w:sz w:val="20"/>
                <w:szCs w:val="20"/>
                <w:lang w:val="de-DE"/>
              </w:rPr>
              <w:t>Ndërtim në zona me rrezik; rrjete të dobëta të kanalizimit</w:t>
            </w:r>
          </w:p>
        </w:tc>
        <w:tc>
          <w:tcPr>
            <w:tcW w:w="2365" w:type="dxa"/>
            <w:vAlign w:val="center"/>
            <w:hideMark/>
          </w:tcPr>
          <w:p w14:paraId="12350A7F" w14:textId="77777777" w:rsidR="008244CF" w:rsidRPr="00705B56" w:rsidRDefault="008244CF" w:rsidP="00F524CC">
            <w:pPr>
              <w:spacing w:before="0"/>
              <w:jc w:val="both"/>
              <w:rPr>
                <w:rFonts w:ascii="Arial" w:hAnsi="Arial" w:cs="Arial"/>
                <w:sz w:val="20"/>
                <w:szCs w:val="20"/>
                <w:lang w:val="de-DE"/>
              </w:rPr>
            </w:pPr>
            <w:r w:rsidRPr="00705B56">
              <w:rPr>
                <w:rFonts w:ascii="Arial" w:hAnsi="Arial" w:cs="Arial"/>
                <w:sz w:val="20"/>
                <w:szCs w:val="20"/>
              </w:rPr>
              <w:t>Mesatar–i lartë</w:t>
            </w:r>
          </w:p>
        </w:tc>
        <w:tc>
          <w:tcPr>
            <w:tcW w:w="0" w:type="auto"/>
            <w:vAlign w:val="center"/>
            <w:hideMark/>
          </w:tcPr>
          <w:p w14:paraId="17E06CFA" w14:textId="77777777" w:rsidR="008244CF" w:rsidRPr="00705B56" w:rsidRDefault="008244CF" w:rsidP="00F524CC">
            <w:pPr>
              <w:spacing w:before="0"/>
              <w:jc w:val="both"/>
              <w:rPr>
                <w:rFonts w:ascii="Arial" w:hAnsi="Arial" w:cs="Arial"/>
                <w:sz w:val="20"/>
                <w:szCs w:val="20"/>
              </w:rPr>
            </w:pPr>
            <w:r w:rsidRPr="00705B56">
              <w:rPr>
                <w:rFonts w:ascii="Arial" w:hAnsi="Arial" w:cs="Arial"/>
                <w:sz w:val="20"/>
                <w:szCs w:val="20"/>
              </w:rPr>
              <w:t>Planet hapësinore; të dhëna komunale</w:t>
            </w:r>
          </w:p>
        </w:tc>
      </w:tr>
      <w:tr w:rsidR="008244CF" w:rsidRPr="00705B56" w14:paraId="09410623" w14:textId="77777777" w:rsidTr="00F524CC">
        <w:tc>
          <w:tcPr>
            <w:tcW w:w="1975" w:type="dxa"/>
            <w:vAlign w:val="center"/>
            <w:hideMark/>
          </w:tcPr>
          <w:p w14:paraId="71A0C1BA" w14:textId="77777777" w:rsidR="008244CF" w:rsidRPr="00705B56" w:rsidRDefault="008244CF" w:rsidP="00F524CC">
            <w:pPr>
              <w:spacing w:before="0"/>
              <w:jc w:val="both"/>
              <w:rPr>
                <w:rFonts w:ascii="Arial" w:hAnsi="Arial" w:cs="Arial"/>
                <w:sz w:val="20"/>
                <w:szCs w:val="20"/>
                <w:lang w:val="de-DE"/>
              </w:rPr>
            </w:pPr>
            <w:r w:rsidRPr="00705B56">
              <w:rPr>
                <w:rFonts w:ascii="Arial" w:hAnsi="Arial" w:cs="Arial"/>
                <w:sz w:val="20"/>
                <w:szCs w:val="20"/>
              </w:rPr>
              <w:lastRenderedPageBreak/>
              <w:t>Fragmentimi ligjor/institucional</w:t>
            </w:r>
          </w:p>
        </w:tc>
        <w:tc>
          <w:tcPr>
            <w:tcW w:w="3060" w:type="dxa"/>
            <w:vAlign w:val="center"/>
            <w:hideMark/>
          </w:tcPr>
          <w:p w14:paraId="3F34F13C" w14:textId="77777777" w:rsidR="008244CF" w:rsidRPr="00705B56" w:rsidRDefault="008244CF" w:rsidP="00F524CC">
            <w:pPr>
              <w:spacing w:before="0"/>
              <w:jc w:val="both"/>
              <w:rPr>
                <w:rFonts w:ascii="Arial" w:hAnsi="Arial" w:cs="Arial"/>
                <w:sz w:val="20"/>
                <w:szCs w:val="20"/>
                <w:lang w:val="de-DE"/>
              </w:rPr>
            </w:pPr>
            <w:r w:rsidRPr="00705B56">
              <w:rPr>
                <w:rFonts w:ascii="Arial" w:hAnsi="Arial" w:cs="Arial"/>
                <w:sz w:val="20"/>
                <w:szCs w:val="20"/>
                <w:lang w:val="de-DE"/>
              </w:rPr>
              <w:t>Kompetenca të ndara; inspektime dhe zbatim të dobët</w:t>
            </w:r>
          </w:p>
        </w:tc>
        <w:tc>
          <w:tcPr>
            <w:tcW w:w="2365" w:type="dxa"/>
            <w:vAlign w:val="center"/>
            <w:hideMark/>
          </w:tcPr>
          <w:p w14:paraId="6D175D97" w14:textId="77777777" w:rsidR="008244CF" w:rsidRPr="00705B56" w:rsidRDefault="008244CF" w:rsidP="00F524CC">
            <w:pPr>
              <w:spacing w:before="0"/>
              <w:jc w:val="both"/>
              <w:rPr>
                <w:rFonts w:ascii="Arial" w:hAnsi="Arial" w:cs="Arial"/>
                <w:sz w:val="20"/>
                <w:szCs w:val="20"/>
                <w:lang w:val="de-DE"/>
              </w:rPr>
            </w:pPr>
            <w:r w:rsidRPr="00705B56">
              <w:rPr>
                <w:rFonts w:ascii="Arial" w:hAnsi="Arial" w:cs="Arial"/>
                <w:sz w:val="20"/>
                <w:szCs w:val="20"/>
              </w:rPr>
              <w:t>Mesatar</w:t>
            </w:r>
          </w:p>
        </w:tc>
        <w:tc>
          <w:tcPr>
            <w:tcW w:w="0" w:type="auto"/>
            <w:vAlign w:val="center"/>
            <w:hideMark/>
          </w:tcPr>
          <w:p w14:paraId="346E5F0B" w14:textId="77777777" w:rsidR="008244CF" w:rsidRPr="00705B56" w:rsidRDefault="008244CF" w:rsidP="00F524CC">
            <w:pPr>
              <w:spacing w:before="0"/>
              <w:jc w:val="both"/>
              <w:rPr>
                <w:rFonts w:ascii="Arial" w:hAnsi="Arial" w:cs="Arial"/>
                <w:sz w:val="20"/>
                <w:szCs w:val="20"/>
                <w:lang w:val="de-DE"/>
              </w:rPr>
            </w:pPr>
            <w:r w:rsidRPr="00705B56">
              <w:rPr>
                <w:rFonts w:ascii="Arial" w:hAnsi="Arial" w:cs="Arial"/>
                <w:sz w:val="20"/>
                <w:szCs w:val="20"/>
              </w:rPr>
              <w:t>Analizat institucionale</w:t>
            </w:r>
          </w:p>
        </w:tc>
      </w:tr>
      <w:tr w:rsidR="008244CF" w:rsidRPr="00705B56" w14:paraId="61A83D01" w14:textId="77777777" w:rsidTr="00F524CC">
        <w:tc>
          <w:tcPr>
            <w:tcW w:w="1975" w:type="dxa"/>
            <w:vAlign w:val="center"/>
            <w:hideMark/>
          </w:tcPr>
          <w:p w14:paraId="1E9517BA" w14:textId="77777777" w:rsidR="008244CF" w:rsidRPr="00705B56" w:rsidRDefault="008244CF" w:rsidP="00F524CC">
            <w:pPr>
              <w:spacing w:before="0"/>
              <w:jc w:val="both"/>
              <w:rPr>
                <w:rFonts w:ascii="Arial" w:hAnsi="Arial" w:cs="Arial"/>
                <w:sz w:val="20"/>
                <w:szCs w:val="20"/>
                <w:lang w:val="de-DE"/>
              </w:rPr>
            </w:pPr>
            <w:r w:rsidRPr="00705B56">
              <w:rPr>
                <w:rFonts w:ascii="Arial" w:hAnsi="Arial" w:cs="Arial"/>
                <w:sz w:val="20"/>
                <w:szCs w:val="20"/>
              </w:rPr>
              <w:t>Praktikat pyjore dhe bujqësore</w:t>
            </w:r>
          </w:p>
        </w:tc>
        <w:tc>
          <w:tcPr>
            <w:tcW w:w="3060" w:type="dxa"/>
            <w:vAlign w:val="center"/>
            <w:hideMark/>
          </w:tcPr>
          <w:p w14:paraId="58BBF816" w14:textId="77777777" w:rsidR="008244CF" w:rsidRPr="00705B56" w:rsidRDefault="008244CF" w:rsidP="00F524CC">
            <w:pPr>
              <w:spacing w:before="0"/>
              <w:jc w:val="both"/>
              <w:rPr>
                <w:rFonts w:ascii="Arial" w:hAnsi="Arial" w:cs="Arial"/>
                <w:sz w:val="20"/>
                <w:szCs w:val="20"/>
                <w:lang w:val="de-DE"/>
              </w:rPr>
            </w:pPr>
            <w:r w:rsidRPr="00705B56">
              <w:rPr>
                <w:rFonts w:ascii="Arial" w:hAnsi="Arial" w:cs="Arial"/>
                <w:sz w:val="20"/>
                <w:szCs w:val="20"/>
                <w:lang w:val="de-DE"/>
              </w:rPr>
              <w:t>Shpyllëzimi, djegia e mbeturinave, ujitja joefikase</w:t>
            </w:r>
          </w:p>
        </w:tc>
        <w:tc>
          <w:tcPr>
            <w:tcW w:w="2365" w:type="dxa"/>
            <w:vAlign w:val="center"/>
            <w:hideMark/>
          </w:tcPr>
          <w:p w14:paraId="3E2942B4" w14:textId="77777777" w:rsidR="008244CF" w:rsidRPr="00705B56" w:rsidRDefault="008244CF" w:rsidP="00F524CC">
            <w:pPr>
              <w:spacing w:before="0"/>
              <w:jc w:val="both"/>
              <w:rPr>
                <w:rFonts w:ascii="Arial" w:hAnsi="Arial" w:cs="Arial"/>
                <w:sz w:val="20"/>
                <w:szCs w:val="20"/>
                <w:lang w:val="de-DE"/>
              </w:rPr>
            </w:pPr>
            <w:r w:rsidRPr="00705B56">
              <w:rPr>
                <w:rFonts w:ascii="Arial" w:hAnsi="Arial" w:cs="Arial"/>
                <w:sz w:val="20"/>
                <w:szCs w:val="20"/>
              </w:rPr>
              <w:t>Mesatar</w:t>
            </w:r>
          </w:p>
        </w:tc>
        <w:tc>
          <w:tcPr>
            <w:tcW w:w="0" w:type="auto"/>
            <w:vAlign w:val="center"/>
            <w:hideMark/>
          </w:tcPr>
          <w:p w14:paraId="4FF0BDA5" w14:textId="77777777" w:rsidR="008244CF" w:rsidRPr="00705B56" w:rsidRDefault="008244CF" w:rsidP="00F524CC">
            <w:pPr>
              <w:spacing w:before="0"/>
              <w:jc w:val="both"/>
              <w:rPr>
                <w:rFonts w:ascii="Arial" w:hAnsi="Arial" w:cs="Arial"/>
                <w:sz w:val="20"/>
                <w:szCs w:val="20"/>
                <w:lang w:val="de-DE"/>
              </w:rPr>
            </w:pPr>
            <w:r w:rsidRPr="00705B56">
              <w:rPr>
                <w:rFonts w:ascii="Arial" w:hAnsi="Arial" w:cs="Arial"/>
                <w:sz w:val="20"/>
                <w:szCs w:val="20"/>
                <w:lang w:val="de-DE"/>
              </w:rPr>
              <w:t>Regjistrat e zjarreve; të dhëna për erozionin</w:t>
            </w:r>
          </w:p>
        </w:tc>
      </w:tr>
    </w:tbl>
    <w:p w14:paraId="0E3935F2" w14:textId="77777777" w:rsidR="008244CF" w:rsidRPr="00705B56" w:rsidRDefault="008244CF" w:rsidP="008244CF">
      <w:pPr>
        <w:jc w:val="both"/>
        <w:rPr>
          <w:rFonts w:ascii="Arial" w:hAnsi="Arial" w:cs="Arial"/>
          <w:lang w:val="de-DE"/>
        </w:rPr>
      </w:pPr>
      <w:r w:rsidRPr="00705B56">
        <w:rPr>
          <w:rFonts w:ascii="Arial" w:hAnsi="Arial" w:cs="Arial"/>
          <w:lang w:val="de-DE"/>
        </w:rPr>
        <w:t>Praktikat e përdorimit të tokës, si shpyllëzimi, djegia e mbeturinave dhe ujitja joefikase, e degradojnë më tej qëndrueshmërinë natyrore. Sipas analizave të shumëburimshme, faktorët më me ndikim janë trendet klimatike globale, degradimi i tokës dhe mangësitë në menaxhimin e ujit dhe urbanizimit. Këta faktorë së bashku përbëjnë pjesën më të madhe të rrezikut të vëzhguar dhe të parashikuar klimatik në Kosovë.</w:t>
      </w:r>
    </w:p>
    <w:p w14:paraId="43D72B94" w14:textId="77777777" w:rsidR="008244CF" w:rsidRPr="00705B56" w:rsidRDefault="008244CF" w:rsidP="008244CF">
      <w:pPr>
        <w:pStyle w:val="Heading3"/>
        <w:rPr>
          <w:rFonts w:ascii="Arial" w:hAnsi="Arial" w:cs="Arial"/>
          <w:lang w:val="de-DE"/>
        </w:rPr>
      </w:pPr>
      <w:bookmarkStart w:id="27" w:name="_Toc211532688"/>
      <w:r w:rsidRPr="00705B56">
        <w:rPr>
          <w:rFonts w:ascii="Arial" w:hAnsi="Arial" w:cs="Arial"/>
          <w:lang w:val="de-DE"/>
        </w:rPr>
        <w:t>Faktorët jashtë ndikimit të drejtpërdrejtë të Qeverisë dhe jashtë fushës së strategjisë</w:t>
      </w:r>
      <w:bookmarkEnd w:id="27"/>
    </w:p>
    <w:p w14:paraId="30AF9C1E" w14:textId="77777777" w:rsidR="008244CF" w:rsidRPr="00705B56" w:rsidRDefault="008244CF" w:rsidP="008244CF">
      <w:pPr>
        <w:jc w:val="both"/>
        <w:rPr>
          <w:rFonts w:ascii="Arial" w:hAnsi="Arial" w:cs="Arial"/>
          <w:lang w:val="de-DE"/>
        </w:rPr>
      </w:pPr>
      <w:r w:rsidRPr="00705B56">
        <w:rPr>
          <w:rFonts w:ascii="Arial" w:hAnsi="Arial" w:cs="Arial"/>
          <w:lang w:val="de-DE"/>
        </w:rPr>
        <w:t>Disa faktorë që ndikojnë në rreziqet klimatike në Kosovë janë përtej ndikimit të drejtpërdrejtë të Qeverisë. Këtu përfshihen përqendrimet globale të gazeve serrë dhe modelet rajonale të qarkullimit atmosferik, si dhe hidrologjia ndërkufitare, ku menaxhimi i ujërave në vendet fqinje ndikon në rrezikun e përmbytjeve dhe thatësirës në territorin e Kosovës. Aktiviteti sizmik, megjithëse jo i lidhur drejtpërdrejt me ndryshimet klimatike, ndikon në rritjen e rrëshqitjeve të dheut në bashkëveprim me reshjet intensive. Po ashtu, luhatjet globale të tregjeve — sidomos në çmimet e energjisë dhe ushqimit — ndikojnë në cenueshmëri përmes presionit mbi kërkesën për burime dhe kapacitetin e familjeve për t’u përshtatur.</w:t>
      </w:r>
    </w:p>
    <w:p w14:paraId="5C04EC16" w14:textId="77777777" w:rsidR="008244CF" w:rsidRPr="00705B56" w:rsidRDefault="008244CF" w:rsidP="008244CF">
      <w:pPr>
        <w:jc w:val="both"/>
        <w:rPr>
          <w:rFonts w:ascii="Arial" w:hAnsi="Arial" w:cs="Arial"/>
          <w:lang w:val="de-DE"/>
        </w:rPr>
      </w:pPr>
      <w:r w:rsidRPr="00705B56">
        <w:rPr>
          <w:rFonts w:ascii="Arial" w:hAnsi="Arial" w:cs="Arial"/>
          <w:lang w:val="de-DE"/>
        </w:rPr>
        <w:t xml:space="preserve">Disa fusha janë jashtë fushëveprimit të kësaj strategjie, pasi adresohen në dokumente të tjera kombëtare. Këto përfshijnë reformat e mëdha për </w:t>
      </w:r>
      <w:r w:rsidRPr="00705B56">
        <w:rPr>
          <w:rFonts w:ascii="Arial" w:hAnsi="Arial" w:cs="Arial"/>
          <w:b/>
          <w:bCs/>
          <w:lang w:val="de-DE"/>
        </w:rPr>
        <w:t>dekarbonizim dhe tranzicion energjetik</w:t>
      </w:r>
      <w:r w:rsidRPr="00705B56">
        <w:rPr>
          <w:rFonts w:ascii="Arial" w:hAnsi="Arial" w:cs="Arial"/>
          <w:lang w:val="de-DE"/>
        </w:rPr>
        <w:t xml:space="preserve">, politikat e </w:t>
      </w:r>
      <w:r w:rsidRPr="00705B56">
        <w:rPr>
          <w:rFonts w:ascii="Arial" w:hAnsi="Arial" w:cs="Arial"/>
          <w:b/>
          <w:bCs/>
          <w:lang w:val="de-DE"/>
        </w:rPr>
        <w:t>cilësisë së ajrit</w:t>
      </w:r>
      <w:r w:rsidRPr="00705B56">
        <w:rPr>
          <w:rFonts w:ascii="Arial" w:hAnsi="Arial" w:cs="Arial"/>
          <w:lang w:val="de-DE"/>
        </w:rPr>
        <w:t xml:space="preserve">, </w:t>
      </w:r>
      <w:r w:rsidRPr="00705B56">
        <w:rPr>
          <w:rFonts w:ascii="Arial" w:hAnsi="Arial" w:cs="Arial"/>
          <w:b/>
          <w:bCs/>
          <w:lang w:val="de-DE"/>
        </w:rPr>
        <w:t>planet hapësinore dhe ndërtimore</w:t>
      </w:r>
      <w:r w:rsidRPr="00705B56">
        <w:rPr>
          <w:rFonts w:ascii="Arial" w:hAnsi="Arial" w:cs="Arial"/>
          <w:lang w:val="de-DE"/>
        </w:rPr>
        <w:t xml:space="preserve">, si dhe </w:t>
      </w:r>
      <w:r w:rsidRPr="00705B56">
        <w:rPr>
          <w:rFonts w:ascii="Arial" w:hAnsi="Arial" w:cs="Arial"/>
          <w:b/>
          <w:bCs/>
          <w:lang w:val="de-DE"/>
        </w:rPr>
        <w:t>strategjitë e menaxhimit pyjor dhe prodhimit bujqësor</w:t>
      </w:r>
      <w:r w:rsidRPr="00705B56">
        <w:rPr>
          <w:rFonts w:ascii="Arial" w:hAnsi="Arial" w:cs="Arial"/>
          <w:lang w:val="de-DE"/>
        </w:rPr>
        <w:t>. Strategjia e Adaptimit përqendrohet në fushat ku autoritetet kombëtare dhe lokale mund të ndërmarrin drejtpërdrejt veprime për forcimin e qëndrueshmërisë ndaj ndikimeve klimatike.</w:t>
      </w:r>
    </w:p>
    <w:p w14:paraId="43E1E2E1" w14:textId="77777777" w:rsidR="008244CF" w:rsidRPr="00705B56" w:rsidRDefault="008244CF" w:rsidP="008244CF">
      <w:pPr>
        <w:pStyle w:val="Heading3"/>
        <w:rPr>
          <w:rFonts w:ascii="Arial" w:hAnsi="Arial" w:cs="Arial"/>
          <w:lang w:val="en"/>
        </w:rPr>
      </w:pPr>
      <w:bookmarkStart w:id="28" w:name="_Toc211532689"/>
      <w:r w:rsidRPr="00705B56">
        <w:rPr>
          <w:rFonts w:ascii="Arial" w:hAnsi="Arial" w:cs="Arial"/>
        </w:rPr>
        <w:t>Veprimet ekzistuese dhe të planifikuara të Qeverisë dhe kuadri legjislativ</w:t>
      </w:r>
      <w:bookmarkEnd w:id="28"/>
      <w:r w:rsidRPr="00705B56">
        <w:rPr>
          <w:rFonts w:ascii="Arial" w:hAnsi="Arial" w:cs="Arial"/>
        </w:rPr>
        <w:t xml:space="preserve"> </w:t>
      </w:r>
    </w:p>
    <w:p w14:paraId="4BC9B83D" w14:textId="77777777" w:rsidR="008244CF" w:rsidRPr="00705B56" w:rsidRDefault="008244CF" w:rsidP="008244CF">
      <w:pPr>
        <w:jc w:val="both"/>
        <w:rPr>
          <w:rFonts w:ascii="Arial" w:hAnsi="Arial" w:cs="Arial"/>
          <w:lang w:val="en"/>
        </w:rPr>
      </w:pPr>
      <w:r w:rsidRPr="00705B56">
        <w:rPr>
          <w:rFonts w:ascii="Arial" w:hAnsi="Arial" w:cs="Arial"/>
          <w:lang w:val="en"/>
        </w:rPr>
        <w:t xml:space="preserve">Kosova ka nisur një sërë aktivitetesh për të adresuar rreziqet klimatike përmes programeve ekzistuese dhe bashkëpunimit ndërkombëtar. Janë përfunduar </w:t>
      </w:r>
      <w:r w:rsidRPr="00705B56">
        <w:rPr>
          <w:rFonts w:ascii="Arial" w:hAnsi="Arial" w:cs="Arial"/>
          <w:b/>
          <w:bCs/>
          <w:lang w:val="en"/>
        </w:rPr>
        <w:t>hartat kombëtare të rrezikut dhe përmbytjeve</w:t>
      </w:r>
      <w:r w:rsidRPr="00705B56">
        <w:rPr>
          <w:rFonts w:ascii="Arial" w:hAnsi="Arial" w:cs="Arial"/>
          <w:lang w:val="en"/>
        </w:rPr>
        <w:t xml:space="preserve"> në të gjitha pellgjet lumore me mbështetjen e </w:t>
      </w:r>
      <w:r w:rsidRPr="00705B56">
        <w:rPr>
          <w:rFonts w:ascii="Arial" w:hAnsi="Arial" w:cs="Arial"/>
          <w:b/>
          <w:bCs/>
          <w:lang w:val="en"/>
        </w:rPr>
        <w:t>WBIF</w:t>
      </w:r>
      <w:r w:rsidRPr="00705B56">
        <w:rPr>
          <w:rFonts w:ascii="Arial" w:hAnsi="Arial" w:cs="Arial"/>
          <w:lang w:val="en"/>
        </w:rPr>
        <w:t xml:space="preserve"> dhe </w:t>
      </w:r>
      <w:r w:rsidRPr="00705B56">
        <w:rPr>
          <w:rFonts w:ascii="Arial" w:hAnsi="Arial" w:cs="Arial"/>
          <w:b/>
          <w:bCs/>
          <w:lang w:val="en"/>
        </w:rPr>
        <w:t>GIZ</w:t>
      </w:r>
      <w:r w:rsidRPr="00705B56">
        <w:rPr>
          <w:rFonts w:ascii="Arial" w:hAnsi="Arial" w:cs="Arial"/>
          <w:lang w:val="en"/>
        </w:rPr>
        <w:t xml:space="preserve">, duke identifikuar gati </w:t>
      </w:r>
      <w:r w:rsidRPr="00705B56">
        <w:rPr>
          <w:rFonts w:ascii="Arial" w:hAnsi="Arial" w:cs="Arial"/>
          <w:b/>
          <w:bCs/>
          <w:lang w:val="en"/>
        </w:rPr>
        <w:t>400 zona me rrezik të lartë</w:t>
      </w:r>
      <w:r w:rsidRPr="00705B56">
        <w:rPr>
          <w:rFonts w:ascii="Arial" w:hAnsi="Arial" w:cs="Arial"/>
          <w:lang w:val="en"/>
        </w:rPr>
        <w:t xml:space="preserve"> dhe masa ndërhyrjeje përkatëse. Sistemet e </w:t>
      </w:r>
      <w:r w:rsidRPr="00705B56">
        <w:rPr>
          <w:rFonts w:ascii="Arial" w:hAnsi="Arial" w:cs="Arial"/>
          <w:b/>
          <w:bCs/>
          <w:lang w:val="en"/>
        </w:rPr>
        <w:t>paralajmërimit të hershëm</w:t>
      </w:r>
      <w:r w:rsidRPr="00705B56">
        <w:rPr>
          <w:rFonts w:ascii="Arial" w:hAnsi="Arial" w:cs="Arial"/>
          <w:lang w:val="en"/>
        </w:rPr>
        <w:t xml:space="preserve"> dhe </w:t>
      </w:r>
      <w:r w:rsidRPr="00705B56">
        <w:rPr>
          <w:rFonts w:ascii="Arial" w:hAnsi="Arial" w:cs="Arial"/>
          <w:b/>
          <w:bCs/>
          <w:lang w:val="en"/>
        </w:rPr>
        <w:t>rrjetet e vëzhgimit meteorologjik</w:t>
      </w:r>
      <w:r w:rsidRPr="00705B56">
        <w:rPr>
          <w:rFonts w:ascii="Arial" w:hAnsi="Arial" w:cs="Arial"/>
          <w:lang w:val="en"/>
        </w:rPr>
        <w:t xml:space="preserve"> po përmirësohen nga Instituti Hidrometeorologjik i Kosovës, përfshirë instalimin e sistemeve pilot të telemetrisë dhe protokolleve të alarmit në nivel komunal pas përmbytjeve të vitit 2023. Masat për </w:t>
      </w:r>
      <w:r w:rsidRPr="00705B56">
        <w:rPr>
          <w:rFonts w:ascii="Arial" w:hAnsi="Arial" w:cs="Arial"/>
          <w:b/>
          <w:bCs/>
          <w:lang w:val="en"/>
        </w:rPr>
        <w:t>parandalimin e zjarreve në pyje</w:t>
      </w:r>
      <w:r w:rsidRPr="00705B56">
        <w:rPr>
          <w:rFonts w:ascii="Arial" w:hAnsi="Arial" w:cs="Arial"/>
          <w:lang w:val="en"/>
        </w:rPr>
        <w:t xml:space="preserve"> janë forcuar përmes planeve sezonale të reagimit, pajisjeve për brigadat komunale dhe krijimit të brezave mbrojtës në zonat e ndjeshme. Disa komuna kanë zbatuar </w:t>
      </w:r>
      <w:r w:rsidRPr="00705B56">
        <w:rPr>
          <w:rFonts w:ascii="Arial" w:hAnsi="Arial" w:cs="Arial"/>
          <w:b/>
          <w:bCs/>
          <w:lang w:val="en"/>
        </w:rPr>
        <w:t>masa për stabilizimin e shpateve dhe kontrollin e erozionit</w:t>
      </w:r>
      <w:r w:rsidRPr="00705B56">
        <w:rPr>
          <w:rFonts w:ascii="Arial" w:hAnsi="Arial" w:cs="Arial"/>
          <w:lang w:val="en"/>
        </w:rPr>
        <w:t xml:space="preserve">, veçanërisht në zonat me rrezik rrëshqitjeje, ndërsa </w:t>
      </w:r>
      <w:r w:rsidRPr="00705B56">
        <w:rPr>
          <w:rFonts w:ascii="Arial" w:hAnsi="Arial" w:cs="Arial"/>
          <w:b/>
          <w:bCs/>
          <w:lang w:val="en"/>
        </w:rPr>
        <w:t>fushatat e ndërgjegjësimit publik</w:t>
      </w:r>
      <w:r w:rsidRPr="00705B56">
        <w:rPr>
          <w:rFonts w:ascii="Arial" w:hAnsi="Arial" w:cs="Arial"/>
          <w:lang w:val="en"/>
        </w:rPr>
        <w:t xml:space="preserve"> dhe </w:t>
      </w:r>
      <w:r w:rsidRPr="00705B56">
        <w:rPr>
          <w:rFonts w:ascii="Arial" w:hAnsi="Arial" w:cs="Arial"/>
          <w:b/>
          <w:bCs/>
          <w:lang w:val="en"/>
        </w:rPr>
        <w:t>stërvitjet e mbrojtjes civile</w:t>
      </w:r>
      <w:r w:rsidRPr="00705B56">
        <w:rPr>
          <w:rFonts w:ascii="Arial" w:hAnsi="Arial" w:cs="Arial"/>
          <w:lang w:val="en"/>
        </w:rPr>
        <w:t xml:space="preserve"> vazhdojnë për të forcuar gatishmërinë në nivel komunitar.</w:t>
      </w:r>
    </w:p>
    <w:p w14:paraId="14ADE896" w14:textId="77777777" w:rsidR="008244CF" w:rsidRPr="00705B56" w:rsidRDefault="008244CF" w:rsidP="008244CF">
      <w:pPr>
        <w:jc w:val="both"/>
        <w:rPr>
          <w:rFonts w:ascii="Arial" w:hAnsi="Arial" w:cs="Arial"/>
          <w:lang w:val="en"/>
        </w:rPr>
      </w:pPr>
      <w:r w:rsidRPr="00705B56">
        <w:rPr>
          <w:rFonts w:ascii="Arial" w:hAnsi="Arial" w:cs="Arial"/>
          <w:lang w:val="en"/>
        </w:rPr>
        <w:t xml:space="preserve">Kuadri ligjor dhe rregullativ është përafruar gradualisht me </w:t>
      </w:r>
      <w:r w:rsidRPr="00705B56">
        <w:rPr>
          <w:rFonts w:ascii="Arial" w:hAnsi="Arial" w:cs="Arial"/>
          <w:b/>
          <w:bCs/>
          <w:lang w:val="en"/>
        </w:rPr>
        <w:t>Direktivën e BE-së për Përmbytjet (2007/60/EC)</w:t>
      </w:r>
      <w:r w:rsidRPr="00705B56">
        <w:rPr>
          <w:rFonts w:ascii="Arial" w:hAnsi="Arial" w:cs="Arial"/>
          <w:lang w:val="en"/>
        </w:rPr>
        <w:t xml:space="preserve">, duke përfshirë vlerësimet paraprake të rrezikut dhe zhvillimin e hartave për rrezikun dhe rrezikshmërinë nga përmbytjet. </w:t>
      </w:r>
      <w:r w:rsidRPr="00705B56">
        <w:rPr>
          <w:rFonts w:ascii="Arial" w:hAnsi="Arial" w:cs="Arial"/>
          <w:b/>
          <w:bCs/>
          <w:lang w:val="en"/>
        </w:rPr>
        <w:t>Ligji për Mbrojtjen Civile</w:t>
      </w:r>
      <w:r w:rsidRPr="00705B56">
        <w:rPr>
          <w:rFonts w:ascii="Arial" w:hAnsi="Arial" w:cs="Arial"/>
          <w:lang w:val="en"/>
        </w:rPr>
        <w:t xml:space="preserve"> dhe aktet nënligjore të tij ofrojnë bazën kryesore për menaxhimin e fatkeqësive, të plotësuar nga rregulloret për </w:t>
      </w:r>
      <w:r w:rsidRPr="00705B56">
        <w:rPr>
          <w:rFonts w:ascii="Arial" w:hAnsi="Arial" w:cs="Arial"/>
          <w:b/>
          <w:bCs/>
          <w:lang w:val="en"/>
        </w:rPr>
        <w:t>menaxhimin e korridoreve lumore</w:t>
      </w:r>
      <w:r w:rsidRPr="00705B56">
        <w:rPr>
          <w:rFonts w:ascii="Arial" w:hAnsi="Arial" w:cs="Arial"/>
          <w:lang w:val="en"/>
        </w:rPr>
        <w:t xml:space="preserve">, </w:t>
      </w:r>
      <w:r w:rsidRPr="00705B56">
        <w:rPr>
          <w:rFonts w:ascii="Arial" w:hAnsi="Arial" w:cs="Arial"/>
          <w:b/>
          <w:bCs/>
          <w:lang w:val="en"/>
        </w:rPr>
        <w:t>mirëmbajtjen e digave dhe argjinaturave</w:t>
      </w:r>
      <w:r w:rsidRPr="00705B56">
        <w:rPr>
          <w:rFonts w:ascii="Arial" w:hAnsi="Arial" w:cs="Arial"/>
          <w:lang w:val="en"/>
        </w:rPr>
        <w:t xml:space="preserve">, </w:t>
      </w:r>
      <w:r w:rsidRPr="00705B56">
        <w:rPr>
          <w:rFonts w:ascii="Arial" w:hAnsi="Arial" w:cs="Arial"/>
          <w:b/>
          <w:bCs/>
          <w:lang w:val="en"/>
        </w:rPr>
        <w:t>ndalimin e djegies së hapur</w:t>
      </w:r>
      <w:r w:rsidRPr="00705B56">
        <w:rPr>
          <w:rFonts w:ascii="Arial" w:hAnsi="Arial" w:cs="Arial"/>
          <w:lang w:val="en"/>
        </w:rPr>
        <w:t xml:space="preserve"> dhe </w:t>
      </w:r>
      <w:r w:rsidRPr="00705B56">
        <w:rPr>
          <w:rFonts w:ascii="Arial" w:hAnsi="Arial" w:cs="Arial"/>
          <w:b/>
          <w:bCs/>
          <w:lang w:val="en"/>
        </w:rPr>
        <w:t>menaxhimin e qëndrueshëm të pyjeve</w:t>
      </w:r>
      <w:r w:rsidRPr="00705B56">
        <w:rPr>
          <w:rFonts w:ascii="Arial" w:hAnsi="Arial" w:cs="Arial"/>
          <w:lang w:val="en"/>
        </w:rPr>
        <w:t xml:space="preserve">. Vlerësimet mjedisore dhe strategjike tani përfshijnë </w:t>
      </w:r>
      <w:r w:rsidRPr="00705B56">
        <w:rPr>
          <w:rFonts w:ascii="Arial" w:hAnsi="Arial" w:cs="Arial"/>
          <w:b/>
          <w:bCs/>
          <w:lang w:val="en"/>
        </w:rPr>
        <w:t>vlerësimin e rrezikut klimatik</w:t>
      </w:r>
      <w:r w:rsidRPr="00705B56">
        <w:rPr>
          <w:rFonts w:ascii="Arial" w:hAnsi="Arial" w:cs="Arial"/>
          <w:lang w:val="en"/>
        </w:rPr>
        <w:t>, duke siguruar që projektet hapësinore dhe infrastrukturore të marrin parasysh variacionet afatgjata klimatike dhe ekspozimin ndaj tyre.</w:t>
      </w:r>
    </w:p>
    <w:p w14:paraId="70A2CD0B" w14:textId="2EAFD24A" w:rsidR="008244CF" w:rsidRPr="00705B56" w:rsidRDefault="008244CF" w:rsidP="004C6E93">
      <w:pPr>
        <w:jc w:val="both"/>
        <w:rPr>
          <w:rFonts w:ascii="Arial" w:hAnsi="Arial" w:cs="Arial"/>
          <w:lang w:val="en"/>
        </w:rPr>
      </w:pPr>
      <w:r w:rsidRPr="00705B56">
        <w:rPr>
          <w:rFonts w:ascii="Arial" w:hAnsi="Arial" w:cs="Arial"/>
          <w:lang w:val="en"/>
        </w:rPr>
        <w:t xml:space="preserve">Në tërësi, këto iniciativa dëshmojnë për rritjen e gatishmërisë institucionale të Kosovës për t’u përballur me ndikimet e ndryshimeve klimatike, megjithëse shkalla e zbatimit dhe mbikëqyrjes ende kërkon forcim të mëtejshëm. Investimi i vazhdueshëm në infrastrukturën e adaptimit, restaurimin e ekosistemeve dhe </w:t>
      </w:r>
      <w:r w:rsidRPr="00705B56">
        <w:rPr>
          <w:rFonts w:ascii="Arial" w:hAnsi="Arial" w:cs="Arial"/>
          <w:lang w:val="en"/>
        </w:rPr>
        <w:lastRenderedPageBreak/>
        <w:t xml:space="preserve">koordinimin institucional mbetet thelbësor për arritjen e objektivave afatgjata të </w:t>
      </w:r>
      <w:r w:rsidRPr="00705B56">
        <w:rPr>
          <w:rFonts w:ascii="Arial" w:hAnsi="Arial" w:cs="Arial"/>
          <w:b/>
          <w:bCs/>
          <w:lang w:val="en"/>
        </w:rPr>
        <w:t>Strategjisë së Adaptimit ndaj Ndryshimeve Klimatike</w:t>
      </w:r>
      <w:r w:rsidRPr="00705B56">
        <w:rPr>
          <w:rFonts w:ascii="Arial" w:hAnsi="Arial" w:cs="Arial"/>
        </w:rPr>
        <w:t>.</w:t>
      </w:r>
      <w:bookmarkStart w:id="29" w:name="_heading=h.2ipl614fpxj7"/>
      <w:bookmarkEnd w:id="29"/>
    </w:p>
    <w:p w14:paraId="685DA140" w14:textId="6965C735" w:rsidR="001D4FA1" w:rsidRPr="00705B56" w:rsidRDefault="00001131" w:rsidP="008E17FD">
      <w:pPr>
        <w:pStyle w:val="Heading2"/>
        <w:spacing w:after="160"/>
        <w:rPr>
          <w:rFonts w:ascii="Arial" w:hAnsi="Arial" w:cs="Arial"/>
          <w:lang w:val="sq-AL"/>
        </w:rPr>
      </w:pPr>
      <w:bookmarkStart w:id="30" w:name="_Toc211532690"/>
      <w:r w:rsidRPr="00705B56">
        <w:rPr>
          <w:rFonts w:ascii="Arial" w:hAnsi="Arial" w:cs="Arial"/>
          <w:lang w:val="sq-AL"/>
        </w:rPr>
        <w:t>Konteksti gjeografik</w:t>
      </w:r>
      <w:bookmarkEnd w:id="30"/>
    </w:p>
    <w:p w14:paraId="78D656B8" w14:textId="2E4451B7" w:rsidR="001D4FA1" w:rsidRPr="00705B56" w:rsidRDefault="00AD6702" w:rsidP="002F70D4">
      <w:pPr>
        <w:pStyle w:val="NormalWeb"/>
        <w:widowControl w:val="0"/>
        <w:spacing w:before="160" w:beforeAutospacing="0"/>
        <w:jc w:val="both"/>
        <w:rPr>
          <w:rFonts w:ascii="Arial" w:eastAsiaTheme="minorHAnsi" w:hAnsi="Arial" w:cs="Arial"/>
          <w:kern w:val="2"/>
          <w:sz w:val="22"/>
          <w:szCs w:val="22"/>
          <w:lang w:val="sq-AL" w:eastAsia="en-US"/>
          <w14:ligatures w14:val="standardContextual"/>
        </w:rPr>
      </w:pPr>
      <w:r w:rsidRPr="00705B56">
        <w:rPr>
          <w:rFonts w:ascii="Arial" w:hAnsi="Arial" w:cs="Arial"/>
          <w:noProof/>
          <w:lang w:eastAsia="en-US"/>
        </w:rPr>
        <mc:AlternateContent>
          <mc:Choice Requires="wps">
            <w:drawing>
              <wp:anchor distT="0" distB="0" distL="114300" distR="114300" simplePos="0" relativeHeight="251817984" behindDoc="0" locked="0" layoutInCell="1" allowOverlap="1" wp14:anchorId="0EF9F167" wp14:editId="50857CEF">
                <wp:simplePos x="0" y="0"/>
                <wp:positionH relativeFrom="margin">
                  <wp:align>left</wp:align>
                </wp:positionH>
                <wp:positionV relativeFrom="paragraph">
                  <wp:posOffset>6361430</wp:posOffset>
                </wp:positionV>
                <wp:extent cx="6294120" cy="182880"/>
                <wp:effectExtent l="0" t="0" r="0" b="7620"/>
                <wp:wrapTopAndBottom/>
                <wp:docPr id="1471416284" name="Text Box 1"/>
                <wp:cNvGraphicFramePr/>
                <a:graphic xmlns:a="http://schemas.openxmlformats.org/drawingml/2006/main">
                  <a:graphicData uri="http://schemas.microsoft.com/office/word/2010/wordprocessingShape">
                    <wps:wsp>
                      <wps:cNvSpPr txBox="1"/>
                      <wps:spPr>
                        <a:xfrm>
                          <a:off x="0" y="0"/>
                          <a:ext cx="6294120" cy="182880"/>
                        </a:xfrm>
                        <a:prstGeom prst="rect">
                          <a:avLst/>
                        </a:prstGeom>
                        <a:solidFill>
                          <a:prstClr val="white"/>
                        </a:solidFill>
                        <a:ln>
                          <a:noFill/>
                        </a:ln>
                      </wps:spPr>
                      <wps:txbx>
                        <w:txbxContent>
                          <w:p w14:paraId="471C0BE7" w14:textId="261D8E47" w:rsidR="00AD6702" w:rsidRPr="002F70D4" w:rsidRDefault="00AD6702" w:rsidP="00D23BB3">
                            <w:pPr>
                              <w:pStyle w:val="Caption"/>
                              <w:rPr>
                                <w:rFonts w:ascii="Arial" w:eastAsiaTheme="minorHAnsi" w:hAnsi="Arial" w:cs="Arial"/>
                                <w:noProof/>
                                <w:sz w:val="22"/>
                                <w:szCs w:val="22"/>
                                <w:lang w:val="sq-AL" w:eastAsia="sq-AL"/>
                              </w:rPr>
                            </w:pPr>
                            <w:bookmarkStart w:id="31" w:name="_Toc211532606"/>
                            <w:r w:rsidRPr="002F70D4">
                              <w:rPr>
                                <w:rFonts w:ascii="Arial" w:hAnsi="Arial" w:cs="Arial"/>
                              </w:rPr>
                              <w:t xml:space="preserve">Figura </w:t>
                            </w:r>
                            <w:r w:rsidRPr="002F70D4">
                              <w:rPr>
                                <w:rFonts w:ascii="Arial" w:hAnsi="Arial" w:cs="Arial"/>
                              </w:rPr>
                              <w:fldChar w:fldCharType="begin"/>
                            </w:r>
                            <w:r w:rsidRPr="002F70D4">
                              <w:rPr>
                                <w:rFonts w:ascii="Arial" w:hAnsi="Arial" w:cs="Arial"/>
                              </w:rPr>
                              <w:instrText xml:space="preserve"> SEQ Figura \* ARABIC </w:instrText>
                            </w:r>
                            <w:r w:rsidRPr="002F70D4">
                              <w:rPr>
                                <w:rFonts w:ascii="Arial" w:hAnsi="Arial" w:cs="Arial"/>
                              </w:rPr>
                              <w:fldChar w:fldCharType="separate"/>
                            </w:r>
                            <w:r w:rsidR="0005579F" w:rsidRPr="002F70D4">
                              <w:rPr>
                                <w:rFonts w:ascii="Arial" w:hAnsi="Arial" w:cs="Arial"/>
                                <w:noProof/>
                              </w:rPr>
                              <w:t>5</w:t>
                            </w:r>
                            <w:r w:rsidRPr="002F70D4">
                              <w:rPr>
                                <w:rFonts w:ascii="Arial" w:hAnsi="Arial" w:cs="Arial"/>
                              </w:rPr>
                              <w:fldChar w:fldCharType="end"/>
                            </w:r>
                            <w:r w:rsidRPr="002F70D4">
                              <w:rPr>
                                <w:rFonts w:ascii="Arial" w:hAnsi="Arial" w:cs="Arial"/>
                              </w:rPr>
                              <w:t>. Pellgjet e Lumenjve të Kosovës.</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F9F167" id="_x0000_s1033" type="#_x0000_t202" style="position:absolute;left:0;text-align:left;margin-left:0;margin-top:500.9pt;width:495.6pt;height:14.4pt;z-index:251817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" stroked="f">
                <v:textbox inset="0,0,0,0">
                  <w:txbxContent>
                    <w:p w14:paraId="471C0BE7" w14:textId="261D8E47" w:rsidR="00AD6702" w:rsidRPr="002F70D4" w:rsidRDefault="00AD6702" w:rsidP="00D23BB3">
                      <w:pPr>
                        <w:pStyle w:val="Caption"/>
                        <w:rPr>
                          <w:rFonts w:ascii="Arial" w:eastAsiaTheme="minorHAnsi" w:hAnsi="Arial" w:cs="Arial"/>
                          <w:noProof/>
                          <w:sz w:val="22"/>
                          <w:szCs w:val="22"/>
                          <w:lang w:val="sq-AL" w:eastAsia="sq-AL"/>
                        </w:rPr>
                      </w:pPr>
                      <w:bookmarkStart w:id="34" w:name="_Toc211532606"/>
                      <w:r w:rsidRPr="002F70D4">
                        <w:rPr>
                          <w:rFonts w:ascii="Arial" w:hAnsi="Arial" w:cs="Arial"/>
                        </w:rPr>
                        <w:t xml:space="preserve">Figura </w:t>
                      </w:r>
                      <w:r w:rsidRPr="002F70D4">
                        <w:rPr>
                          <w:rFonts w:ascii="Arial" w:hAnsi="Arial" w:cs="Arial"/>
                        </w:rPr>
                        <w:fldChar w:fldCharType="begin"/>
                      </w:r>
                      <w:r w:rsidRPr="002F70D4">
                        <w:rPr>
                          <w:rFonts w:ascii="Arial" w:hAnsi="Arial" w:cs="Arial"/>
                        </w:rPr>
                        <w:instrText xml:space="preserve"> SEQ Figura \* ARABIC </w:instrText>
                      </w:r>
                      <w:r w:rsidRPr="002F70D4">
                        <w:rPr>
                          <w:rFonts w:ascii="Arial" w:hAnsi="Arial" w:cs="Arial"/>
                        </w:rPr>
                        <w:fldChar w:fldCharType="separate"/>
                      </w:r>
                      <w:r w:rsidR="0005579F" w:rsidRPr="002F70D4">
                        <w:rPr>
                          <w:rFonts w:ascii="Arial" w:hAnsi="Arial" w:cs="Arial"/>
                          <w:noProof/>
                        </w:rPr>
                        <w:t>5</w:t>
                      </w:r>
                      <w:r w:rsidRPr="002F70D4">
                        <w:rPr>
                          <w:rFonts w:ascii="Arial" w:hAnsi="Arial" w:cs="Arial"/>
                        </w:rPr>
                        <w:fldChar w:fldCharType="end"/>
                      </w:r>
                      <w:r w:rsidRPr="002F70D4">
                        <w:rPr>
                          <w:rFonts w:ascii="Arial" w:hAnsi="Arial" w:cs="Arial"/>
                        </w:rPr>
                        <w:t xml:space="preserve">. </w:t>
                      </w:r>
                      <w:r w:rsidRPr="002F70D4">
                        <w:rPr>
                          <w:rFonts w:ascii="Arial" w:hAnsi="Arial" w:cs="Arial"/>
                        </w:rPr>
                        <w:t>Pellgjet e Lumenjve të Kosovës.</w:t>
                      </w:r>
                      <w:bookmarkEnd w:id="34"/>
                    </w:p>
                  </w:txbxContent>
                </v:textbox>
                <w10:wrap type="topAndBottom" anchorx="margin"/>
              </v:shape>
            </w:pict>
          </mc:Fallback>
        </mc:AlternateContent>
      </w:r>
      <w:r w:rsidRPr="00705B56">
        <w:rPr>
          <w:rFonts w:ascii="Arial" w:eastAsiaTheme="minorHAnsi" w:hAnsi="Arial" w:cs="Arial"/>
          <w:noProof/>
          <w:kern w:val="2"/>
          <w:sz w:val="22"/>
          <w:szCs w:val="22"/>
          <w:lang w:eastAsia="en-US"/>
          <w14:ligatures w14:val="standardContextual"/>
        </w:rPr>
        <w:drawing>
          <wp:anchor distT="0" distB="0" distL="114300" distR="114300" simplePos="0" relativeHeight="251695104" behindDoc="0" locked="0" layoutInCell="1" allowOverlap="1" wp14:anchorId="686861C7" wp14:editId="0AFF8A11">
            <wp:simplePos x="0" y="0"/>
            <wp:positionH relativeFrom="margin">
              <wp:align>right</wp:align>
            </wp:positionH>
            <wp:positionV relativeFrom="paragraph">
              <wp:posOffset>2284095</wp:posOffset>
            </wp:positionV>
            <wp:extent cx="6477000" cy="4020185"/>
            <wp:effectExtent l="0" t="0" r="0" b="0"/>
            <wp:wrapTopAndBottom/>
            <wp:docPr id="1868934944" name="Imagen 8" descr="Interfaz de usuario gráfica, Sitio web,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15779" name="Imagen 8" descr="Interfaz de usuario gráfica, Sitio web, Escala de tiempo&#10;&#10;El contenido generado por IA puede ser incorrecto."/>
                    <pic:cNvPicPr/>
                  </pic:nvPicPr>
                  <pic:blipFill>
                    <a:blip r:embed="rId24">
                      <a:extLst>
                        <a:ext uri="{28A0092B-C50C-407E-A947-70E740481C1C}">
                          <a14:useLocalDpi xmlns:a14="http://schemas.microsoft.com/office/drawing/2010/main" val="0"/>
                        </a:ext>
                      </a:extLst>
                    </a:blip>
                    <a:stretch>
                      <a:fillRect/>
                    </a:stretch>
                  </pic:blipFill>
                  <pic:spPr>
                    <a:xfrm>
                      <a:off x="0" y="0"/>
                      <a:ext cx="6477000" cy="4020185"/>
                    </a:xfrm>
                    <a:prstGeom prst="rect">
                      <a:avLst/>
                    </a:prstGeom>
                  </pic:spPr>
                </pic:pic>
              </a:graphicData>
            </a:graphic>
            <wp14:sizeRelH relativeFrom="page">
              <wp14:pctWidth>0</wp14:pctWidth>
            </wp14:sizeRelH>
            <wp14:sizeRelV relativeFrom="page">
              <wp14:pctHeight>0</wp14:pctHeight>
            </wp14:sizeRelV>
          </wp:anchor>
        </w:drawing>
      </w:r>
      <w:r w:rsidR="00001131" w:rsidRPr="00705B56">
        <w:rPr>
          <w:rFonts w:ascii="Arial" w:eastAsiaTheme="minorHAnsi" w:hAnsi="Arial" w:cs="Arial"/>
          <w:kern w:val="2"/>
          <w:sz w:val="22"/>
          <w:szCs w:val="22"/>
          <w:lang w:val="sq-AL" w:eastAsia="en-US"/>
          <w14:ligatures w14:val="standardContextual"/>
        </w:rPr>
        <w:t xml:space="preserve">Kosova është një vend pa dalje në det në Ballkanin qendror, që mbulon një sipërfaqe prej 10,887 km². Gjeografia e saj </w:t>
      </w:r>
      <w:r w:rsidR="00B527C8" w:rsidRPr="00705B56">
        <w:rPr>
          <w:rFonts w:ascii="Arial" w:eastAsiaTheme="minorHAnsi" w:hAnsi="Arial" w:cs="Arial"/>
          <w:kern w:val="2"/>
          <w:sz w:val="22"/>
          <w:szCs w:val="22"/>
          <w:lang w:val="sq-AL" w:eastAsia="en-US"/>
          <w14:ligatures w14:val="standardContextual"/>
        </w:rPr>
        <w:t xml:space="preserve">paraqet një morfologji të ndërthurur malore dhe kodrinore, të shoqëruar me fusha pjellore qe kontibuojnë në krijimin e kushteve të dallueshme klimatike në rajonet e saj. </w:t>
      </w:r>
      <w:r w:rsidR="00001131" w:rsidRPr="00705B56">
        <w:rPr>
          <w:rFonts w:ascii="Arial" w:eastAsiaTheme="minorHAnsi" w:hAnsi="Arial" w:cs="Arial"/>
          <w:kern w:val="2"/>
          <w:sz w:val="22"/>
          <w:szCs w:val="22"/>
          <w:lang w:val="sq-AL" w:eastAsia="en-US"/>
          <w14:ligatures w14:val="standardContextual"/>
        </w:rPr>
        <w:t>Vargmalet kryesore, siç janë Malet e Sharrit në jug dhe vargmali i Kopaonikut në veri, kontribuojnë në ndryshimet rajonale të klimës. Rrafshi i Dukagjinit në perëndim dhe Rrafshi i Kosovës në lindje formojnë zemrën bujqësore të vendit, ku ndryshueshmëria e klimës ndikon ndjeshëm në prodhimin e ushqimit. Lartësitë variojnë nga afërsisht 300 metra në pellgjet e ulëta deri në mbi 2,500 metra në malet përreth. Kjo topografi e larmishme krijon zona të dallueshme klimatike. Pjesa më e madhe e Kosovës përjeton një klimë të moderuar kontinentale me verë të ngrohtë dhe dimra të ftohtë, të ndikuar nga pozicioni i saj në Evropën Juglindore. Megjithatë, afërsia e deteve Adriatik dhe Egje në jugperëndim sjell ndikime mesdhetare në Rrafshin e Dukagjinit, duke çuar në dimra më të butë dhe më shumë reshje në atë rajon. Në të kundërt, Bjeshkët e Nemuna në perëndim dhe Malet e Sharrit në jug përjetojnë një klimë alpine me temperatura më të ftohta dhe reshje të dendura dëbore. Zonat më të ftohta janë në këto lartësi të mëdha, ndërsa klima më e ngrohtë gjendet në jugperëndimin ekstrem pranë kufirit me Shqipërinë</w:t>
      </w:r>
      <w:r w:rsidR="001D4FA1" w:rsidRPr="00705B56">
        <w:rPr>
          <w:rFonts w:ascii="Arial" w:eastAsiaTheme="minorHAnsi" w:hAnsi="Arial" w:cs="Arial"/>
          <w:kern w:val="2"/>
          <w:sz w:val="22"/>
          <w:szCs w:val="22"/>
          <w:lang w:val="sq-AL" w:eastAsia="en-US"/>
          <w14:ligatures w14:val="standardContextual"/>
        </w:rPr>
        <w:t xml:space="preserve">. </w:t>
      </w:r>
    </w:p>
    <w:p w14:paraId="060126CA" w14:textId="7A13A527" w:rsidR="00001131" w:rsidRPr="00705B56" w:rsidRDefault="00001131" w:rsidP="00001131">
      <w:pPr>
        <w:pStyle w:val="NormalWeb"/>
        <w:widowControl w:val="0"/>
        <w:jc w:val="both"/>
        <w:rPr>
          <w:rFonts w:ascii="Arial" w:eastAsiaTheme="minorHAnsi" w:hAnsi="Arial" w:cs="Arial"/>
          <w:kern w:val="2"/>
          <w:sz w:val="22"/>
          <w:szCs w:val="22"/>
          <w:lang w:val="sq-AL" w:eastAsia="en-US"/>
          <w14:ligatures w14:val="standardContextual"/>
        </w:rPr>
      </w:pPr>
      <w:r w:rsidRPr="00705B56">
        <w:rPr>
          <w:rFonts w:ascii="Arial" w:eastAsiaTheme="minorHAnsi" w:hAnsi="Arial" w:cs="Arial"/>
          <w:kern w:val="2"/>
          <w:sz w:val="22"/>
          <w:szCs w:val="22"/>
          <w:lang w:val="sq-AL" w:eastAsia="en-US"/>
          <w14:ligatures w14:val="standardContextual"/>
        </w:rPr>
        <w:t>Dy fusha të gjera dominojnë gjeografinë e</w:t>
      </w:r>
      <w:r w:rsidR="0075424A" w:rsidRPr="00705B56">
        <w:rPr>
          <w:rFonts w:ascii="Arial" w:eastAsiaTheme="minorHAnsi" w:hAnsi="Arial" w:cs="Arial"/>
          <w:kern w:val="2"/>
          <w:sz w:val="22"/>
          <w:szCs w:val="22"/>
          <w:lang w:val="sq-AL" w:eastAsia="en-US"/>
          <w14:ligatures w14:val="standardContextual"/>
        </w:rPr>
        <w:t xml:space="preserve"> Kosovës:</w:t>
      </w:r>
      <w:r w:rsidRPr="00705B56">
        <w:rPr>
          <w:rFonts w:ascii="Arial" w:eastAsiaTheme="minorHAnsi" w:hAnsi="Arial" w:cs="Arial"/>
          <w:kern w:val="2"/>
          <w:sz w:val="22"/>
          <w:szCs w:val="22"/>
          <w:lang w:val="sq-AL" w:eastAsia="en-US"/>
          <w14:ligatures w14:val="standardContextual"/>
        </w:rPr>
        <w:t xml:space="preserve"> Fusha lindore e Kosovës (rreth Prishtin</w:t>
      </w:r>
      <w:r w:rsidR="00231C31" w:rsidRPr="00705B56">
        <w:rPr>
          <w:rFonts w:ascii="Arial" w:eastAsiaTheme="minorHAnsi" w:hAnsi="Arial" w:cs="Arial"/>
          <w:kern w:val="2"/>
          <w:sz w:val="22"/>
          <w:szCs w:val="22"/>
          <w:lang w:val="sq-AL" w:eastAsia="en-US"/>
          <w14:ligatures w14:val="standardContextual"/>
        </w:rPr>
        <w:t>ës</w:t>
      </w:r>
      <w:r w:rsidRPr="00705B56">
        <w:rPr>
          <w:rFonts w:ascii="Arial" w:eastAsiaTheme="minorHAnsi" w:hAnsi="Arial" w:cs="Arial"/>
          <w:kern w:val="2"/>
          <w:sz w:val="22"/>
          <w:szCs w:val="22"/>
          <w:lang w:val="sq-AL" w:eastAsia="en-US"/>
          <w14:ligatures w14:val="standardContextual"/>
        </w:rPr>
        <w:t xml:space="preserve"> dhe Mitrovicës) dhe Fusha perëndimore e Dukagjinit (rreth Pejës dhe Prizrenit). Fusha e Kosovës në verilindje është më e thatë dhe më kontinentale, ndërsa Fusha e Dukagjinit në jugperëndim merr më shumë reshje mesdhetare dhe ka më shumë ditë pa ngrica. Përdorimi i tokës ndryshon gjithashtu sipas rajonit</w:t>
      </w:r>
      <w:r w:rsidR="00231C31" w:rsidRPr="00705B56">
        <w:rPr>
          <w:rFonts w:ascii="Arial" w:eastAsiaTheme="minorHAnsi" w:hAnsi="Arial" w:cs="Arial"/>
          <w:kern w:val="2"/>
          <w:sz w:val="22"/>
          <w:szCs w:val="22"/>
          <w:lang w:eastAsia="en-US"/>
          <w14:ligatures w14:val="standardContextual"/>
        </w:rPr>
        <w:t>:</w:t>
      </w:r>
      <w:r w:rsidRPr="00705B56">
        <w:rPr>
          <w:rFonts w:ascii="Arial" w:eastAsiaTheme="minorHAnsi" w:hAnsi="Arial" w:cs="Arial"/>
          <w:kern w:val="2"/>
          <w:sz w:val="22"/>
          <w:szCs w:val="22"/>
          <w:lang w:val="sq-AL" w:eastAsia="en-US"/>
          <w14:ligatures w14:val="standardContextual"/>
        </w:rPr>
        <w:t xml:space="preserve"> pyjet mbulojnë rreth 40-43% të territorit të Kosovës, kryesisht në male, ndërsa bujqësia është e përqendruar në fusha. Këto karakteristika të tokës ndikojnë në dinamikën lokale të klimës duke ndikuar në lagështi, rrjedhje dhe mikroklima (p.sh., malet e pyllëzuara nxisin reshjet orografike dhe temperaturat më të ftohta, ndërsa zonat urbane në ultësira mund të përjetojnë efekte të ishullit të nxehtësisë).</w:t>
      </w:r>
    </w:p>
    <w:p w14:paraId="7539C189" w14:textId="77777777" w:rsidR="00001131" w:rsidRPr="00705B56" w:rsidRDefault="00001131" w:rsidP="00001131">
      <w:pPr>
        <w:spacing w:line="240" w:lineRule="auto"/>
        <w:jc w:val="both"/>
        <w:rPr>
          <w:rFonts w:ascii="Arial" w:hAnsi="Arial" w:cs="Arial"/>
          <w:lang w:val="sq-AL"/>
        </w:rPr>
      </w:pPr>
      <w:r w:rsidRPr="00705B56">
        <w:rPr>
          <w:rFonts w:ascii="Arial" w:hAnsi="Arial" w:cs="Arial"/>
          <w:lang w:val="sq-AL"/>
        </w:rPr>
        <w:t>Karakteristikat kryesore gjeografike që formësojnë dinamikën e klimës përfshijnë:</w:t>
      </w:r>
    </w:p>
    <w:p w14:paraId="43C2A0C7" w14:textId="77777777" w:rsidR="00001131" w:rsidRPr="00705B56" w:rsidRDefault="00001131" w:rsidP="00F36447">
      <w:pPr>
        <w:pStyle w:val="ListParagraph"/>
        <w:numPr>
          <w:ilvl w:val="0"/>
          <w:numId w:val="34"/>
        </w:numPr>
        <w:spacing w:line="240" w:lineRule="auto"/>
        <w:jc w:val="both"/>
        <w:rPr>
          <w:rFonts w:ascii="Arial" w:hAnsi="Arial" w:cs="Arial"/>
          <w:lang w:val="sq-AL"/>
        </w:rPr>
      </w:pPr>
      <w:r w:rsidRPr="00705B56">
        <w:rPr>
          <w:rFonts w:ascii="Arial" w:hAnsi="Arial" w:cs="Arial"/>
          <w:lang w:val="sq-AL"/>
        </w:rPr>
        <w:lastRenderedPageBreak/>
        <w:t>Vargmalet: Bjeshkët e Nemuna dhe Malet e Sharrit ndikojnë në modelet e erës dhe reshjet, duke çuar në reshje më të larta në rajonet e larta dhe kushte më të thata në lugina.</w:t>
      </w:r>
    </w:p>
    <w:p w14:paraId="1C9EBD73" w14:textId="77777777" w:rsidR="00001131" w:rsidRPr="00705B56" w:rsidRDefault="00001131" w:rsidP="00F36447">
      <w:pPr>
        <w:pStyle w:val="ListParagraph"/>
        <w:numPr>
          <w:ilvl w:val="0"/>
          <w:numId w:val="34"/>
        </w:numPr>
        <w:spacing w:line="240" w:lineRule="auto"/>
        <w:jc w:val="both"/>
        <w:rPr>
          <w:rFonts w:ascii="Arial" w:hAnsi="Arial" w:cs="Arial"/>
          <w:lang w:val="sq-AL"/>
        </w:rPr>
      </w:pPr>
      <w:r w:rsidRPr="00705B56">
        <w:rPr>
          <w:rFonts w:ascii="Arial" w:hAnsi="Arial" w:cs="Arial"/>
          <w:lang w:val="sq-AL"/>
        </w:rPr>
        <w:t>Pellgjet e lumenjve: Sistemet kryesore të lumenjve, siç është Drini i Bardhë, kontribuojnë në ndryshueshmërinë rajonale të klimës, duke ndikuar në disponueshmërinë e ujit dhe rreziqet e përmbytjeve.</w:t>
      </w:r>
    </w:p>
    <w:p w14:paraId="10D69F60" w14:textId="77777777" w:rsidR="00001131" w:rsidRPr="00705B56" w:rsidRDefault="00001131" w:rsidP="00F36447">
      <w:pPr>
        <w:pStyle w:val="ListParagraph"/>
        <w:numPr>
          <w:ilvl w:val="0"/>
          <w:numId w:val="34"/>
        </w:numPr>
        <w:spacing w:line="240" w:lineRule="auto"/>
        <w:jc w:val="both"/>
        <w:rPr>
          <w:rFonts w:ascii="Arial" w:hAnsi="Arial" w:cs="Arial"/>
          <w:lang w:val="sq-AL"/>
        </w:rPr>
      </w:pPr>
      <w:r w:rsidRPr="00705B56">
        <w:rPr>
          <w:rFonts w:ascii="Arial" w:hAnsi="Arial" w:cs="Arial"/>
          <w:lang w:val="sq-AL"/>
        </w:rPr>
        <w:t>Përdorimi i tokës: Ishujt urbanë të nxehtësisë po shfaqen në qytete si Prishtina, në kontrast me efektet ftohëse të zonave pyjore dhe bujqësore.</w:t>
      </w:r>
    </w:p>
    <w:p w14:paraId="0EB5019C" w14:textId="57E70451" w:rsidR="001D4FA1" w:rsidRPr="00705B56" w:rsidRDefault="00001131" w:rsidP="001D4FA1">
      <w:pPr>
        <w:spacing w:line="240" w:lineRule="auto"/>
        <w:jc w:val="both"/>
        <w:rPr>
          <w:rFonts w:ascii="Arial" w:hAnsi="Arial" w:cs="Arial"/>
          <w:lang w:val="sq-AL"/>
        </w:rPr>
      </w:pPr>
      <w:r w:rsidRPr="00705B56">
        <w:rPr>
          <w:rFonts w:ascii="Arial" w:hAnsi="Arial" w:cs="Arial"/>
          <w:lang w:val="sq-AL"/>
        </w:rPr>
        <w:t>Këta faktorë së bashku formësojnë ekspozimin e Kosovës ndaj rreziqeve klimatike, duke përfshirë përmbytjet, thatësirën dhe ekstremet e temperaturave.</w:t>
      </w:r>
      <w:r w:rsidR="00333D04" w:rsidRPr="00705B56">
        <w:rPr>
          <w:rFonts w:ascii="Arial" w:hAnsi="Arial" w:cs="Arial"/>
          <w:lang w:val="sq-AL"/>
        </w:rPr>
        <w:t xml:space="preserve"> </w:t>
      </w:r>
    </w:p>
    <w:p w14:paraId="3F59AC78" w14:textId="5D83E570" w:rsidR="001D4FA1" w:rsidRPr="00705B56" w:rsidRDefault="00001131" w:rsidP="008E17FD">
      <w:pPr>
        <w:pStyle w:val="Heading2"/>
        <w:rPr>
          <w:rFonts w:ascii="Arial" w:hAnsi="Arial" w:cs="Arial"/>
          <w:lang w:val="sq-AL"/>
        </w:rPr>
      </w:pPr>
      <w:bookmarkStart w:id="32" w:name="_Toc211532691"/>
      <w:r w:rsidRPr="00705B56">
        <w:rPr>
          <w:rFonts w:ascii="Arial" w:hAnsi="Arial" w:cs="Arial"/>
          <w:lang w:val="sq-AL"/>
        </w:rPr>
        <w:t>Baza historike klimatike</w:t>
      </w:r>
      <w:bookmarkEnd w:id="32"/>
    </w:p>
    <w:p w14:paraId="6E3A4451" w14:textId="4C352FF5" w:rsidR="001D4FA1" w:rsidRPr="00705B56" w:rsidRDefault="00001131" w:rsidP="001D4FA1">
      <w:pPr>
        <w:keepNext/>
        <w:spacing w:line="240" w:lineRule="auto"/>
        <w:jc w:val="both"/>
        <w:rPr>
          <w:rFonts w:ascii="Arial" w:hAnsi="Arial" w:cs="Arial"/>
          <w:lang w:val="sq-AL"/>
        </w:rPr>
      </w:pPr>
      <w:r w:rsidRPr="00705B56">
        <w:rPr>
          <w:rFonts w:ascii="Arial" w:hAnsi="Arial" w:cs="Arial"/>
          <w:lang w:val="sq-AL"/>
        </w:rPr>
        <w:t xml:space="preserve">Trendet klimatike të Kosovës kanë ndryshuar ndjeshëm gjatë dekadave të fundit. </w:t>
      </w:r>
      <w:r w:rsidRPr="00705B56">
        <w:rPr>
          <w:rFonts w:ascii="Arial" w:hAnsi="Arial" w:cs="Arial"/>
          <w:b/>
          <w:bCs/>
          <w:lang w:val="sq-AL"/>
        </w:rPr>
        <w:t>Vendi ka përjetuar një trend ngrohjeje prej afërsisht 1.2°C që nga mesi i shekullit të 20-të, me valë të nxehta që po bëhen më të shpeshta</w:t>
      </w:r>
      <w:r w:rsidR="00602635" w:rsidRPr="00705B56">
        <w:rPr>
          <w:rFonts w:ascii="Arial" w:hAnsi="Arial" w:cs="Arial"/>
          <w:lang w:val="sq-AL"/>
        </w:rPr>
        <w:t>.</w:t>
      </w:r>
      <w:r w:rsidR="001D4FA1" w:rsidRPr="00705B56">
        <w:rPr>
          <w:rStyle w:val="FootnoteReference"/>
          <w:rFonts w:ascii="Arial" w:hAnsi="Arial" w:cs="Arial"/>
          <w:lang w:val="sq-AL"/>
        </w:rPr>
        <w:footnoteReference w:id="10"/>
      </w:r>
    </w:p>
    <w:p w14:paraId="7C6F25DA" w14:textId="0644F029" w:rsidR="00D632FA" w:rsidRPr="00555EA0" w:rsidRDefault="00AD6702" w:rsidP="00555EA0">
      <w:pPr>
        <w:spacing w:line="240" w:lineRule="auto"/>
        <w:jc w:val="both"/>
        <w:rPr>
          <w:rFonts w:ascii="Arial" w:hAnsi="Arial" w:cs="Arial"/>
          <w:lang w:val="sq-AL"/>
        </w:rPr>
      </w:pPr>
      <w:r w:rsidRPr="00705B56">
        <w:rPr>
          <w:rFonts w:ascii="Arial" w:hAnsi="Arial" w:cs="Arial"/>
          <w:noProof/>
        </w:rPr>
        <mc:AlternateContent>
          <mc:Choice Requires="wps">
            <w:drawing>
              <wp:anchor distT="0" distB="0" distL="114300" distR="114300" simplePos="0" relativeHeight="251820032" behindDoc="0" locked="0" layoutInCell="1" allowOverlap="1" wp14:anchorId="04F61A21" wp14:editId="65853C2B">
                <wp:simplePos x="0" y="0"/>
                <wp:positionH relativeFrom="margin">
                  <wp:align>right</wp:align>
                </wp:positionH>
                <wp:positionV relativeFrom="paragraph">
                  <wp:posOffset>3636645</wp:posOffset>
                </wp:positionV>
                <wp:extent cx="6477000" cy="426720"/>
                <wp:effectExtent l="0" t="0" r="0" b="0"/>
                <wp:wrapTopAndBottom/>
                <wp:docPr id="1234604410" name="Text Box 1"/>
                <wp:cNvGraphicFramePr/>
                <a:graphic xmlns:a="http://schemas.openxmlformats.org/drawingml/2006/main">
                  <a:graphicData uri="http://schemas.microsoft.com/office/word/2010/wordprocessingShape">
                    <wps:wsp>
                      <wps:cNvSpPr txBox="1"/>
                      <wps:spPr>
                        <a:xfrm>
                          <a:off x="0" y="0"/>
                          <a:ext cx="6477000" cy="426720"/>
                        </a:xfrm>
                        <a:prstGeom prst="rect">
                          <a:avLst/>
                        </a:prstGeom>
                        <a:solidFill>
                          <a:prstClr val="white"/>
                        </a:solidFill>
                        <a:ln>
                          <a:noFill/>
                        </a:ln>
                      </wps:spPr>
                      <wps:txbx>
                        <w:txbxContent>
                          <w:p w14:paraId="62B522C9" w14:textId="70910396" w:rsidR="00AD6702" w:rsidRPr="002F70D4" w:rsidRDefault="00AD6702" w:rsidP="00D23BB3">
                            <w:pPr>
                              <w:pStyle w:val="Caption"/>
                              <w:rPr>
                                <w:rFonts w:ascii="Arial" w:hAnsi="Arial" w:cs="Arial"/>
                                <w:noProof/>
                                <w:sz w:val="22"/>
                                <w:szCs w:val="22"/>
                                <w:lang w:val="sq-AL" w:eastAsia="sq-AL"/>
                              </w:rPr>
                            </w:pPr>
                            <w:bookmarkStart w:id="33" w:name="_Toc211532607"/>
                            <w:r w:rsidRPr="002F70D4">
                              <w:rPr>
                                <w:rFonts w:ascii="Arial" w:hAnsi="Arial" w:cs="Arial"/>
                              </w:rPr>
                              <w:t xml:space="preserve">Figura </w:t>
                            </w:r>
                            <w:r w:rsidRPr="002F70D4">
                              <w:rPr>
                                <w:rFonts w:ascii="Arial" w:hAnsi="Arial" w:cs="Arial"/>
                              </w:rPr>
                              <w:fldChar w:fldCharType="begin"/>
                            </w:r>
                            <w:r w:rsidRPr="002F70D4">
                              <w:rPr>
                                <w:rFonts w:ascii="Arial" w:hAnsi="Arial" w:cs="Arial"/>
                              </w:rPr>
                              <w:instrText xml:space="preserve"> SEQ Figura \* ARABIC </w:instrText>
                            </w:r>
                            <w:r w:rsidRPr="002F70D4">
                              <w:rPr>
                                <w:rFonts w:ascii="Arial" w:hAnsi="Arial" w:cs="Arial"/>
                              </w:rPr>
                              <w:fldChar w:fldCharType="separate"/>
                            </w:r>
                            <w:r w:rsidR="0005579F" w:rsidRPr="002F70D4">
                              <w:rPr>
                                <w:rFonts w:ascii="Arial" w:hAnsi="Arial" w:cs="Arial"/>
                                <w:noProof/>
                              </w:rPr>
                              <w:t>6</w:t>
                            </w:r>
                            <w:r w:rsidRPr="002F70D4">
                              <w:rPr>
                                <w:rFonts w:ascii="Arial" w:hAnsi="Arial" w:cs="Arial"/>
                              </w:rPr>
                              <w:fldChar w:fldCharType="end"/>
                            </w:r>
                            <w:r w:rsidRPr="002F70D4">
                              <w:rPr>
                                <w:rFonts w:ascii="Arial" w:hAnsi="Arial" w:cs="Arial"/>
                              </w:rPr>
                              <w:t>. Ndryshimi në shpërndarjen e temperaturës mesatare të ajrit sipërfaqësor në Kosovë, e rritur me afërsisht 1.2°C gjatë disa dekadave të fundit.</w:t>
                            </w:r>
                            <w:r w:rsidR="00681279" w:rsidRPr="002F70D4">
                              <w:rPr>
                                <w:rFonts w:ascii="Arial" w:hAnsi="Arial" w:cs="Arial"/>
                              </w:rPr>
                              <w:t xml:space="preserve"> Burimi: Climate Change Knowledge Portal, World Bank (Portali i Njohurive për Ndryshimet Klimatike, Banka Botërore).</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F61A21" id="_x0000_s1034" type="#_x0000_t202" style="position:absolute;left:0;text-align:left;margin-left:458.8pt;margin-top:286.35pt;width:510pt;height:33.6pt;z-index:25182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" stroked="f">
                <v:textbox inset="0,0,0,0">
                  <w:txbxContent>
                    <w:p w14:paraId="62B522C9" w14:textId="70910396" w:rsidR="00AD6702" w:rsidRPr="002F70D4" w:rsidRDefault="00AD6702" w:rsidP="00D23BB3">
                      <w:pPr>
                        <w:pStyle w:val="Caption"/>
                        <w:rPr>
                          <w:rFonts w:ascii="Arial" w:hAnsi="Arial" w:cs="Arial"/>
                          <w:noProof/>
                          <w:sz w:val="22"/>
                          <w:szCs w:val="22"/>
                          <w:lang w:val="sq-AL" w:eastAsia="sq-AL"/>
                        </w:rPr>
                      </w:pPr>
                      <w:bookmarkStart w:id="37" w:name="_Toc211532607"/>
                      <w:r w:rsidRPr="002F70D4">
                        <w:rPr>
                          <w:rFonts w:ascii="Arial" w:hAnsi="Arial" w:cs="Arial"/>
                        </w:rPr>
                        <w:t xml:space="preserve">Figura </w:t>
                      </w:r>
                      <w:r w:rsidRPr="002F70D4">
                        <w:rPr>
                          <w:rFonts w:ascii="Arial" w:hAnsi="Arial" w:cs="Arial"/>
                        </w:rPr>
                        <w:fldChar w:fldCharType="begin"/>
                      </w:r>
                      <w:r w:rsidRPr="002F70D4">
                        <w:rPr>
                          <w:rFonts w:ascii="Arial" w:hAnsi="Arial" w:cs="Arial"/>
                        </w:rPr>
                        <w:instrText xml:space="preserve"> SEQ Figura \* ARABIC </w:instrText>
                      </w:r>
                      <w:r w:rsidRPr="002F70D4">
                        <w:rPr>
                          <w:rFonts w:ascii="Arial" w:hAnsi="Arial" w:cs="Arial"/>
                        </w:rPr>
                        <w:fldChar w:fldCharType="separate"/>
                      </w:r>
                      <w:r w:rsidR="0005579F" w:rsidRPr="002F70D4">
                        <w:rPr>
                          <w:rFonts w:ascii="Arial" w:hAnsi="Arial" w:cs="Arial"/>
                          <w:noProof/>
                        </w:rPr>
                        <w:t>6</w:t>
                      </w:r>
                      <w:r w:rsidRPr="002F70D4">
                        <w:rPr>
                          <w:rFonts w:ascii="Arial" w:hAnsi="Arial" w:cs="Arial"/>
                        </w:rPr>
                        <w:fldChar w:fldCharType="end"/>
                      </w:r>
                      <w:r w:rsidRPr="002F70D4">
                        <w:rPr>
                          <w:rFonts w:ascii="Arial" w:hAnsi="Arial" w:cs="Arial"/>
                        </w:rPr>
                        <w:t xml:space="preserve">. </w:t>
                      </w:r>
                      <w:r w:rsidRPr="002F70D4">
                        <w:rPr>
                          <w:rFonts w:ascii="Arial" w:hAnsi="Arial" w:cs="Arial"/>
                        </w:rPr>
                        <w:t>Ndryshimi në shpërndarjen e temperaturës mesatare të ajrit sipërfaqësor në Kosovë, e rritur me afërsisht 1.2°C gjatë disa dekadave të fundit.</w:t>
                      </w:r>
                      <w:r w:rsidR="00681279" w:rsidRPr="002F70D4">
                        <w:rPr>
                          <w:rFonts w:ascii="Arial" w:hAnsi="Arial" w:cs="Arial"/>
                        </w:rPr>
                        <w:t xml:space="preserve"> Burimi: Climate Change Knowledge Portal, World Bank (Portali i Njohurive për Ndryshimet Klimatike, Banka Botërore).</w:t>
                      </w:r>
                      <w:bookmarkEnd w:id="37"/>
                    </w:p>
                  </w:txbxContent>
                </v:textbox>
                <w10:wrap type="topAndBottom" anchorx="margin"/>
              </v:shape>
            </w:pict>
          </mc:Fallback>
        </mc:AlternateContent>
      </w:r>
      <w:r w:rsidR="00D632FA" w:rsidRPr="00705B56">
        <w:rPr>
          <w:rFonts w:ascii="Arial" w:hAnsi="Arial" w:cs="Arial"/>
          <w:noProof/>
        </w:rPr>
        <w:drawing>
          <wp:anchor distT="0" distB="0" distL="114300" distR="114300" simplePos="0" relativeHeight="251682816" behindDoc="1" locked="0" layoutInCell="1" allowOverlap="1" wp14:anchorId="01FD8033" wp14:editId="46EB9F56">
            <wp:simplePos x="0" y="0"/>
            <wp:positionH relativeFrom="margin">
              <wp:posOffset>1402080</wp:posOffset>
            </wp:positionH>
            <wp:positionV relativeFrom="paragraph">
              <wp:posOffset>366395</wp:posOffset>
            </wp:positionV>
            <wp:extent cx="3676650" cy="3303905"/>
            <wp:effectExtent l="0" t="0" r="0" b="0"/>
            <wp:wrapTopAndBottom/>
            <wp:docPr id="10290767" name="Picture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767" name="Picture 1" descr="Gráfico&#10;&#10;El contenido generado por IA puede ser incorrecto."/>
                    <pic:cNvPicPr/>
                  </pic:nvPicPr>
                  <pic:blipFill>
                    <a:blip r:embed="rId25" cstate="print">
                      <a:extLst>
                        <a:ext uri="{28A0092B-C50C-407E-A947-70E740481C1C}">
                          <a14:useLocalDpi xmlns:a14="http://schemas.microsoft.com/office/drawing/2010/main" val="0"/>
                        </a:ext>
                      </a:extLst>
                    </a:blip>
                    <a:srcRect r="1223"/>
                    <a:stretch>
                      <a:fillRect/>
                    </a:stretch>
                  </pic:blipFill>
                  <pic:spPr>
                    <a:xfrm>
                      <a:off x="0" y="0"/>
                      <a:ext cx="3676650" cy="3303905"/>
                    </a:xfrm>
                    <a:prstGeom prst="rect">
                      <a:avLst/>
                    </a:prstGeom>
                  </pic:spPr>
                </pic:pic>
              </a:graphicData>
            </a:graphic>
            <wp14:sizeRelH relativeFrom="page">
              <wp14:pctWidth>0</wp14:pctWidth>
            </wp14:sizeRelH>
            <wp14:sizeRelV relativeFrom="page">
              <wp14:pctHeight>0</wp14:pctHeight>
            </wp14:sizeRelV>
          </wp:anchor>
        </w:drawing>
      </w:r>
      <w:r w:rsidR="00B30ADE" w:rsidRPr="00705B56">
        <w:rPr>
          <w:rFonts w:ascii="Arial" w:hAnsi="Arial" w:cs="Arial"/>
          <w:lang w:val="sq-AL"/>
        </w:rPr>
        <w:t>Vëzhgimet e fundit të temperaturës tregojnë një rritje si të temperaturave mesatare vjetore ashtu edhe të numrit të ditëve me valë të nxehti. Sipas IHMK, korriku renditet vazhdimisht si muaji më i nxehtë në vit. Në vitin 2023, korriku u regjistrua si muaji i dytë më i nxehtë që nga viti 2001, me temperatura minimale rekord të larta, duke treguar një trend në rritje në nivelet e nxehtësisë gjatë natës</w:t>
      </w:r>
      <w:r w:rsidR="00602635" w:rsidRPr="00705B56">
        <w:rPr>
          <w:rFonts w:ascii="Arial" w:hAnsi="Arial" w:cs="Arial"/>
          <w:lang w:val="sq-AL"/>
        </w:rPr>
        <w:t>.</w:t>
      </w:r>
      <w:r w:rsidR="001D4FA1" w:rsidRPr="00705B56">
        <w:rPr>
          <w:rStyle w:val="FootnoteReference"/>
          <w:rFonts w:ascii="Arial" w:hAnsi="Arial" w:cs="Arial"/>
          <w:lang w:val="sq-AL"/>
        </w:rPr>
        <w:footnoteReference w:id="11"/>
      </w:r>
      <w:r w:rsidR="00D632FA" w:rsidRPr="00705B56">
        <w:rPr>
          <w:rFonts w:ascii="Arial" w:hAnsi="Arial" w:cs="Arial"/>
          <w:sz w:val="20"/>
          <w:szCs w:val="20"/>
          <w:lang w:val="sq-AL"/>
        </w:rPr>
        <w:t xml:space="preserve"> </w:t>
      </w:r>
    </w:p>
    <w:p w14:paraId="7A6C0D3B" w14:textId="1757C186" w:rsidR="001D4FA1" w:rsidRPr="00705B56" w:rsidRDefault="00B30ADE" w:rsidP="001D4FA1">
      <w:pPr>
        <w:spacing w:line="240" w:lineRule="auto"/>
        <w:jc w:val="both"/>
        <w:rPr>
          <w:rFonts w:ascii="Arial" w:hAnsi="Arial" w:cs="Arial"/>
          <w:lang w:val="sq-AL"/>
        </w:rPr>
      </w:pPr>
      <w:r w:rsidRPr="00705B56">
        <w:rPr>
          <w:rFonts w:ascii="Arial" w:hAnsi="Arial" w:cs="Arial"/>
          <w:lang w:val="sq-AL"/>
        </w:rPr>
        <w:t>Kosova ka përjetuar gjithashtu ndryshime të rëndësishme hidrologjike, me ndryshueshmëri në rritje në modelet e reshjeve. Ndërsa reshjet totale vjetore mbeten të larta, shpërndarja e tyre po ndryshon, duke çuar në periudha më të gjata thatësire dhe ngjarje më intensive reshjesh</w:t>
      </w:r>
      <w:r w:rsidR="001D4FA1" w:rsidRPr="00705B56">
        <w:rPr>
          <w:rStyle w:val="FootnoteReference"/>
          <w:rFonts w:ascii="Arial" w:hAnsi="Arial" w:cs="Arial"/>
          <w:lang w:val="sq-AL"/>
        </w:rPr>
        <w:footnoteReference w:id="12"/>
      </w:r>
      <w:r w:rsidR="001D4FA1" w:rsidRPr="00705B56">
        <w:rPr>
          <w:rFonts w:ascii="Arial" w:hAnsi="Arial" w:cs="Arial"/>
          <w:lang w:val="sq-AL"/>
        </w:rPr>
        <w:t>:</w:t>
      </w:r>
    </w:p>
    <w:p w14:paraId="108F91F9" w14:textId="77777777" w:rsidR="00B30ADE" w:rsidRPr="00705B56" w:rsidRDefault="00B30ADE" w:rsidP="00F36447">
      <w:pPr>
        <w:pStyle w:val="ListParagraph"/>
        <w:numPr>
          <w:ilvl w:val="0"/>
          <w:numId w:val="1"/>
        </w:numPr>
        <w:spacing w:before="0" w:line="240" w:lineRule="auto"/>
        <w:jc w:val="both"/>
        <w:rPr>
          <w:rFonts w:ascii="Arial" w:hAnsi="Arial" w:cs="Arial"/>
          <w:lang w:val="sq-AL"/>
        </w:rPr>
      </w:pPr>
      <w:r w:rsidRPr="00705B56">
        <w:rPr>
          <w:rFonts w:ascii="Arial" w:hAnsi="Arial" w:cs="Arial"/>
          <w:lang w:val="sq-AL"/>
        </w:rPr>
        <w:t>Përmbytjet më të shpeshta në zonat malore, veçanërisht në pellgun e Drinit, ku vërshimet ndodhin çdo dy deri në tre vjet.</w:t>
      </w:r>
    </w:p>
    <w:p w14:paraId="6EDFB773" w14:textId="77777777" w:rsidR="00B30ADE" w:rsidRPr="00705B56" w:rsidRDefault="00B30ADE" w:rsidP="00F36447">
      <w:pPr>
        <w:pStyle w:val="ListParagraph"/>
        <w:numPr>
          <w:ilvl w:val="0"/>
          <w:numId w:val="1"/>
        </w:numPr>
        <w:spacing w:before="0" w:line="240" w:lineRule="auto"/>
        <w:jc w:val="both"/>
        <w:rPr>
          <w:rFonts w:ascii="Arial" w:hAnsi="Arial" w:cs="Arial"/>
          <w:lang w:val="sq-AL"/>
        </w:rPr>
      </w:pPr>
      <w:r w:rsidRPr="00705B56">
        <w:rPr>
          <w:rFonts w:ascii="Arial" w:hAnsi="Arial" w:cs="Arial"/>
          <w:lang w:val="sq-AL"/>
        </w:rPr>
        <w:t>Përmbytje të mëdha në vitet 2013, 2014 dhe 2016, duke shkaktuar dëme të vlerësuara në mbi 4 milionë euro.</w:t>
      </w:r>
    </w:p>
    <w:p w14:paraId="4B033015" w14:textId="04258E93" w:rsidR="001D4FA1" w:rsidRPr="00705B56" w:rsidRDefault="00B30ADE" w:rsidP="00F36447">
      <w:pPr>
        <w:pStyle w:val="ListParagraph"/>
        <w:numPr>
          <w:ilvl w:val="0"/>
          <w:numId w:val="1"/>
        </w:numPr>
        <w:spacing w:before="0" w:line="240" w:lineRule="auto"/>
        <w:jc w:val="both"/>
        <w:rPr>
          <w:rFonts w:ascii="Arial" w:hAnsi="Arial" w:cs="Arial"/>
          <w:lang w:val="sq-AL"/>
        </w:rPr>
      </w:pPr>
      <w:r w:rsidRPr="00705B56">
        <w:rPr>
          <w:rFonts w:ascii="Arial" w:hAnsi="Arial" w:cs="Arial"/>
          <w:lang w:val="sq-AL"/>
        </w:rPr>
        <w:lastRenderedPageBreak/>
        <w:t>Thatësira që prekin mbi 80% të komunave që nga viti 2004, duke çuar në përkeqësimin e problemeve të mungesës së ujit</w:t>
      </w:r>
      <w:r w:rsidR="00455389" w:rsidRPr="00705B56">
        <w:rPr>
          <w:rFonts w:ascii="Arial" w:hAnsi="Arial" w:cs="Arial"/>
          <w:lang w:val="sq-AL"/>
        </w:rPr>
        <w:t>.</w:t>
      </w:r>
      <w:r w:rsidR="001D4FA1" w:rsidRPr="00705B56">
        <w:rPr>
          <w:rStyle w:val="FootnoteReference"/>
          <w:rFonts w:ascii="Arial" w:hAnsi="Arial" w:cs="Arial"/>
          <w:lang w:val="sq-AL"/>
        </w:rPr>
        <w:footnoteReference w:id="13"/>
      </w:r>
    </w:p>
    <w:p w14:paraId="348FB532" w14:textId="7CDF41C7" w:rsidR="001D4FA1" w:rsidRPr="00705B56" w:rsidRDefault="00B30ADE" w:rsidP="001D4FA1">
      <w:pPr>
        <w:spacing w:line="240" w:lineRule="auto"/>
        <w:jc w:val="both"/>
        <w:rPr>
          <w:rFonts w:ascii="Arial" w:hAnsi="Arial" w:cs="Arial"/>
          <w:lang w:val="sq-AL"/>
        </w:rPr>
      </w:pPr>
      <w:r w:rsidRPr="00705B56">
        <w:rPr>
          <w:rFonts w:ascii="Arial" w:hAnsi="Arial" w:cs="Arial"/>
          <w:lang w:val="sq-AL"/>
        </w:rPr>
        <w:t>Përveç kësaj, të dhënat nga Portali i Njohurive për Ndryshimet Klimatike dhe Vlerësimi Paraprak i Rrezikut nga Përmbytjet (2021) konfirmojnë</w:t>
      </w:r>
      <w:r w:rsidR="001D4FA1" w:rsidRPr="00705B56">
        <w:rPr>
          <w:rFonts w:ascii="Arial" w:hAnsi="Arial" w:cs="Arial"/>
          <w:lang w:val="sq-AL"/>
        </w:rPr>
        <w:t xml:space="preserve"> </w:t>
      </w:r>
      <w:r w:rsidR="001D4FA1" w:rsidRPr="00705B56">
        <w:rPr>
          <w:rStyle w:val="FootnoteReference"/>
          <w:rFonts w:ascii="Arial" w:hAnsi="Arial" w:cs="Arial"/>
          <w:lang w:val="sq-AL"/>
        </w:rPr>
        <w:footnoteReference w:id="14"/>
      </w:r>
      <w:r w:rsidR="001D4FA1" w:rsidRPr="00705B56">
        <w:rPr>
          <w:rFonts w:ascii="Arial" w:hAnsi="Arial" w:cs="Arial"/>
          <w:vertAlign w:val="superscript"/>
          <w:lang w:val="sq-AL"/>
        </w:rPr>
        <w:t>,</w:t>
      </w:r>
      <w:r w:rsidR="001D4FA1" w:rsidRPr="00705B56">
        <w:rPr>
          <w:rStyle w:val="FootnoteReference"/>
          <w:rFonts w:ascii="Arial" w:hAnsi="Arial" w:cs="Arial"/>
          <w:lang w:val="sq-AL"/>
        </w:rPr>
        <w:footnoteReference w:id="15"/>
      </w:r>
      <w:r w:rsidR="001D4FA1" w:rsidRPr="00705B56">
        <w:rPr>
          <w:rFonts w:ascii="Arial" w:hAnsi="Arial" w:cs="Arial"/>
          <w:lang w:val="sq-AL"/>
        </w:rPr>
        <w:t>:</w:t>
      </w:r>
    </w:p>
    <w:p w14:paraId="58EA8837" w14:textId="2BD62CD8" w:rsidR="00B30ADE" w:rsidRPr="00705B56" w:rsidRDefault="00B30ADE" w:rsidP="00F36447">
      <w:pPr>
        <w:pStyle w:val="ListParagraph"/>
        <w:numPr>
          <w:ilvl w:val="0"/>
          <w:numId w:val="3"/>
        </w:numPr>
        <w:spacing w:before="0" w:line="240" w:lineRule="auto"/>
        <w:jc w:val="both"/>
        <w:rPr>
          <w:rFonts w:ascii="Arial" w:hAnsi="Arial" w:cs="Arial"/>
          <w:lang w:val="sq-AL"/>
        </w:rPr>
      </w:pPr>
      <w:r w:rsidRPr="00705B56">
        <w:rPr>
          <w:rFonts w:ascii="Arial" w:hAnsi="Arial" w:cs="Arial"/>
          <w:lang w:val="sq-AL"/>
        </w:rPr>
        <w:t>Temperatura mesatare vjetore në Kosovë është rritur me afërsisht 1.2°C gjatë 50 viteve të fundit.</w:t>
      </w:r>
    </w:p>
    <w:p w14:paraId="387878DA" w14:textId="0E7D6C3F" w:rsidR="00B30ADE" w:rsidRPr="00705B56" w:rsidRDefault="00B30ADE" w:rsidP="00F36447">
      <w:pPr>
        <w:pStyle w:val="ListParagraph"/>
        <w:numPr>
          <w:ilvl w:val="0"/>
          <w:numId w:val="3"/>
        </w:numPr>
        <w:spacing w:before="0" w:line="240" w:lineRule="auto"/>
        <w:jc w:val="both"/>
        <w:rPr>
          <w:rFonts w:ascii="Arial" w:hAnsi="Arial" w:cs="Arial"/>
          <w:lang w:val="sq-AL"/>
        </w:rPr>
      </w:pPr>
      <w:r w:rsidRPr="00705B56">
        <w:rPr>
          <w:rFonts w:ascii="Arial" w:hAnsi="Arial" w:cs="Arial"/>
          <w:lang w:val="sq-AL"/>
        </w:rPr>
        <w:t>Rrjedha e lumenjve në verë është zvogëluar, duke çuar në stres uji në bujqësi dhe sistemet komunale të furnizimit.</w:t>
      </w:r>
    </w:p>
    <w:p w14:paraId="0E1EB887" w14:textId="48044959" w:rsidR="001D4FA1" w:rsidRPr="00705B56" w:rsidRDefault="00B30ADE" w:rsidP="00F36447">
      <w:pPr>
        <w:pStyle w:val="ListParagraph"/>
        <w:numPr>
          <w:ilvl w:val="0"/>
          <w:numId w:val="3"/>
        </w:numPr>
        <w:spacing w:before="0" w:line="240" w:lineRule="auto"/>
        <w:jc w:val="both"/>
        <w:rPr>
          <w:rFonts w:ascii="Arial" w:hAnsi="Arial" w:cs="Arial"/>
          <w:lang w:val="sq-AL"/>
        </w:rPr>
      </w:pPr>
      <w:r w:rsidRPr="00705B56">
        <w:rPr>
          <w:rFonts w:ascii="Arial" w:hAnsi="Arial" w:cs="Arial"/>
          <w:lang w:val="sq-AL"/>
        </w:rPr>
        <w:t>Pellgjet e lumenjve Drini i Bardhë, Ibër, Morava e Binçës dhe Lepenc përjetojnë shkallë të ndryshme të rrezikut të përmbytjeve, me më shumë se 491 km lumenj të prekshëm nga përmbytjet</w:t>
      </w:r>
      <w:r w:rsidR="001D4FA1" w:rsidRPr="00705B56">
        <w:rPr>
          <w:rFonts w:ascii="Arial" w:hAnsi="Arial" w:cs="Arial"/>
          <w:lang w:val="sq-AL"/>
        </w:rPr>
        <w:t>.</w:t>
      </w:r>
    </w:p>
    <w:p w14:paraId="66110619" w14:textId="2764BA54" w:rsidR="001D4FA1" w:rsidRPr="00705B56" w:rsidRDefault="00B30ADE" w:rsidP="001D4FA1">
      <w:pPr>
        <w:spacing w:before="0" w:line="240" w:lineRule="auto"/>
        <w:jc w:val="both"/>
        <w:rPr>
          <w:rFonts w:ascii="Arial" w:hAnsi="Arial" w:cs="Arial"/>
          <w:lang w:val="sq-AL"/>
        </w:rPr>
      </w:pPr>
      <w:r w:rsidRPr="00705B56">
        <w:rPr>
          <w:rFonts w:ascii="Arial" w:hAnsi="Arial" w:cs="Arial"/>
          <w:lang w:val="sq-AL"/>
        </w:rPr>
        <w:t>Rreziku i përmbytjeve zakonisht matet me Humbjen Mesatare Vjetore (HMM), e cila pasqyron ndikimin e vlerësuar ekonomik vjetor të ngjarjeve të përmbytjeve dhe Raportin e Humbjeve përkatëse (i llogaritur duke pjesëtuar HMM me koston e vlerësuar të rindërtimit të të gjithë stokut të ndërtesave). Tabela më poshtë tregon rezultatet e vlerësimit të rrezikut të përmbytjeve për situatën aktuale në Kosovë dhe tre të ardhme të mundshme: RCP 2.6, 4.5 dhe 8.5. Ndërtesat u ndanë sipas llojit (banesore, tregtare, industriale), dhe popullsia e prekur (që jeton në një zonë që përjeton mbi 20 cm ujë gjatë një përmbytjeje) është dhënë si një mesatare vjetore.</w:t>
      </w:r>
    </w:p>
    <w:p w14:paraId="18142092" w14:textId="2FDED30A" w:rsidR="001D4FA1" w:rsidRPr="00705B56" w:rsidRDefault="006D1316" w:rsidP="006D1316">
      <w:pPr>
        <w:pStyle w:val="Caption"/>
        <w:rPr>
          <w:rFonts w:ascii="Arial" w:hAnsi="Arial" w:cs="Arial"/>
          <w:color w:val="auto"/>
          <w:sz w:val="20"/>
          <w:szCs w:val="20"/>
          <w:lang w:val="sq-AL"/>
        </w:rPr>
      </w:pPr>
      <w:bookmarkStart w:id="34" w:name="_Toc211532729"/>
      <w:r w:rsidRPr="00705B56">
        <w:rPr>
          <w:rFonts w:ascii="Arial" w:hAnsi="Arial" w:cs="Arial"/>
        </w:rPr>
        <w:t xml:space="preserve">Tabela </w:t>
      </w:r>
      <w:r w:rsidR="0097040B" w:rsidRPr="00705B56">
        <w:rPr>
          <w:rFonts w:ascii="Arial" w:hAnsi="Arial" w:cs="Arial"/>
        </w:rPr>
        <w:fldChar w:fldCharType="begin"/>
      </w:r>
      <w:r w:rsidR="0097040B" w:rsidRPr="00705B56">
        <w:rPr>
          <w:rFonts w:ascii="Arial" w:hAnsi="Arial" w:cs="Arial"/>
        </w:rPr>
        <w:instrText xml:space="preserve"> SEQ Tabela \* ARABIC </w:instrText>
      </w:r>
      <w:r w:rsidR="0097040B" w:rsidRPr="00705B56">
        <w:rPr>
          <w:rFonts w:ascii="Arial" w:hAnsi="Arial" w:cs="Arial"/>
        </w:rPr>
        <w:fldChar w:fldCharType="separate"/>
      </w:r>
      <w:r w:rsidR="00C62DE9">
        <w:rPr>
          <w:rFonts w:ascii="Arial" w:hAnsi="Arial" w:cs="Arial"/>
          <w:noProof/>
        </w:rPr>
        <w:t>2</w:t>
      </w:r>
      <w:r w:rsidR="0097040B" w:rsidRPr="00705B56">
        <w:rPr>
          <w:rFonts w:ascii="Arial" w:hAnsi="Arial" w:cs="Arial"/>
          <w:noProof/>
        </w:rPr>
        <w:fldChar w:fldCharType="end"/>
      </w:r>
      <w:r w:rsidRPr="00705B56">
        <w:rPr>
          <w:rFonts w:ascii="Arial" w:hAnsi="Arial" w:cs="Arial"/>
        </w:rPr>
        <w:t>.Rezultatet e vlerësimit të rrezikut nga përmbytjet për skenarin bazë aktual në Kosovë, si dhe për tre skenarë të parashikuar në të ardhmen bazuar në shtigjet klimatike RCP 2.6, RCP 4.5 dhe RCP 8.5.</w:t>
      </w:r>
      <w:r w:rsidR="007B0C6E" w:rsidRPr="00705B56">
        <w:rPr>
          <w:rStyle w:val="FootnoteReference"/>
          <w:rFonts w:ascii="Arial" w:hAnsi="Arial" w:cs="Arial"/>
          <w:color w:val="auto"/>
          <w:sz w:val="20"/>
          <w:szCs w:val="20"/>
          <w:lang w:val="sq-AL"/>
        </w:rPr>
        <w:footnoteReference w:id="16"/>
      </w:r>
      <w:bookmarkEnd w:id="34"/>
    </w:p>
    <w:tbl>
      <w:tblPr>
        <w:tblStyle w:val="GridTable2"/>
        <w:tblW w:w="0" w:type="auto"/>
        <w:tblLook w:val="04A0" w:firstRow="1" w:lastRow="0" w:firstColumn="1" w:lastColumn="0" w:noHBand="0" w:noVBand="1"/>
      </w:tblPr>
      <w:tblGrid>
        <w:gridCol w:w="1121"/>
        <w:gridCol w:w="950"/>
        <w:gridCol w:w="3344"/>
        <w:gridCol w:w="2026"/>
        <w:gridCol w:w="2765"/>
      </w:tblGrid>
      <w:tr w:rsidR="00B30ADE" w:rsidRPr="00705B56" w14:paraId="6B9533A7" w14:textId="77777777" w:rsidTr="00B30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D00402" w14:textId="77777777" w:rsidR="00B30ADE" w:rsidRPr="00705B56" w:rsidRDefault="00B30ADE" w:rsidP="00B30ADE">
            <w:pPr>
              <w:spacing w:before="0" w:after="160" w:line="240" w:lineRule="auto"/>
              <w:jc w:val="both"/>
              <w:rPr>
                <w:rFonts w:ascii="Arial" w:hAnsi="Arial" w:cs="Arial"/>
                <w:lang w:val="sq-AL"/>
              </w:rPr>
            </w:pPr>
            <w:r w:rsidRPr="00705B56">
              <w:rPr>
                <w:rFonts w:ascii="Arial" w:hAnsi="Arial" w:cs="Arial"/>
                <w:lang w:val="sq-AL"/>
              </w:rPr>
              <w:t>Skenari</w:t>
            </w:r>
          </w:p>
        </w:tc>
        <w:tc>
          <w:tcPr>
            <w:tcW w:w="0" w:type="auto"/>
            <w:hideMark/>
          </w:tcPr>
          <w:p w14:paraId="6A36C5A6" w14:textId="77777777" w:rsidR="00B30ADE" w:rsidRPr="00705B56" w:rsidRDefault="00B30ADE" w:rsidP="00B30ADE">
            <w:pPr>
              <w:spacing w:before="0" w:after="16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sq-AL"/>
              </w:rPr>
            </w:pPr>
            <w:r w:rsidRPr="00705B56">
              <w:rPr>
                <w:rFonts w:ascii="Arial" w:hAnsi="Arial" w:cs="Arial"/>
                <w:lang w:val="sq-AL"/>
              </w:rPr>
              <w:t>Shteti</w:t>
            </w:r>
          </w:p>
        </w:tc>
        <w:tc>
          <w:tcPr>
            <w:tcW w:w="0" w:type="auto"/>
            <w:hideMark/>
          </w:tcPr>
          <w:p w14:paraId="52495422" w14:textId="77777777" w:rsidR="00B30ADE" w:rsidRPr="00705B56" w:rsidRDefault="00B30ADE" w:rsidP="00B30ADE">
            <w:pPr>
              <w:spacing w:before="0" w:after="16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sq-AL"/>
              </w:rPr>
            </w:pPr>
            <w:r w:rsidRPr="00705B56">
              <w:rPr>
                <w:rFonts w:ascii="Arial" w:hAnsi="Arial" w:cs="Arial"/>
                <w:lang w:val="sq-AL"/>
              </w:rPr>
              <w:t>AAL – Humbja Mesatare Vjetore (USD)</w:t>
            </w:r>
          </w:p>
        </w:tc>
        <w:tc>
          <w:tcPr>
            <w:tcW w:w="0" w:type="auto"/>
            <w:hideMark/>
          </w:tcPr>
          <w:p w14:paraId="622D8C98" w14:textId="77777777" w:rsidR="00B30ADE" w:rsidRPr="00705B56" w:rsidRDefault="00B30ADE" w:rsidP="00B30ADE">
            <w:pPr>
              <w:spacing w:before="0" w:after="16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sq-AL"/>
              </w:rPr>
            </w:pPr>
            <w:r w:rsidRPr="00705B56">
              <w:rPr>
                <w:rFonts w:ascii="Arial" w:hAnsi="Arial" w:cs="Arial"/>
                <w:lang w:val="sq-AL"/>
              </w:rPr>
              <w:t>Raporti i Humbjes (%)</w:t>
            </w:r>
          </w:p>
        </w:tc>
        <w:tc>
          <w:tcPr>
            <w:tcW w:w="0" w:type="auto"/>
            <w:hideMark/>
          </w:tcPr>
          <w:p w14:paraId="087780CF" w14:textId="77777777" w:rsidR="00B30ADE" w:rsidRPr="00705B56" w:rsidRDefault="00B30ADE" w:rsidP="00B30ADE">
            <w:pPr>
              <w:spacing w:before="0" w:after="16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sq-AL"/>
              </w:rPr>
            </w:pPr>
            <w:r w:rsidRPr="00705B56">
              <w:rPr>
                <w:rFonts w:ascii="Arial" w:hAnsi="Arial" w:cs="Arial"/>
                <w:lang w:val="sq-AL"/>
              </w:rPr>
              <w:t>Popullsia mesatare e ekspozuar</w:t>
            </w:r>
          </w:p>
        </w:tc>
      </w:tr>
      <w:tr w:rsidR="00B30ADE" w:rsidRPr="00705B56" w14:paraId="09888E09" w14:textId="77777777" w:rsidTr="00B30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EB7F2F" w14:textId="77777777" w:rsidR="00B30ADE" w:rsidRPr="00705B56" w:rsidRDefault="00B30ADE" w:rsidP="00B30ADE">
            <w:pPr>
              <w:spacing w:before="0" w:after="160" w:line="240" w:lineRule="auto"/>
              <w:jc w:val="both"/>
              <w:rPr>
                <w:rFonts w:ascii="Arial" w:hAnsi="Arial" w:cs="Arial"/>
                <w:lang w:val="sq-AL"/>
              </w:rPr>
            </w:pPr>
            <w:r w:rsidRPr="00705B56">
              <w:rPr>
                <w:rFonts w:ascii="Arial" w:hAnsi="Arial" w:cs="Arial"/>
                <w:lang w:val="sq-AL"/>
              </w:rPr>
              <w:t>Baseline</w:t>
            </w:r>
          </w:p>
        </w:tc>
        <w:tc>
          <w:tcPr>
            <w:tcW w:w="0" w:type="auto"/>
            <w:hideMark/>
          </w:tcPr>
          <w:p w14:paraId="467B0F1B" w14:textId="77777777" w:rsidR="00B30ADE" w:rsidRPr="00705B56" w:rsidRDefault="00B30ADE" w:rsidP="00B30ADE">
            <w:pPr>
              <w:spacing w:before="0" w:after="16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sq-AL"/>
              </w:rPr>
            </w:pPr>
            <w:r w:rsidRPr="00705B56">
              <w:rPr>
                <w:rFonts w:ascii="Arial" w:hAnsi="Arial" w:cs="Arial"/>
                <w:lang w:val="sq-AL"/>
              </w:rPr>
              <w:t>Kosova</w:t>
            </w:r>
          </w:p>
        </w:tc>
        <w:tc>
          <w:tcPr>
            <w:tcW w:w="0" w:type="auto"/>
            <w:hideMark/>
          </w:tcPr>
          <w:p w14:paraId="79FF6143" w14:textId="77777777" w:rsidR="00B30ADE" w:rsidRPr="00705B56" w:rsidRDefault="00B30ADE" w:rsidP="00B30ADE">
            <w:pPr>
              <w:spacing w:before="0" w:after="16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sq-AL"/>
              </w:rPr>
            </w:pPr>
            <w:r w:rsidRPr="00705B56">
              <w:rPr>
                <w:rFonts w:ascii="Arial" w:hAnsi="Arial" w:cs="Arial"/>
                <w:lang w:val="sq-AL"/>
              </w:rPr>
              <w:t>57,935,932.20</w:t>
            </w:r>
          </w:p>
        </w:tc>
        <w:tc>
          <w:tcPr>
            <w:tcW w:w="0" w:type="auto"/>
            <w:hideMark/>
          </w:tcPr>
          <w:p w14:paraId="55433B1A" w14:textId="77777777" w:rsidR="00B30ADE" w:rsidRPr="00705B56" w:rsidRDefault="00B30ADE" w:rsidP="00B30ADE">
            <w:pPr>
              <w:spacing w:before="0" w:after="16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sq-AL"/>
              </w:rPr>
            </w:pPr>
            <w:r w:rsidRPr="00705B56">
              <w:rPr>
                <w:rFonts w:ascii="Arial" w:hAnsi="Arial" w:cs="Arial"/>
                <w:lang w:val="sq-AL"/>
              </w:rPr>
              <w:t>0.21%</w:t>
            </w:r>
          </w:p>
        </w:tc>
        <w:tc>
          <w:tcPr>
            <w:tcW w:w="0" w:type="auto"/>
            <w:hideMark/>
          </w:tcPr>
          <w:p w14:paraId="0F3F46B7" w14:textId="77777777" w:rsidR="00B30ADE" w:rsidRPr="00705B56" w:rsidRDefault="00B30ADE" w:rsidP="00B30ADE">
            <w:pPr>
              <w:spacing w:before="0" w:after="16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sq-AL"/>
              </w:rPr>
            </w:pPr>
            <w:r w:rsidRPr="00705B56">
              <w:rPr>
                <w:rFonts w:ascii="Arial" w:hAnsi="Arial" w:cs="Arial"/>
                <w:lang w:val="sq-AL"/>
              </w:rPr>
              <w:t>13,075.98</w:t>
            </w:r>
          </w:p>
        </w:tc>
      </w:tr>
      <w:tr w:rsidR="00B30ADE" w:rsidRPr="00705B56" w14:paraId="04DDB554" w14:textId="77777777" w:rsidTr="00B30ADE">
        <w:tc>
          <w:tcPr>
            <w:cnfStyle w:val="001000000000" w:firstRow="0" w:lastRow="0" w:firstColumn="1" w:lastColumn="0" w:oddVBand="0" w:evenVBand="0" w:oddHBand="0" w:evenHBand="0" w:firstRowFirstColumn="0" w:firstRowLastColumn="0" w:lastRowFirstColumn="0" w:lastRowLastColumn="0"/>
            <w:tcW w:w="0" w:type="auto"/>
            <w:hideMark/>
          </w:tcPr>
          <w:p w14:paraId="56BDA18C" w14:textId="4EABDCD8" w:rsidR="00B30ADE" w:rsidRPr="00705B56" w:rsidRDefault="00B30ADE" w:rsidP="00B30ADE">
            <w:pPr>
              <w:spacing w:before="0" w:after="160" w:line="240" w:lineRule="auto"/>
              <w:jc w:val="both"/>
              <w:rPr>
                <w:rFonts w:ascii="Arial" w:hAnsi="Arial" w:cs="Arial"/>
                <w:lang w:val="sq-AL"/>
              </w:rPr>
            </w:pPr>
            <w:r w:rsidRPr="00705B56">
              <w:rPr>
                <w:rFonts w:ascii="Arial" w:hAnsi="Arial" w:cs="Arial"/>
                <w:lang w:val="sq-AL"/>
              </w:rPr>
              <w:t>RCP</w:t>
            </w:r>
            <w:r w:rsidR="002E3FC8" w:rsidRPr="00705B56">
              <w:rPr>
                <w:rFonts w:ascii="Arial" w:hAnsi="Arial" w:cs="Arial"/>
                <w:lang w:val="sq-AL"/>
              </w:rPr>
              <w:t xml:space="preserve"> 8.5 </w:t>
            </w:r>
          </w:p>
        </w:tc>
        <w:tc>
          <w:tcPr>
            <w:tcW w:w="0" w:type="auto"/>
            <w:hideMark/>
          </w:tcPr>
          <w:p w14:paraId="43EB4D21" w14:textId="77777777" w:rsidR="00B30ADE" w:rsidRPr="00705B56" w:rsidRDefault="00B30ADE" w:rsidP="00B30ADE">
            <w:pPr>
              <w:spacing w:before="0" w:after="16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sq-AL"/>
              </w:rPr>
            </w:pPr>
            <w:r w:rsidRPr="00705B56">
              <w:rPr>
                <w:rFonts w:ascii="Arial" w:hAnsi="Arial" w:cs="Arial"/>
                <w:lang w:val="sq-AL"/>
              </w:rPr>
              <w:t>Kosova</w:t>
            </w:r>
          </w:p>
        </w:tc>
        <w:tc>
          <w:tcPr>
            <w:tcW w:w="0" w:type="auto"/>
            <w:hideMark/>
          </w:tcPr>
          <w:p w14:paraId="34FAB997" w14:textId="77777777" w:rsidR="00B30ADE" w:rsidRPr="00705B56" w:rsidRDefault="00B30ADE" w:rsidP="00B30ADE">
            <w:pPr>
              <w:spacing w:before="0" w:after="16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sq-AL"/>
              </w:rPr>
            </w:pPr>
            <w:r w:rsidRPr="00705B56">
              <w:rPr>
                <w:rFonts w:ascii="Arial" w:hAnsi="Arial" w:cs="Arial"/>
                <w:lang w:val="sq-AL"/>
              </w:rPr>
              <w:t>130,680,015.60</w:t>
            </w:r>
          </w:p>
        </w:tc>
        <w:tc>
          <w:tcPr>
            <w:tcW w:w="0" w:type="auto"/>
            <w:hideMark/>
          </w:tcPr>
          <w:p w14:paraId="11AE9E17" w14:textId="77777777" w:rsidR="00B30ADE" w:rsidRPr="00705B56" w:rsidRDefault="00B30ADE" w:rsidP="00B30ADE">
            <w:pPr>
              <w:spacing w:before="0" w:after="16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sq-AL"/>
              </w:rPr>
            </w:pPr>
            <w:r w:rsidRPr="00705B56">
              <w:rPr>
                <w:rFonts w:ascii="Arial" w:hAnsi="Arial" w:cs="Arial"/>
                <w:lang w:val="sq-AL"/>
              </w:rPr>
              <w:t>0.23%</w:t>
            </w:r>
          </w:p>
        </w:tc>
        <w:tc>
          <w:tcPr>
            <w:tcW w:w="0" w:type="auto"/>
            <w:hideMark/>
          </w:tcPr>
          <w:p w14:paraId="72F38FBA" w14:textId="77777777" w:rsidR="00B30ADE" w:rsidRPr="00705B56" w:rsidRDefault="00B30ADE" w:rsidP="00B30ADE">
            <w:pPr>
              <w:spacing w:before="0" w:after="16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sq-AL"/>
              </w:rPr>
            </w:pPr>
            <w:r w:rsidRPr="00705B56">
              <w:rPr>
                <w:rFonts w:ascii="Arial" w:hAnsi="Arial" w:cs="Arial"/>
                <w:lang w:val="sq-AL"/>
              </w:rPr>
              <w:t>14,810.51</w:t>
            </w:r>
          </w:p>
        </w:tc>
      </w:tr>
      <w:tr w:rsidR="00B30ADE" w:rsidRPr="00705B56" w14:paraId="478D06C4" w14:textId="77777777" w:rsidTr="00B30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821A94" w14:textId="77777777" w:rsidR="00B30ADE" w:rsidRPr="00705B56" w:rsidRDefault="00B30ADE" w:rsidP="00B30ADE">
            <w:pPr>
              <w:spacing w:before="0" w:after="160" w:line="240" w:lineRule="auto"/>
              <w:jc w:val="both"/>
              <w:rPr>
                <w:rFonts w:ascii="Arial" w:hAnsi="Arial" w:cs="Arial"/>
                <w:lang w:val="sq-AL"/>
              </w:rPr>
            </w:pPr>
            <w:r w:rsidRPr="00705B56">
              <w:rPr>
                <w:rFonts w:ascii="Arial" w:hAnsi="Arial" w:cs="Arial"/>
                <w:lang w:val="sq-AL"/>
              </w:rPr>
              <w:t>RCP 4.5</w:t>
            </w:r>
          </w:p>
        </w:tc>
        <w:tc>
          <w:tcPr>
            <w:tcW w:w="0" w:type="auto"/>
            <w:hideMark/>
          </w:tcPr>
          <w:p w14:paraId="4242690C" w14:textId="77777777" w:rsidR="00B30ADE" w:rsidRPr="00705B56" w:rsidRDefault="00B30ADE" w:rsidP="00B30ADE">
            <w:pPr>
              <w:spacing w:before="0" w:after="16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sq-AL"/>
              </w:rPr>
            </w:pPr>
            <w:r w:rsidRPr="00705B56">
              <w:rPr>
                <w:rFonts w:ascii="Arial" w:hAnsi="Arial" w:cs="Arial"/>
                <w:lang w:val="sq-AL"/>
              </w:rPr>
              <w:t>Kosova</w:t>
            </w:r>
          </w:p>
        </w:tc>
        <w:tc>
          <w:tcPr>
            <w:tcW w:w="0" w:type="auto"/>
            <w:hideMark/>
          </w:tcPr>
          <w:p w14:paraId="08C4BD91" w14:textId="77777777" w:rsidR="00B30ADE" w:rsidRPr="00705B56" w:rsidRDefault="00B30ADE" w:rsidP="00B30ADE">
            <w:pPr>
              <w:spacing w:before="0" w:after="16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sq-AL"/>
              </w:rPr>
            </w:pPr>
            <w:r w:rsidRPr="00705B56">
              <w:rPr>
                <w:rFonts w:ascii="Arial" w:hAnsi="Arial" w:cs="Arial"/>
                <w:lang w:val="sq-AL"/>
              </w:rPr>
              <w:t>106,633,533.40</w:t>
            </w:r>
          </w:p>
        </w:tc>
        <w:tc>
          <w:tcPr>
            <w:tcW w:w="0" w:type="auto"/>
            <w:hideMark/>
          </w:tcPr>
          <w:p w14:paraId="7EA90CBC" w14:textId="77777777" w:rsidR="00B30ADE" w:rsidRPr="00705B56" w:rsidRDefault="00B30ADE" w:rsidP="00B30ADE">
            <w:pPr>
              <w:spacing w:before="0" w:after="16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sq-AL"/>
              </w:rPr>
            </w:pPr>
            <w:r w:rsidRPr="00705B56">
              <w:rPr>
                <w:rFonts w:ascii="Arial" w:hAnsi="Arial" w:cs="Arial"/>
                <w:lang w:val="sq-AL"/>
              </w:rPr>
              <w:t>0.19%</w:t>
            </w:r>
          </w:p>
        </w:tc>
        <w:tc>
          <w:tcPr>
            <w:tcW w:w="0" w:type="auto"/>
            <w:hideMark/>
          </w:tcPr>
          <w:p w14:paraId="365A76D1" w14:textId="77777777" w:rsidR="00B30ADE" w:rsidRPr="00705B56" w:rsidRDefault="00B30ADE" w:rsidP="00B30ADE">
            <w:pPr>
              <w:spacing w:before="0" w:after="16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sq-AL"/>
              </w:rPr>
            </w:pPr>
            <w:r w:rsidRPr="00705B56">
              <w:rPr>
                <w:rFonts w:ascii="Arial" w:hAnsi="Arial" w:cs="Arial"/>
                <w:lang w:val="sq-AL"/>
              </w:rPr>
              <w:t>10,763.44</w:t>
            </w:r>
          </w:p>
        </w:tc>
      </w:tr>
      <w:tr w:rsidR="00B30ADE" w:rsidRPr="00705B56" w14:paraId="481E3635" w14:textId="77777777" w:rsidTr="00B30ADE">
        <w:tc>
          <w:tcPr>
            <w:cnfStyle w:val="001000000000" w:firstRow="0" w:lastRow="0" w:firstColumn="1" w:lastColumn="0" w:oddVBand="0" w:evenVBand="0" w:oddHBand="0" w:evenHBand="0" w:firstRowFirstColumn="0" w:firstRowLastColumn="0" w:lastRowFirstColumn="0" w:lastRowLastColumn="0"/>
            <w:tcW w:w="0" w:type="auto"/>
            <w:hideMark/>
          </w:tcPr>
          <w:p w14:paraId="08497B0D" w14:textId="32443445" w:rsidR="00B30ADE" w:rsidRPr="00705B56" w:rsidRDefault="00B30ADE" w:rsidP="00B30ADE">
            <w:pPr>
              <w:spacing w:before="0" w:after="160" w:line="240" w:lineRule="auto"/>
              <w:jc w:val="both"/>
              <w:rPr>
                <w:rFonts w:ascii="Arial" w:hAnsi="Arial" w:cs="Arial"/>
                <w:lang w:val="sq-AL"/>
              </w:rPr>
            </w:pPr>
            <w:r w:rsidRPr="00705B56">
              <w:rPr>
                <w:rFonts w:ascii="Arial" w:hAnsi="Arial" w:cs="Arial"/>
                <w:lang w:val="sq-AL"/>
              </w:rPr>
              <w:t xml:space="preserve">RCP </w:t>
            </w:r>
            <w:r w:rsidR="002E3FC8" w:rsidRPr="00705B56">
              <w:rPr>
                <w:rFonts w:ascii="Arial" w:hAnsi="Arial" w:cs="Arial"/>
                <w:lang w:val="sq-AL"/>
              </w:rPr>
              <w:t>2.6</w:t>
            </w:r>
          </w:p>
        </w:tc>
        <w:tc>
          <w:tcPr>
            <w:tcW w:w="0" w:type="auto"/>
            <w:hideMark/>
          </w:tcPr>
          <w:p w14:paraId="06026024" w14:textId="77777777" w:rsidR="00B30ADE" w:rsidRPr="00705B56" w:rsidRDefault="00B30ADE" w:rsidP="00B30ADE">
            <w:pPr>
              <w:spacing w:before="0" w:after="16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sq-AL"/>
              </w:rPr>
            </w:pPr>
            <w:r w:rsidRPr="00705B56">
              <w:rPr>
                <w:rFonts w:ascii="Arial" w:hAnsi="Arial" w:cs="Arial"/>
                <w:lang w:val="sq-AL"/>
              </w:rPr>
              <w:t>Kosova</w:t>
            </w:r>
          </w:p>
        </w:tc>
        <w:tc>
          <w:tcPr>
            <w:tcW w:w="0" w:type="auto"/>
            <w:hideMark/>
          </w:tcPr>
          <w:p w14:paraId="242F0452" w14:textId="77777777" w:rsidR="00B30ADE" w:rsidRPr="00705B56" w:rsidRDefault="00B30ADE" w:rsidP="00B30ADE">
            <w:pPr>
              <w:spacing w:before="0" w:after="16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sq-AL"/>
              </w:rPr>
            </w:pPr>
            <w:r w:rsidRPr="00705B56">
              <w:rPr>
                <w:rFonts w:ascii="Arial" w:hAnsi="Arial" w:cs="Arial"/>
                <w:lang w:val="sq-AL"/>
              </w:rPr>
              <w:t>99,130,769.87</w:t>
            </w:r>
          </w:p>
        </w:tc>
        <w:tc>
          <w:tcPr>
            <w:tcW w:w="0" w:type="auto"/>
            <w:hideMark/>
          </w:tcPr>
          <w:p w14:paraId="3AC57CF4" w14:textId="77777777" w:rsidR="00B30ADE" w:rsidRPr="00705B56" w:rsidRDefault="00B30ADE" w:rsidP="00B30ADE">
            <w:pPr>
              <w:spacing w:before="0" w:after="16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sq-AL"/>
              </w:rPr>
            </w:pPr>
            <w:r w:rsidRPr="00705B56">
              <w:rPr>
                <w:rFonts w:ascii="Arial" w:hAnsi="Arial" w:cs="Arial"/>
                <w:lang w:val="sq-AL"/>
              </w:rPr>
              <w:t>0.17%</w:t>
            </w:r>
          </w:p>
        </w:tc>
        <w:tc>
          <w:tcPr>
            <w:tcW w:w="0" w:type="auto"/>
            <w:hideMark/>
          </w:tcPr>
          <w:p w14:paraId="45577B33" w14:textId="77777777" w:rsidR="00B30ADE" w:rsidRPr="00705B56" w:rsidRDefault="00B30ADE" w:rsidP="00B30ADE">
            <w:pPr>
              <w:spacing w:before="0" w:after="16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sq-AL"/>
              </w:rPr>
            </w:pPr>
            <w:r w:rsidRPr="00705B56">
              <w:rPr>
                <w:rFonts w:ascii="Arial" w:hAnsi="Arial" w:cs="Arial"/>
                <w:lang w:val="sq-AL"/>
              </w:rPr>
              <w:t>9,664.82</w:t>
            </w:r>
          </w:p>
        </w:tc>
      </w:tr>
    </w:tbl>
    <w:p w14:paraId="2FBBDA7B" w14:textId="77777777" w:rsidR="001D4FA1" w:rsidRPr="00705B56" w:rsidRDefault="001D4FA1" w:rsidP="001D4FA1">
      <w:pPr>
        <w:spacing w:before="0" w:line="240" w:lineRule="auto"/>
        <w:jc w:val="both"/>
        <w:rPr>
          <w:rFonts w:ascii="Arial" w:hAnsi="Arial" w:cs="Arial"/>
          <w:lang w:val="sq-AL"/>
        </w:rPr>
      </w:pPr>
    </w:p>
    <w:p w14:paraId="135270E7" w14:textId="380052D1" w:rsidR="00B30ADE" w:rsidRPr="00705B56" w:rsidRDefault="00B30ADE" w:rsidP="00B30ADE">
      <w:pPr>
        <w:spacing w:before="0" w:after="0" w:line="240" w:lineRule="auto"/>
        <w:jc w:val="both"/>
        <w:rPr>
          <w:rFonts w:ascii="Arial" w:hAnsi="Arial" w:cs="Arial"/>
          <w:lang w:val="sq-AL"/>
        </w:rPr>
      </w:pPr>
      <w:r w:rsidRPr="00705B56">
        <w:rPr>
          <w:rFonts w:ascii="Arial" w:hAnsi="Arial" w:cs="Arial"/>
          <w:lang w:val="sq-AL"/>
        </w:rPr>
        <w:t>Të dhënat tregojnë se, për shkak të rritjes së ekspozimit, rreziku nga përmbytjet në Kosovë — i matur në terma të Humbjes Mesatare Vjetore (AAL) — parashikohet të rritet nën të gjitha skenarët klimatikë të ardhshëm (RCP 2.6, RCP 4.5 dhe RCP 8.5). Kjo sugjeron nevojën për ndërhyrje të synuara në infrastrukturën mbrojtëse, planifikimin hapësinor dhe sistemet e paralajmërimit të hershëm, me qëllim të zbutjes së dëmeve të mundshme nga përmbytjet në dekadat në vijim.</w:t>
      </w:r>
    </w:p>
    <w:p w14:paraId="5CC1FF72" w14:textId="77777777" w:rsidR="00B30ADE" w:rsidRPr="00705B56" w:rsidRDefault="00B30ADE" w:rsidP="00B30ADE">
      <w:pPr>
        <w:spacing w:before="0" w:after="0" w:line="240" w:lineRule="auto"/>
        <w:jc w:val="both"/>
        <w:rPr>
          <w:rFonts w:ascii="Arial" w:hAnsi="Arial" w:cs="Arial"/>
          <w:lang w:val="sq-AL"/>
        </w:rPr>
      </w:pPr>
    </w:p>
    <w:p w14:paraId="57CAFE35" w14:textId="14113590" w:rsidR="00F41E79" w:rsidRPr="00705B56" w:rsidRDefault="00B30ADE" w:rsidP="00B30ADE">
      <w:pPr>
        <w:spacing w:before="0" w:line="240" w:lineRule="auto"/>
        <w:jc w:val="both"/>
        <w:rPr>
          <w:rFonts w:ascii="Arial" w:hAnsi="Arial" w:cs="Arial"/>
          <w:lang w:val="sq-AL"/>
        </w:rPr>
      </w:pPr>
      <w:r w:rsidRPr="00705B56">
        <w:rPr>
          <w:rFonts w:ascii="Arial" w:hAnsi="Arial" w:cs="Arial"/>
          <w:lang w:val="sq-AL"/>
        </w:rPr>
        <w:t>Nga ana tjetër, me 43% të territorit të Kosovës të mbuluar me pyje, rreziku nga zjarret në natyrë është rritur që nga viti 2000, veçanërisht gjatë stinës së pranverës së vonë dhe verës. Sipas Fondacionit të Kërkimeve të Qendrës Ndërkombëtare për Monitorimin Mjedisor (CIMA) dhe Raportit të Bankës Botërore për Klimën dhe Zhvillimin e Vendit (CCDR), aktualisht:</w:t>
      </w:r>
    </w:p>
    <w:p w14:paraId="7C479405" w14:textId="77777777" w:rsidR="00940EC6" w:rsidRPr="00705B56" w:rsidRDefault="00940EC6" w:rsidP="00F36447">
      <w:pPr>
        <w:numPr>
          <w:ilvl w:val="0"/>
          <w:numId w:val="35"/>
        </w:numPr>
        <w:spacing w:before="0" w:line="240" w:lineRule="auto"/>
        <w:jc w:val="both"/>
        <w:rPr>
          <w:rFonts w:ascii="Arial" w:hAnsi="Arial" w:cs="Arial"/>
          <w:lang w:val="sq-AL"/>
        </w:rPr>
      </w:pPr>
      <w:r w:rsidRPr="00705B56">
        <w:rPr>
          <w:rFonts w:ascii="Arial" w:hAnsi="Arial" w:cs="Arial"/>
          <w:lang w:val="sq-AL"/>
        </w:rPr>
        <w:t>36.8% e territorit të përgjithshëm të Kosovës ndodhet nën rrezik mesatar nga zjarret në natyrë, ndërsa 15.8% është klasifikuar si zonë me rrezik të lartë, dhe një shtesë prej 0.41% përfshihet në kategorinë me rrezik shumë të lartë.</w:t>
      </w:r>
    </w:p>
    <w:p w14:paraId="61066ED0" w14:textId="77777777" w:rsidR="00940EC6" w:rsidRPr="00705B56" w:rsidRDefault="00940EC6" w:rsidP="00F36447">
      <w:pPr>
        <w:numPr>
          <w:ilvl w:val="0"/>
          <w:numId w:val="35"/>
        </w:numPr>
        <w:spacing w:before="0" w:line="240" w:lineRule="auto"/>
        <w:jc w:val="both"/>
        <w:rPr>
          <w:rFonts w:ascii="Arial" w:hAnsi="Arial" w:cs="Arial"/>
          <w:lang w:val="sq-AL"/>
        </w:rPr>
      </w:pPr>
      <w:r w:rsidRPr="00705B56">
        <w:rPr>
          <w:rFonts w:ascii="Arial" w:hAnsi="Arial" w:cs="Arial"/>
          <w:lang w:val="sq-AL"/>
        </w:rPr>
        <w:lastRenderedPageBreak/>
        <w:t>Analizat sektoriale tregojnë se 22.2% e tokës bujqësore është e ekspozuar ndaj rrezikut të ulët të zjarreve në kultura bujqësore, ndërsa 12.45% bie në nivelin mesatar të rrezikut.</w:t>
      </w:r>
    </w:p>
    <w:p w14:paraId="4ED60A16" w14:textId="77777777" w:rsidR="00940EC6" w:rsidRPr="00705B56" w:rsidRDefault="00940EC6" w:rsidP="00F36447">
      <w:pPr>
        <w:numPr>
          <w:ilvl w:val="0"/>
          <w:numId w:val="35"/>
        </w:numPr>
        <w:spacing w:before="0" w:line="240" w:lineRule="auto"/>
        <w:jc w:val="both"/>
        <w:rPr>
          <w:rFonts w:ascii="Arial" w:hAnsi="Arial" w:cs="Arial"/>
          <w:lang w:val="sq-AL"/>
        </w:rPr>
      </w:pPr>
      <w:r w:rsidRPr="00705B56">
        <w:rPr>
          <w:rFonts w:ascii="Arial" w:hAnsi="Arial" w:cs="Arial"/>
          <w:lang w:val="sq-AL"/>
        </w:rPr>
        <w:t>Zonat urbane përballen me një ekspozim më të ulët relativisht, ku vetëm 0.106% e tokës urbane klasifikohet si me rrezik mesatar-të lartë, dhe 0.00126% si me rrezik ekstrem.</w:t>
      </w:r>
    </w:p>
    <w:p w14:paraId="044DD6BF" w14:textId="77777777" w:rsidR="00940EC6" w:rsidRPr="00705B56" w:rsidRDefault="00940EC6" w:rsidP="00F36447">
      <w:pPr>
        <w:numPr>
          <w:ilvl w:val="0"/>
          <w:numId w:val="35"/>
        </w:numPr>
        <w:spacing w:before="0" w:line="240" w:lineRule="auto"/>
        <w:jc w:val="both"/>
        <w:rPr>
          <w:rFonts w:ascii="Arial" w:hAnsi="Arial" w:cs="Arial"/>
          <w:lang w:val="sq-AL"/>
        </w:rPr>
      </w:pPr>
      <w:r w:rsidRPr="00705B56">
        <w:rPr>
          <w:rFonts w:ascii="Arial" w:hAnsi="Arial" w:cs="Arial"/>
          <w:lang w:val="sq-AL"/>
        </w:rPr>
        <w:t>Ekosistemet pyjore, veçanërisht pyjet me hala dhe ato me gjethe të gjera, janë dukshëm të ndjeshme: 21.1% e sipërfaqeve pyjore parashikohet të jetë nën rrezik mesatar nga zjarret, ndërsa 15.2% nën rrezik të lartë.</w:t>
      </w:r>
    </w:p>
    <w:p w14:paraId="6D812FFC" w14:textId="74F64482" w:rsidR="00F41E79" w:rsidRPr="00705B56" w:rsidRDefault="00940EC6" w:rsidP="00F41E79">
      <w:pPr>
        <w:spacing w:before="0" w:line="240" w:lineRule="auto"/>
        <w:jc w:val="both"/>
        <w:rPr>
          <w:rFonts w:ascii="Arial" w:hAnsi="Arial" w:cs="Arial"/>
          <w:lang w:val="sq-AL"/>
        </w:rPr>
      </w:pPr>
      <w:r w:rsidRPr="00705B56">
        <w:rPr>
          <w:rFonts w:ascii="Arial" w:hAnsi="Arial" w:cs="Arial"/>
          <w:lang w:val="sq-AL"/>
        </w:rPr>
        <w:t xml:space="preserve">Për më tepër, Kosova ndodhet në një </w:t>
      </w:r>
      <w:r w:rsidRPr="00705B56">
        <w:rPr>
          <w:rFonts w:ascii="Arial" w:hAnsi="Arial" w:cs="Arial"/>
          <w:b/>
          <w:bCs/>
          <w:lang w:val="sq-AL"/>
        </w:rPr>
        <w:t>zonë sizmike aktive</w:t>
      </w:r>
      <w:r w:rsidRPr="00705B56">
        <w:rPr>
          <w:rFonts w:ascii="Arial" w:hAnsi="Arial" w:cs="Arial"/>
          <w:lang w:val="sq-AL"/>
        </w:rPr>
        <w:t xml:space="preserve">, ku </w:t>
      </w:r>
      <w:r w:rsidRPr="00705B56">
        <w:rPr>
          <w:rFonts w:ascii="Arial" w:hAnsi="Arial" w:cs="Arial"/>
          <w:b/>
          <w:bCs/>
          <w:lang w:val="sq-AL"/>
        </w:rPr>
        <w:t>tërmetet ndodhin periodikisht</w:t>
      </w:r>
      <w:r w:rsidRPr="00705B56">
        <w:rPr>
          <w:rFonts w:ascii="Arial" w:hAnsi="Arial" w:cs="Arial"/>
          <w:lang w:val="sq-AL"/>
        </w:rPr>
        <w:t xml:space="preserve">. Edhe pse </w:t>
      </w:r>
      <w:r w:rsidR="00783B4B" w:rsidRPr="00705B56">
        <w:rPr>
          <w:rFonts w:ascii="Arial" w:hAnsi="Arial" w:cs="Arial"/>
          <w:lang w:val="sq-AL"/>
        </w:rPr>
        <w:t xml:space="preserve"> termetet nuk shkaktohen nga ndryshimet klimatike, ato</w:t>
      </w:r>
      <w:r w:rsidRPr="00705B56">
        <w:rPr>
          <w:rFonts w:ascii="Arial" w:hAnsi="Arial" w:cs="Arial"/>
          <w:lang w:val="sq-AL"/>
        </w:rPr>
        <w:t xml:space="preserve"> mund të </w:t>
      </w:r>
      <w:r w:rsidRPr="00705B56">
        <w:rPr>
          <w:rFonts w:ascii="Arial" w:hAnsi="Arial" w:cs="Arial"/>
          <w:b/>
          <w:bCs/>
          <w:lang w:val="sq-AL"/>
        </w:rPr>
        <w:t>përkeqësojnë rrëshqitjet e dheut</w:t>
      </w:r>
      <w:r w:rsidRPr="00705B56">
        <w:rPr>
          <w:rFonts w:ascii="Arial" w:hAnsi="Arial" w:cs="Arial"/>
          <w:lang w:val="sq-AL"/>
        </w:rPr>
        <w:t xml:space="preserve">, veçanërisht në rajonet </w:t>
      </w:r>
      <w:r w:rsidR="00783B4B" w:rsidRPr="00705B56">
        <w:rPr>
          <w:rFonts w:ascii="Arial" w:hAnsi="Arial" w:cs="Arial"/>
          <w:lang w:val="sq-AL"/>
        </w:rPr>
        <w:t xml:space="preserve">malore me terren të paqëndrueshëm. Kur kombinohet kjo me reshme më të shumta ose më intensive, siç parashikojnë tendencat klimatike, rreziku i rrëshqitjeve të dheut rritet ndjeshëm. Kjo ka rëndësi sa i përket planifikimit të digave, infrastrukturës dhe menaxhimin e territorit, si dhe për sigurinë e komuniteteve lokale. </w:t>
      </w:r>
      <w:r w:rsidR="00F41E79" w:rsidRPr="00705B56">
        <w:rPr>
          <w:rStyle w:val="FootnoteReference"/>
          <w:rFonts w:ascii="Arial" w:hAnsi="Arial" w:cs="Arial"/>
          <w:lang w:val="sq-AL"/>
        </w:rPr>
        <w:footnoteReference w:id="17"/>
      </w:r>
    </w:p>
    <w:p w14:paraId="66E4FE48" w14:textId="30ECF039" w:rsidR="00940EC6" w:rsidRPr="00705B56" w:rsidRDefault="00940EC6" w:rsidP="00F36447">
      <w:pPr>
        <w:pStyle w:val="ListParagraph"/>
        <w:numPr>
          <w:ilvl w:val="0"/>
          <w:numId w:val="2"/>
        </w:numPr>
        <w:spacing w:before="0" w:line="240" w:lineRule="auto"/>
        <w:jc w:val="both"/>
        <w:rPr>
          <w:rFonts w:ascii="Arial" w:hAnsi="Arial" w:cs="Arial"/>
          <w:lang w:val="sq-AL"/>
        </w:rPr>
      </w:pPr>
      <w:r w:rsidRPr="00705B56">
        <w:rPr>
          <w:rFonts w:ascii="Arial" w:hAnsi="Arial" w:cs="Arial"/>
          <w:lang w:val="sq-AL"/>
        </w:rPr>
        <w:t>47.9% e territorit të vendit është i ndjeshëm ndaj rrezikut të lartë dhe shumë të lartë nga rrëshqitjet e dheut, veçanërisht në komunat Mitrovicë, Prishtinë, Pejë dhe Shtërpcë, duke ndikuar të paktën 25% të komuniteteve.</w:t>
      </w:r>
    </w:p>
    <w:p w14:paraId="0254437C" w14:textId="7EAA7C9C" w:rsidR="009831E2" w:rsidRPr="00705B56" w:rsidRDefault="00940EC6" w:rsidP="00F36447">
      <w:pPr>
        <w:pStyle w:val="ListParagraph"/>
        <w:numPr>
          <w:ilvl w:val="0"/>
          <w:numId w:val="2"/>
        </w:numPr>
        <w:spacing w:before="0" w:line="240" w:lineRule="auto"/>
        <w:jc w:val="both"/>
        <w:rPr>
          <w:rFonts w:ascii="Arial" w:hAnsi="Arial" w:cs="Arial"/>
          <w:lang w:val="sq-AL"/>
        </w:rPr>
      </w:pPr>
      <w:r w:rsidRPr="00705B56">
        <w:rPr>
          <w:rFonts w:ascii="Arial" w:hAnsi="Arial" w:cs="Arial"/>
          <w:lang w:val="sq-AL"/>
        </w:rPr>
        <w:t>Ekspozimi urban është gjithashtu i rëndësishëm: 9.1% e sipërfaqes totale brenda qendrave urbane të Kosovës është e ndjeshme ndaj rrezikut të lartë dhe shumë të lartë nga rrëshqitjet. Sa i përket popullsisë, rreth 1.28% e popullsisë së parashikuar dhe 1.35% e sipërfaqeve të ndërtuara në gjithë territorin e Kosovës pritet të mbesin të ekspozuara ndaj zonave me ndjeshmëri të lartë nga rrëshqitjet e dheut deri në vitin 2030, me përqindje shtesë të ekspozuara ndaj rrezikut të moderuar</w:t>
      </w:r>
      <w:r w:rsidR="009831E2" w:rsidRPr="00705B56">
        <w:rPr>
          <w:rFonts w:ascii="Arial" w:hAnsi="Arial" w:cs="Arial"/>
          <w:lang w:val="sq-AL"/>
        </w:rPr>
        <w:t>.</w:t>
      </w:r>
      <w:r w:rsidR="009831E2" w:rsidRPr="00705B56">
        <w:rPr>
          <w:rStyle w:val="FootnoteReference"/>
          <w:rFonts w:ascii="Arial" w:hAnsi="Arial" w:cs="Arial"/>
          <w:lang w:val="sq-AL"/>
        </w:rPr>
        <w:footnoteReference w:id="18"/>
      </w:r>
    </w:p>
    <w:p w14:paraId="73653C36" w14:textId="30583875" w:rsidR="00940EC6" w:rsidRPr="00705B56" w:rsidRDefault="0033303B" w:rsidP="004C6E93">
      <w:pPr>
        <w:spacing w:before="0"/>
        <w:jc w:val="both"/>
        <w:rPr>
          <w:rFonts w:ascii="Arial" w:hAnsi="Arial" w:cs="Arial"/>
          <w:i/>
          <w:iCs/>
          <w:sz w:val="20"/>
          <w:szCs w:val="20"/>
          <w:lang w:val="sq-AL"/>
        </w:rPr>
      </w:pPr>
      <w:r w:rsidRPr="00705B56">
        <w:rPr>
          <w:rFonts w:ascii="Arial" w:hAnsi="Arial" w:cs="Arial"/>
          <w:noProof/>
        </w:rPr>
        <mc:AlternateContent>
          <mc:Choice Requires="wps">
            <w:drawing>
              <wp:anchor distT="0" distB="0" distL="114300" distR="114300" simplePos="0" relativeHeight="251822080" behindDoc="0" locked="0" layoutInCell="1" allowOverlap="1" wp14:anchorId="50E9EC0C" wp14:editId="4D9073B5">
                <wp:simplePos x="0" y="0"/>
                <wp:positionH relativeFrom="margin">
                  <wp:align>right</wp:align>
                </wp:positionH>
                <wp:positionV relativeFrom="paragraph">
                  <wp:posOffset>4782820</wp:posOffset>
                </wp:positionV>
                <wp:extent cx="6469380" cy="342900"/>
                <wp:effectExtent l="0" t="0" r="7620" b="0"/>
                <wp:wrapTopAndBottom/>
                <wp:docPr id="2064169373" name="Text Box 1"/>
                <wp:cNvGraphicFramePr/>
                <a:graphic xmlns:a="http://schemas.openxmlformats.org/drawingml/2006/main">
                  <a:graphicData uri="http://schemas.microsoft.com/office/word/2010/wordprocessingShape">
                    <wps:wsp>
                      <wps:cNvSpPr txBox="1"/>
                      <wps:spPr>
                        <a:xfrm>
                          <a:off x="0" y="0"/>
                          <a:ext cx="6469380" cy="342900"/>
                        </a:xfrm>
                        <a:prstGeom prst="rect">
                          <a:avLst/>
                        </a:prstGeom>
                        <a:solidFill>
                          <a:prstClr val="white"/>
                        </a:solidFill>
                        <a:ln>
                          <a:noFill/>
                        </a:ln>
                      </wps:spPr>
                      <wps:txbx>
                        <w:txbxContent>
                          <w:p w14:paraId="20789911" w14:textId="4D92B194" w:rsidR="00681279" w:rsidRPr="0033303B" w:rsidRDefault="00681279" w:rsidP="00D23BB3">
                            <w:pPr>
                              <w:pStyle w:val="Caption"/>
                              <w:rPr>
                                <w:rFonts w:ascii="Arial" w:hAnsi="Arial" w:cs="Arial"/>
                                <w:noProof/>
                                <w:sz w:val="22"/>
                                <w:szCs w:val="22"/>
                                <w:lang w:val="sq-AL" w:eastAsia="sq-AL"/>
                              </w:rPr>
                            </w:pPr>
                            <w:bookmarkStart w:id="35" w:name="_Toc211532608"/>
                            <w:r w:rsidRPr="0033303B">
                              <w:rPr>
                                <w:rFonts w:ascii="Arial" w:hAnsi="Arial" w:cs="Arial"/>
                              </w:rPr>
                              <w:t xml:space="preserve">Figura </w:t>
                            </w:r>
                            <w:r w:rsidRPr="0033303B">
                              <w:rPr>
                                <w:rFonts w:ascii="Arial" w:hAnsi="Arial" w:cs="Arial"/>
                              </w:rPr>
                              <w:fldChar w:fldCharType="begin"/>
                            </w:r>
                            <w:r w:rsidRPr="0033303B">
                              <w:rPr>
                                <w:rFonts w:ascii="Arial" w:hAnsi="Arial" w:cs="Arial"/>
                              </w:rPr>
                              <w:instrText xml:space="preserve"> SEQ Figura \* ARABIC </w:instrText>
                            </w:r>
                            <w:r w:rsidRPr="0033303B">
                              <w:rPr>
                                <w:rFonts w:ascii="Arial" w:hAnsi="Arial" w:cs="Arial"/>
                              </w:rPr>
                              <w:fldChar w:fldCharType="separate"/>
                            </w:r>
                            <w:r w:rsidR="0005579F" w:rsidRPr="0033303B">
                              <w:rPr>
                                <w:rFonts w:ascii="Arial" w:hAnsi="Arial" w:cs="Arial"/>
                                <w:noProof/>
                              </w:rPr>
                              <w:t>7</w:t>
                            </w:r>
                            <w:r w:rsidRPr="0033303B">
                              <w:rPr>
                                <w:rFonts w:ascii="Arial" w:hAnsi="Arial" w:cs="Arial"/>
                              </w:rPr>
                              <w:fldChar w:fldCharType="end"/>
                            </w:r>
                            <w:r w:rsidRPr="0033303B">
                              <w:rPr>
                                <w:rFonts w:ascii="Arial" w:hAnsi="Arial" w:cs="Arial"/>
                              </w:rPr>
                              <w:t>. Harta e ndjeshmërisë ndaj rrëshqitjeve të tokës. Burimi: MMPHI, 2025; Harta Evropiane e Ndjeshmërisë ndaj Rrëshqitjeve të Tokës V2 (ELSUS v2), Komisioni Evropian - Qendra e Përbashkët e Kërkimeve (BE/JRC).</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E9EC0C" id="_x0000_s1035" type="#_x0000_t202" style="position:absolute;left:0;text-align:left;margin-left:458.2pt;margin-top:376.6pt;width:509.4pt;height:27pt;z-index:251822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" stroked="f">
                <v:textbox inset="0,0,0,0">
                  <w:txbxContent>
                    <w:p w14:paraId="20789911" w14:textId="4D92B194" w:rsidR="00681279" w:rsidRPr="0033303B" w:rsidRDefault="00681279" w:rsidP="00D23BB3">
                      <w:pPr>
                        <w:pStyle w:val="Caption"/>
                        <w:rPr>
                          <w:rFonts w:ascii="Arial" w:hAnsi="Arial" w:cs="Arial"/>
                          <w:noProof/>
                          <w:sz w:val="22"/>
                          <w:szCs w:val="22"/>
                          <w:lang w:val="sq-AL" w:eastAsia="sq-AL"/>
                        </w:rPr>
                      </w:pPr>
                      <w:bookmarkStart w:id="40" w:name="_Toc211532608"/>
                      <w:r w:rsidRPr="0033303B">
                        <w:rPr>
                          <w:rFonts w:ascii="Arial" w:hAnsi="Arial" w:cs="Arial"/>
                        </w:rPr>
                        <w:t xml:space="preserve">Figura </w:t>
                      </w:r>
                      <w:r w:rsidRPr="0033303B">
                        <w:rPr>
                          <w:rFonts w:ascii="Arial" w:hAnsi="Arial" w:cs="Arial"/>
                        </w:rPr>
                        <w:fldChar w:fldCharType="begin"/>
                      </w:r>
                      <w:r w:rsidRPr="0033303B">
                        <w:rPr>
                          <w:rFonts w:ascii="Arial" w:hAnsi="Arial" w:cs="Arial"/>
                        </w:rPr>
                        <w:instrText xml:space="preserve"> SEQ Figura \* ARABIC </w:instrText>
                      </w:r>
                      <w:r w:rsidRPr="0033303B">
                        <w:rPr>
                          <w:rFonts w:ascii="Arial" w:hAnsi="Arial" w:cs="Arial"/>
                        </w:rPr>
                        <w:fldChar w:fldCharType="separate"/>
                      </w:r>
                      <w:r w:rsidR="0005579F" w:rsidRPr="0033303B">
                        <w:rPr>
                          <w:rFonts w:ascii="Arial" w:hAnsi="Arial" w:cs="Arial"/>
                          <w:noProof/>
                        </w:rPr>
                        <w:t>7</w:t>
                      </w:r>
                      <w:r w:rsidRPr="0033303B">
                        <w:rPr>
                          <w:rFonts w:ascii="Arial" w:hAnsi="Arial" w:cs="Arial"/>
                        </w:rPr>
                        <w:fldChar w:fldCharType="end"/>
                      </w:r>
                      <w:r w:rsidRPr="0033303B">
                        <w:rPr>
                          <w:rFonts w:ascii="Arial" w:hAnsi="Arial" w:cs="Arial"/>
                        </w:rPr>
                        <w:t xml:space="preserve">. Harta e </w:t>
                      </w:r>
                      <w:r w:rsidRPr="0033303B">
                        <w:rPr>
                          <w:rFonts w:ascii="Arial" w:hAnsi="Arial" w:cs="Arial"/>
                        </w:rPr>
                        <w:t>ndjeshmërisë ndaj rrëshqitjeve të tokës. Burimi: MMPHI, 2025; Harta Evropiane e Ndjeshmërisë ndaj Rrëshqitjeve të Tokës V2 (ELSUS v2), Komisioni Evropian - Qendra e Përbashkët e Kërkimeve (BE/JRC).</w:t>
                      </w:r>
                      <w:bookmarkEnd w:id="40"/>
                    </w:p>
                  </w:txbxContent>
                </v:textbox>
                <w10:wrap type="topAndBottom" anchorx="margin"/>
              </v:shape>
            </w:pict>
          </mc:Fallback>
        </mc:AlternateContent>
      </w:r>
      <w:r w:rsidR="00BB46CE" w:rsidRPr="00705B56">
        <w:rPr>
          <w:rFonts w:ascii="Arial" w:hAnsi="Arial" w:cs="Arial"/>
          <w:noProof/>
        </w:rPr>
        <w:drawing>
          <wp:anchor distT="0" distB="0" distL="114300" distR="114300" simplePos="0" relativeHeight="251758592" behindDoc="0" locked="0" layoutInCell="1" allowOverlap="1" wp14:anchorId="4D0CD335" wp14:editId="43588B12">
            <wp:simplePos x="0" y="0"/>
            <wp:positionH relativeFrom="margin">
              <wp:align>center</wp:align>
            </wp:positionH>
            <wp:positionV relativeFrom="paragraph">
              <wp:posOffset>1380490</wp:posOffset>
            </wp:positionV>
            <wp:extent cx="4733925" cy="3347629"/>
            <wp:effectExtent l="0" t="0" r="0" b="5715"/>
            <wp:wrapTopAndBottom/>
            <wp:docPr id="1659986039" name="Imagen 13"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86039" name="Imagen 13" descr="Mapa&#10;&#10;El contenido generado por IA puede ser incorrec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33925" cy="3347629"/>
                    </a:xfrm>
                    <a:prstGeom prst="rect">
                      <a:avLst/>
                    </a:prstGeom>
                    <a:noFill/>
                  </pic:spPr>
                </pic:pic>
              </a:graphicData>
            </a:graphic>
            <wp14:sizeRelH relativeFrom="page">
              <wp14:pctWidth>0</wp14:pctWidth>
            </wp14:sizeRelH>
            <wp14:sizeRelV relativeFrom="page">
              <wp14:pctHeight>0</wp14:pctHeight>
            </wp14:sizeRelV>
          </wp:anchor>
        </w:drawing>
      </w:r>
      <w:r w:rsidR="00940EC6" w:rsidRPr="00705B56">
        <w:rPr>
          <w:rFonts w:ascii="Arial" w:hAnsi="Arial" w:cs="Arial"/>
          <w:lang w:val="sq-AL"/>
        </w:rPr>
        <w:t>Harta më poshtë paraqet shpërndarjen hapësinore të ndjeshmërisë ndaj rrëshqitjeve të dheut. Ajo thekson zonat e klasifikuara sipas niveleve të rrezikut: shumë të ulët, të ulët, të moderuar, të lartë dhe shumë të lartë, bazuar në faktorë topografikë, gjeologjikë dhe hidrologjikë. Siç vërehet, komunat në rajonet malore të pjesës perëndimore dhe jugore të vendit shfaqin nivelet më të larta të ndjeshmërisë ndaj rrëshqitjeve të dheut</w:t>
      </w:r>
      <w:r w:rsidR="00783B4B" w:rsidRPr="00705B56">
        <w:rPr>
          <w:rFonts w:ascii="Arial" w:hAnsi="Arial" w:cs="Arial"/>
        </w:rPr>
        <w:t xml:space="preserve"> </w:t>
      </w:r>
      <w:r w:rsidR="00783B4B" w:rsidRPr="00705B56">
        <w:rPr>
          <w:rFonts w:ascii="Arial" w:hAnsi="Arial" w:cs="Arial"/>
          <w:lang w:val="sq-AL"/>
        </w:rPr>
        <w:t xml:space="preserve">që përputhen me zonat me erozion të lartë dhe reshje intensive. Këto kushte përkeqësojnë ndjeshmërinë e shpatit ndaj rrëshqitjeve të dheut, sidomos kur ndikohen edhe nga aktiviteti sizmik. </w:t>
      </w:r>
    </w:p>
    <w:p w14:paraId="2D06B43C" w14:textId="25224FB2" w:rsidR="00922770" w:rsidRPr="00705B56" w:rsidRDefault="00940EC6" w:rsidP="00940EC6">
      <w:pPr>
        <w:jc w:val="both"/>
        <w:rPr>
          <w:rFonts w:ascii="Arial" w:hAnsi="Arial" w:cs="Arial"/>
          <w:lang w:val="sq-AL"/>
        </w:rPr>
      </w:pPr>
      <w:r w:rsidRPr="00705B56">
        <w:rPr>
          <w:rFonts w:ascii="Arial" w:hAnsi="Arial" w:cs="Arial"/>
          <w:lang w:val="sq-AL"/>
        </w:rPr>
        <w:lastRenderedPageBreak/>
        <w:t xml:space="preserve">Këto trende nënvizojnë se si </w:t>
      </w:r>
      <w:r w:rsidR="00783B4B" w:rsidRPr="00705B56">
        <w:rPr>
          <w:rFonts w:ascii="Arial" w:hAnsi="Arial" w:cs="Arial"/>
          <w:lang w:val="sq-AL"/>
        </w:rPr>
        <w:t xml:space="preserve">ndryshimet klimatike duke përfshirë, temperatura më të larta, reshje më intensive dhe ngjarje ekstrem më të shpeshta,  po rrisin rrezikun e rrëshqitjeve dhe përkeqësojnë ndikimin e aktiviteteve sizmike. </w:t>
      </w:r>
      <w:r w:rsidRPr="00705B56">
        <w:rPr>
          <w:rFonts w:ascii="Arial" w:hAnsi="Arial" w:cs="Arial"/>
          <w:lang w:val="sq-AL"/>
        </w:rPr>
        <w:t xml:space="preserve"> Seksioni në vijim </w:t>
      </w:r>
      <w:r w:rsidR="00783B4B" w:rsidRPr="00705B56">
        <w:rPr>
          <w:rFonts w:ascii="Arial" w:hAnsi="Arial" w:cs="Arial"/>
          <w:lang w:val="sq-AL"/>
        </w:rPr>
        <w:t xml:space="preserve">do të analizojë në detaje ndryshueshmërinë dhe rreziqet klimatike, duke treguar se si ato </w:t>
      </w:r>
      <w:r w:rsidRPr="00705B56">
        <w:rPr>
          <w:rFonts w:ascii="Arial" w:hAnsi="Arial" w:cs="Arial"/>
          <w:lang w:val="sq-AL"/>
        </w:rPr>
        <w:t xml:space="preserve"> po materializohen në terren dhe po formësojnë ndjeshmërinë aktuale të vendit ndaj rreziqeve klimatike</w:t>
      </w:r>
      <w:r w:rsidR="00922770" w:rsidRPr="00705B56">
        <w:rPr>
          <w:rFonts w:ascii="Arial" w:hAnsi="Arial" w:cs="Arial"/>
          <w:lang w:val="sq-AL"/>
        </w:rPr>
        <w:t>.</w:t>
      </w:r>
    </w:p>
    <w:p w14:paraId="31D4DA5C" w14:textId="270C3D29" w:rsidR="001D4FA1" w:rsidRPr="00705B56" w:rsidRDefault="00940EC6" w:rsidP="008E17FD">
      <w:pPr>
        <w:pStyle w:val="Heading2"/>
        <w:rPr>
          <w:rFonts w:ascii="Arial" w:hAnsi="Arial" w:cs="Arial"/>
          <w:lang w:val="sq-AL"/>
        </w:rPr>
      </w:pPr>
      <w:bookmarkStart w:id="36" w:name="_Toc211532692"/>
      <w:r w:rsidRPr="00705B56">
        <w:rPr>
          <w:rFonts w:ascii="Arial" w:hAnsi="Arial" w:cs="Arial"/>
          <w:lang w:val="sq-AL"/>
        </w:rPr>
        <w:t>Ndryshueshmëria e vëzhguar e klimës dhe rreziqet</w:t>
      </w:r>
      <w:bookmarkEnd w:id="36"/>
    </w:p>
    <w:p w14:paraId="50527C2E" w14:textId="2913CB2E" w:rsidR="001D4FA1" w:rsidRPr="00705B56" w:rsidRDefault="00940EC6" w:rsidP="008E17FD">
      <w:pPr>
        <w:pStyle w:val="Heading3"/>
        <w:rPr>
          <w:rFonts w:ascii="Arial" w:hAnsi="Arial" w:cs="Arial"/>
          <w:lang w:val="sq-AL"/>
        </w:rPr>
      </w:pPr>
      <w:bookmarkStart w:id="37" w:name="_Toc211532693"/>
      <w:r w:rsidRPr="00705B56">
        <w:rPr>
          <w:rFonts w:ascii="Arial" w:hAnsi="Arial" w:cs="Arial"/>
          <w:lang w:val="sq-AL"/>
        </w:rPr>
        <w:t>Trendet e temperaturës</w:t>
      </w:r>
      <w:bookmarkEnd w:id="37"/>
    </w:p>
    <w:p w14:paraId="0C7CDD20" w14:textId="320C8A41" w:rsidR="001644A2" w:rsidRPr="00705B56" w:rsidRDefault="005A1BC8" w:rsidP="001D4FA1">
      <w:pPr>
        <w:spacing w:line="240" w:lineRule="auto"/>
        <w:jc w:val="both"/>
        <w:rPr>
          <w:rFonts w:ascii="Arial" w:hAnsi="Arial" w:cs="Arial"/>
          <w:lang w:val="sq-AL"/>
        </w:rPr>
      </w:pPr>
      <w:r w:rsidRPr="00705B56">
        <w:rPr>
          <w:rFonts w:ascii="Arial" w:hAnsi="Arial" w:cs="Arial"/>
          <w:noProof/>
        </w:rPr>
        <mc:AlternateContent>
          <mc:Choice Requires="wps">
            <w:drawing>
              <wp:anchor distT="0" distB="0" distL="114300" distR="114300" simplePos="0" relativeHeight="251824128" behindDoc="0" locked="0" layoutInCell="1" allowOverlap="1" wp14:anchorId="370D6FB8" wp14:editId="52B5EAFB">
                <wp:simplePos x="0" y="0"/>
                <wp:positionH relativeFrom="margin">
                  <wp:posOffset>2556510</wp:posOffset>
                </wp:positionH>
                <wp:positionV relativeFrom="paragraph">
                  <wp:posOffset>1217295</wp:posOffset>
                </wp:positionV>
                <wp:extent cx="3909060" cy="845820"/>
                <wp:effectExtent l="0" t="0" r="0" b="0"/>
                <wp:wrapThrough wrapText="bothSides">
                  <wp:wrapPolygon edited="0">
                    <wp:start x="0" y="0"/>
                    <wp:lineTo x="0" y="20919"/>
                    <wp:lineTo x="21474" y="20919"/>
                    <wp:lineTo x="21474" y="0"/>
                    <wp:lineTo x="0" y="0"/>
                  </wp:wrapPolygon>
                </wp:wrapThrough>
                <wp:docPr id="1050678476" name="Text Box 1"/>
                <wp:cNvGraphicFramePr/>
                <a:graphic xmlns:a="http://schemas.openxmlformats.org/drawingml/2006/main">
                  <a:graphicData uri="http://schemas.microsoft.com/office/word/2010/wordprocessingShape">
                    <wps:wsp>
                      <wps:cNvSpPr txBox="1"/>
                      <wps:spPr>
                        <a:xfrm>
                          <a:off x="0" y="0"/>
                          <a:ext cx="3909060" cy="845820"/>
                        </a:xfrm>
                        <a:prstGeom prst="rect">
                          <a:avLst/>
                        </a:prstGeom>
                        <a:solidFill>
                          <a:prstClr val="white"/>
                        </a:solidFill>
                        <a:ln>
                          <a:noFill/>
                        </a:ln>
                      </wps:spPr>
                      <wps:txbx>
                        <w:txbxContent>
                          <w:p w14:paraId="52F0AE83" w14:textId="3F643A70" w:rsidR="00681279" w:rsidRPr="00FE6BDF" w:rsidRDefault="00681279" w:rsidP="00D23BB3">
                            <w:pPr>
                              <w:pStyle w:val="Caption"/>
                              <w:rPr>
                                <w:rFonts w:ascii="Arial" w:hAnsi="Arial" w:cs="Arial"/>
                                <w:noProof/>
                                <w:sz w:val="22"/>
                                <w:szCs w:val="22"/>
                                <w:lang w:val="sq-AL" w:eastAsia="sq-AL"/>
                              </w:rPr>
                            </w:pPr>
                            <w:bookmarkStart w:id="38" w:name="_Toc211532609"/>
                            <w:r w:rsidRPr="00FE6BDF">
                              <w:rPr>
                                <w:rFonts w:ascii="Arial" w:hAnsi="Arial" w:cs="Arial"/>
                              </w:rPr>
                              <w:t xml:space="preserve">Figura </w:t>
                            </w:r>
                            <w:r w:rsidRPr="00FE6BDF">
                              <w:rPr>
                                <w:rFonts w:ascii="Arial" w:hAnsi="Arial" w:cs="Arial"/>
                              </w:rPr>
                              <w:fldChar w:fldCharType="begin"/>
                            </w:r>
                            <w:r w:rsidRPr="00FE6BDF">
                              <w:rPr>
                                <w:rFonts w:ascii="Arial" w:hAnsi="Arial" w:cs="Arial"/>
                              </w:rPr>
                              <w:instrText xml:space="preserve"> SEQ Figura \* ARABIC </w:instrText>
                            </w:r>
                            <w:r w:rsidRPr="00FE6BDF">
                              <w:rPr>
                                <w:rFonts w:ascii="Arial" w:hAnsi="Arial" w:cs="Arial"/>
                              </w:rPr>
                              <w:fldChar w:fldCharType="separate"/>
                            </w:r>
                            <w:r w:rsidR="0005579F" w:rsidRPr="00FE6BDF">
                              <w:rPr>
                                <w:rFonts w:ascii="Arial" w:hAnsi="Arial" w:cs="Arial"/>
                                <w:noProof/>
                              </w:rPr>
                              <w:t>8</w:t>
                            </w:r>
                            <w:r w:rsidRPr="00FE6BDF">
                              <w:rPr>
                                <w:rFonts w:ascii="Arial" w:hAnsi="Arial" w:cs="Arial"/>
                              </w:rPr>
                              <w:fldChar w:fldCharType="end"/>
                            </w:r>
                            <w:r w:rsidRPr="00FE6BDF">
                              <w:rPr>
                                <w:rFonts w:ascii="Arial" w:hAnsi="Arial" w:cs="Arial"/>
                              </w:rPr>
                              <w:t xml:space="preserve">. “Vija ngrohëse” për Kosovën – çdo vijë vertikale përfaqëson temperaturën mesatare vjetore të vendit nga fillimi i shekullit të 20-të deri në vitet e fundit (blu = më e ftohtë, e kuqe = më e nxehtë). Zhvendosja e qartë nga tonet kryesisht blu në mesin e viteve 1900 në të kuqe të thellë në dekadat e fundit ilustron trendin e rëndësishëm afatgjatë të ngrohjes. Burimi: University of Reading </w:t>
                            </w:r>
                            <w:hyperlink r:id="rId27" w:history="1">
                              <w:r w:rsidRPr="00FE6BDF">
                                <w:rPr>
                                  <w:rStyle w:val="Hyperlink"/>
                                  <w:rFonts w:ascii="Arial" w:hAnsi="Arial" w:cs="Arial"/>
                                </w:rPr>
                                <w:t>https://showyourstripes.info/s/europe/kosovo/pristina</w:t>
                              </w:r>
                              <w:bookmarkEnd w:id="38"/>
                            </w:hyperlink>
                            <w:r w:rsidRPr="00FE6BDF">
                              <w:rPr>
                                <w:rFonts w:ascii="Arial" w:hAnsi="Arial" w:cs="Aria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0D6FB8" id="_x0000_s1036" type="#_x0000_t202" style="position:absolute;left:0;text-align:left;margin-left:201.3pt;margin-top:95.85pt;width:307.8pt;height:66.6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" stroked="f">
                <v:textbox inset="0,0,0,0">
                  <w:txbxContent>
                    <w:p w14:paraId="52F0AE83" w14:textId="3F643A70" w:rsidR="00681279" w:rsidRPr="00FE6BDF" w:rsidRDefault="00681279" w:rsidP="00D23BB3">
                      <w:pPr>
                        <w:pStyle w:val="Caption"/>
                        <w:rPr>
                          <w:rFonts w:ascii="Arial" w:hAnsi="Arial" w:cs="Arial"/>
                          <w:noProof/>
                          <w:sz w:val="22"/>
                          <w:szCs w:val="22"/>
                          <w:lang w:val="sq-AL" w:eastAsia="sq-AL"/>
                        </w:rPr>
                      </w:pPr>
                      <w:bookmarkStart w:id="44" w:name="_Toc211532609"/>
                      <w:r w:rsidRPr="00FE6BDF">
                        <w:rPr>
                          <w:rFonts w:ascii="Arial" w:hAnsi="Arial" w:cs="Arial"/>
                        </w:rPr>
                        <w:t xml:space="preserve">Figura </w:t>
                      </w:r>
                      <w:r w:rsidRPr="00FE6BDF">
                        <w:rPr>
                          <w:rFonts w:ascii="Arial" w:hAnsi="Arial" w:cs="Arial"/>
                        </w:rPr>
                        <w:fldChar w:fldCharType="begin"/>
                      </w:r>
                      <w:r w:rsidRPr="00FE6BDF">
                        <w:rPr>
                          <w:rFonts w:ascii="Arial" w:hAnsi="Arial" w:cs="Arial"/>
                        </w:rPr>
                        <w:instrText xml:space="preserve"> SEQ Figura \* ARABIC </w:instrText>
                      </w:r>
                      <w:r w:rsidRPr="00FE6BDF">
                        <w:rPr>
                          <w:rFonts w:ascii="Arial" w:hAnsi="Arial" w:cs="Arial"/>
                        </w:rPr>
                        <w:fldChar w:fldCharType="separate"/>
                      </w:r>
                      <w:r w:rsidR="0005579F" w:rsidRPr="00FE6BDF">
                        <w:rPr>
                          <w:rFonts w:ascii="Arial" w:hAnsi="Arial" w:cs="Arial"/>
                          <w:noProof/>
                        </w:rPr>
                        <w:t>8</w:t>
                      </w:r>
                      <w:r w:rsidRPr="00FE6BDF">
                        <w:rPr>
                          <w:rFonts w:ascii="Arial" w:hAnsi="Arial" w:cs="Arial"/>
                        </w:rPr>
                        <w:fldChar w:fldCharType="end"/>
                      </w:r>
                      <w:r w:rsidRPr="00FE6BDF">
                        <w:rPr>
                          <w:rFonts w:ascii="Arial" w:hAnsi="Arial" w:cs="Arial"/>
                        </w:rPr>
                        <w:t>. “</w:t>
                      </w:r>
                      <w:r w:rsidRPr="00FE6BDF">
                        <w:rPr>
                          <w:rFonts w:ascii="Arial" w:hAnsi="Arial" w:cs="Arial"/>
                        </w:rPr>
                        <w:t xml:space="preserve">Vija ngrohëse” për Kosovën – çdo vijë vertikale përfaqëson temperaturën mesatare vjetore të vendit nga fillimi i shekullit të 20-të deri në vitet e fundit (blu = më e ftohtë, e kuqe = më e nxehtë). Zhvendosja e qartë nga tonet kryesisht blu në mesin e viteve 1900 në të kuqe të thellë në dekadat e fundit ilustron trendin e rëndësishëm afatgjatë të ngrohjes. Burimi: University of Reading </w:t>
                      </w:r>
                      <w:hyperlink r:id="rId28" w:history="1">
                        <w:r w:rsidRPr="00FE6BDF">
                          <w:rPr>
                            <w:rStyle w:val="Hyperlink"/>
                            <w:rFonts w:ascii="Arial" w:hAnsi="Arial" w:cs="Arial"/>
                          </w:rPr>
                          <w:t>https://showyourstripes.info/s/europe/kosovo/pristina</w:t>
                        </w:r>
                        <w:bookmarkEnd w:id="44"/>
                      </w:hyperlink>
                      <w:r w:rsidRPr="00FE6BDF">
                        <w:rPr>
                          <w:rFonts w:ascii="Arial" w:hAnsi="Arial" w:cs="Arial"/>
                        </w:rPr>
                        <w:t xml:space="preserve"> </w:t>
                      </w:r>
                    </w:p>
                  </w:txbxContent>
                </v:textbox>
                <w10:wrap type="through" anchorx="margin"/>
              </v:shape>
            </w:pict>
          </mc:Fallback>
        </mc:AlternateContent>
      </w:r>
      <w:r w:rsidR="00940EC6" w:rsidRPr="00705B56">
        <w:rPr>
          <w:rFonts w:ascii="Arial" w:hAnsi="Arial" w:cs="Arial"/>
          <w:lang w:val="sq-AL"/>
        </w:rPr>
        <w:t>Gjatë disa dekadave të fundit, Kosova ka përjetuar një rritje të qartë të temperaturave mesatare në përputhje me ngrohjen rajonale në të gjithë Ballkanin Perëndimor. Të dhënat historike dhe të dhënat meteorologjike tregojnë se secila prej dekadave të fundit ka qenë më e ngrohtë se e mëparshmja, me trendin e ngrohjes që përshpejtohet që nga vitet 1980. Temperaturat e verës në veçanti janë rritur më shpejt - një model i vërejtur në të gjithë Evropën Juglindore. Ekstremet e nxehtësisë që dikur ishin të rralla janë bërë më të zakonshme. Për shembull, frekuenca dhe ashpërsia e valëve të nxehtësisë në Kosovë janë rritur ndjeshëm</w:t>
      </w:r>
      <w:r w:rsidR="001D4FA1" w:rsidRPr="00705B56">
        <w:rPr>
          <w:rFonts w:ascii="Arial" w:hAnsi="Arial" w:cs="Arial"/>
          <w:lang w:val="sq-AL"/>
        </w:rPr>
        <w:t xml:space="preserve">. </w:t>
      </w:r>
    </w:p>
    <w:p w14:paraId="5317596D" w14:textId="201B361D" w:rsidR="00681279" w:rsidRPr="00705B56" w:rsidRDefault="005A1BC8" w:rsidP="00194C74">
      <w:pPr>
        <w:spacing w:line="240" w:lineRule="auto"/>
        <w:jc w:val="both"/>
        <w:rPr>
          <w:rFonts w:ascii="Arial" w:hAnsi="Arial" w:cs="Arial"/>
          <w:lang w:val="sq-AL"/>
        </w:rPr>
      </w:pPr>
      <w:r w:rsidRPr="00705B56">
        <w:rPr>
          <w:rFonts w:ascii="Arial" w:hAnsi="Arial" w:cs="Arial"/>
          <w:noProof/>
        </w:rPr>
        <w:drawing>
          <wp:anchor distT="0" distB="0" distL="114300" distR="114300" simplePos="0" relativeHeight="251683840" behindDoc="0" locked="0" layoutInCell="1" allowOverlap="1" wp14:anchorId="06BA22C1" wp14:editId="7D49CC15">
            <wp:simplePos x="0" y="0"/>
            <wp:positionH relativeFrom="margin">
              <wp:align>left</wp:align>
            </wp:positionH>
            <wp:positionV relativeFrom="paragraph">
              <wp:posOffset>9525</wp:posOffset>
            </wp:positionV>
            <wp:extent cx="2440305" cy="1371600"/>
            <wp:effectExtent l="0" t="0" r="0" b="0"/>
            <wp:wrapThrough wrapText="bothSides">
              <wp:wrapPolygon edited="0">
                <wp:start x="0" y="0"/>
                <wp:lineTo x="0" y="21300"/>
                <wp:lineTo x="21415" y="21300"/>
                <wp:lineTo x="21415" y="0"/>
                <wp:lineTo x="0" y="0"/>
              </wp:wrapPolygon>
            </wp:wrapThrough>
            <wp:docPr id="697462569" name="Picture 3" descr="A blue and red vertical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0098" name="Picture 3" descr="A blue and red vertical line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40305" cy="1371600"/>
                    </a:xfrm>
                    <a:prstGeom prst="rect">
                      <a:avLst/>
                    </a:prstGeom>
                  </pic:spPr>
                </pic:pic>
              </a:graphicData>
            </a:graphic>
            <wp14:sizeRelH relativeFrom="page">
              <wp14:pctWidth>0</wp14:pctWidth>
            </wp14:sizeRelH>
            <wp14:sizeRelV relativeFrom="page">
              <wp14:pctHeight>0</wp14:pctHeight>
            </wp14:sizeRelV>
          </wp:anchor>
        </w:drawing>
      </w:r>
    </w:p>
    <w:p w14:paraId="42873037" w14:textId="6968ADF1" w:rsidR="00681279" w:rsidRPr="00705B56" w:rsidRDefault="00681279" w:rsidP="00194C74">
      <w:pPr>
        <w:spacing w:line="240" w:lineRule="auto"/>
        <w:jc w:val="both"/>
        <w:rPr>
          <w:rFonts w:ascii="Arial" w:hAnsi="Arial" w:cs="Arial"/>
          <w:lang w:val="sq-AL"/>
        </w:rPr>
      </w:pPr>
    </w:p>
    <w:p w14:paraId="556C7A44" w14:textId="36AB8612" w:rsidR="00194C74" w:rsidRPr="00705B56" w:rsidRDefault="00194C74" w:rsidP="00194C74">
      <w:pPr>
        <w:spacing w:line="240" w:lineRule="auto"/>
        <w:jc w:val="both"/>
        <w:rPr>
          <w:rFonts w:ascii="Arial" w:hAnsi="Arial" w:cs="Arial"/>
          <w:lang w:val="sq-AL"/>
        </w:rPr>
      </w:pPr>
      <w:r w:rsidRPr="00705B56">
        <w:rPr>
          <w:rFonts w:ascii="Arial" w:hAnsi="Arial" w:cs="Arial"/>
          <w:lang w:val="sq-AL"/>
        </w:rPr>
        <w:t xml:space="preserve">Episodet e valëve të nxehtësisë janë vërejtur që në vitet 1960, por ato janë bërë më të gjata dhe më intensive në vitet e fundit. Numri i ditëve jashtëzakonisht të nxehta (p.sh. ditë mbi 35 °C) është më i lartë tani sesa në fund të shekullit të 20-të, dhe temperaturat rekord të verës po ndodhin më shpesh. korriku është zakonisht muaji më i nxehtë i vitit në Kosovë, dhe vëzhgimet e fundit nënvizojnë trendin e ngrohjes: korriku 2023 u regjistrua si korriku i dytë më i nxehtë që nga viti 2001 për sa i përket temperaturave minimale mesatare. Jo vetëm që temperaturat maksimale gjatë ditës po rriten ndjeshëm, por edhe temperaturat e natës kanë qenë jashtëzakonisht të larta, duke treguar lehtësim të zvogëluar nga nxehtësia. Ndryshime të tilla po çojnë në valë të nxehta verore më të gjata dhe më intensive, të cilat paraqesin rreziqe shëndetësore dhe rëndojnë furnizimin me ujë dhe energji. </w:t>
      </w:r>
      <w:r w:rsidRPr="00705B56">
        <w:rPr>
          <w:rFonts w:ascii="Arial" w:hAnsi="Arial" w:cs="Arial"/>
          <w:b/>
          <w:bCs/>
          <w:lang w:val="sq-AL"/>
        </w:rPr>
        <w:t>Temperatura mesatare vjetore e Kosovës është rritur me afërsisht 1.2°C që nga viti 1960</w:t>
      </w:r>
      <w:r w:rsidR="00757277" w:rsidRPr="00705B56">
        <w:rPr>
          <w:rFonts w:ascii="Arial" w:hAnsi="Arial" w:cs="Arial"/>
          <w:lang w:val="sq-AL"/>
        </w:rPr>
        <w:t>.</w:t>
      </w:r>
      <w:r w:rsidR="001D4FA1" w:rsidRPr="00705B56">
        <w:rPr>
          <w:rStyle w:val="FootnoteReference"/>
          <w:rFonts w:ascii="Arial" w:hAnsi="Arial" w:cs="Arial"/>
          <w:lang w:val="sq-AL"/>
        </w:rPr>
        <w:footnoteReference w:id="19"/>
      </w:r>
      <w:r w:rsidR="001D4FA1" w:rsidRPr="00705B56">
        <w:rPr>
          <w:rFonts w:ascii="Arial" w:hAnsi="Arial" w:cs="Arial"/>
          <w:lang w:val="sq-AL"/>
        </w:rPr>
        <w:t xml:space="preserve"> </w:t>
      </w:r>
      <w:r w:rsidR="00A64641" w:rsidRPr="00705B56">
        <w:rPr>
          <w:rFonts w:ascii="Arial" w:hAnsi="Arial" w:cs="Arial"/>
          <w:lang w:val="sq-AL"/>
        </w:rPr>
        <w:t>Ky</w:t>
      </w:r>
      <w:r w:rsidRPr="00705B56">
        <w:rPr>
          <w:rFonts w:ascii="Arial" w:hAnsi="Arial" w:cs="Arial"/>
          <w:lang w:val="sq-AL"/>
        </w:rPr>
        <w:t xml:space="preserve"> trend ngrohjeje po ndryshon modelet sezonale, duke shkaktuar:</w:t>
      </w:r>
    </w:p>
    <w:p w14:paraId="3D9B69CE" w14:textId="77777777" w:rsidR="00194C74" w:rsidRPr="00705B56" w:rsidRDefault="00194C74" w:rsidP="00F36447">
      <w:pPr>
        <w:pStyle w:val="ListParagraph"/>
        <w:numPr>
          <w:ilvl w:val="0"/>
          <w:numId w:val="4"/>
        </w:numPr>
        <w:spacing w:before="0" w:line="240" w:lineRule="auto"/>
        <w:jc w:val="both"/>
        <w:rPr>
          <w:rFonts w:ascii="Arial" w:hAnsi="Arial" w:cs="Arial"/>
          <w:lang w:val="sq-AL"/>
        </w:rPr>
      </w:pPr>
      <w:r w:rsidRPr="00705B56">
        <w:rPr>
          <w:rFonts w:ascii="Arial" w:hAnsi="Arial" w:cs="Arial"/>
          <w:lang w:val="sq-AL"/>
        </w:rPr>
        <w:t>Pranvera më të hershme dhe dimra më të shkurtër.</w:t>
      </w:r>
    </w:p>
    <w:p w14:paraId="0E36DB48" w14:textId="77777777" w:rsidR="00194C74" w:rsidRPr="00705B56" w:rsidRDefault="00194C74" w:rsidP="00F36447">
      <w:pPr>
        <w:pStyle w:val="ListParagraph"/>
        <w:numPr>
          <w:ilvl w:val="0"/>
          <w:numId w:val="4"/>
        </w:numPr>
        <w:spacing w:before="0" w:line="240" w:lineRule="auto"/>
        <w:jc w:val="both"/>
        <w:rPr>
          <w:rFonts w:ascii="Arial" w:hAnsi="Arial" w:cs="Arial"/>
          <w:lang w:val="sq-AL"/>
        </w:rPr>
      </w:pPr>
      <w:r w:rsidRPr="00705B56">
        <w:rPr>
          <w:rFonts w:ascii="Arial" w:hAnsi="Arial" w:cs="Arial"/>
          <w:lang w:val="sq-AL"/>
        </w:rPr>
        <w:t>Valë të nxehta verore më të gjata dhe më intensive, duke rritur rreziqet për shëndetin, bujqësinë dhe kërkesën për energji.</w:t>
      </w:r>
    </w:p>
    <w:p w14:paraId="68189B94" w14:textId="5EA68FC8" w:rsidR="001D4FA1" w:rsidRPr="00705B56" w:rsidRDefault="00194C74" w:rsidP="00F36447">
      <w:pPr>
        <w:pStyle w:val="ListParagraph"/>
        <w:numPr>
          <w:ilvl w:val="0"/>
          <w:numId w:val="4"/>
        </w:numPr>
        <w:spacing w:before="0" w:line="240" w:lineRule="auto"/>
        <w:jc w:val="both"/>
        <w:rPr>
          <w:rFonts w:ascii="Arial" w:hAnsi="Arial" w:cs="Arial"/>
          <w:lang w:val="sq-AL"/>
        </w:rPr>
      </w:pPr>
      <w:r w:rsidRPr="00705B56">
        <w:rPr>
          <w:rFonts w:ascii="Arial" w:hAnsi="Arial" w:cs="Arial"/>
          <w:lang w:val="sq-AL"/>
        </w:rPr>
        <w:t>Temperatura më të larta gjatë natës, duke zvogëluar lehtësimin nga nxehtësia e ditës</w:t>
      </w:r>
      <w:r w:rsidR="001D4FA1" w:rsidRPr="00705B56">
        <w:rPr>
          <w:rFonts w:ascii="Arial" w:hAnsi="Arial" w:cs="Arial"/>
          <w:lang w:val="sq-AL"/>
        </w:rPr>
        <w:t>.</w:t>
      </w:r>
    </w:p>
    <w:p w14:paraId="13156691" w14:textId="52A32ABA" w:rsidR="001D4FA1" w:rsidRPr="00705B56" w:rsidRDefault="00194C74" w:rsidP="001D4FA1">
      <w:pPr>
        <w:spacing w:line="240" w:lineRule="auto"/>
        <w:jc w:val="both"/>
        <w:rPr>
          <w:rFonts w:ascii="Arial" w:hAnsi="Arial" w:cs="Arial"/>
          <w:lang w:val="sq-AL"/>
        </w:rPr>
      </w:pPr>
      <w:r w:rsidRPr="00705B56">
        <w:rPr>
          <w:rFonts w:ascii="Arial" w:hAnsi="Arial" w:cs="Arial"/>
          <w:lang w:val="sq-AL"/>
        </w:rPr>
        <w:t>Trajektorja e përgjithshme e ngrohjes së Kosovës është në përputhje me parashikimet nga IPCC AR6</w:t>
      </w:r>
      <w:r w:rsidR="001D4FA1" w:rsidRPr="00705B56">
        <w:rPr>
          <w:rStyle w:val="FootnoteReference"/>
          <w:rFonts w:ascii="Arial" w:hAnsi="Arial" w:cs="Arial"/>
          <w:lang w:val="sq-AL"/>
        </w:rPr>
        <w:footnoteReference w:id="20"/>
      </w:r>
      <w:r w:rsidR="001D4FA1" w:rsidRPr="00705B56">
        <w:rPr>
          <w:rFonts w:ascii="Arial" w:hAnsi="Arial" w:cs="Arial"/>
          <w:lang w:val="sq-AL"/>
        </w:rPr>
        <w:t xml:space="preserve"> </w:t>
      </w:r>
      <w:r w:rsidRPr="00705B56">
        <w:rPr>
          <w:rFonts w:ascii="Arial" w:hAnsi="Arial" w:cs="Arial"/>
          <w:lang w:val="sq-AL"/>
        </w:rPr>
        <w:t>të cilat tregojnë se rritjet e temperaturës në Ballkan tejkalojnë mesataren globale për shkak të vendndodhjes së rajonit në brendësi të tokës, në gjerësinë e mesme gjeografike.</w:t>
      </w:r>
    </w:p>
    <w:p w14:paraId="77C11648" w14:textId="5B1B439E" w:rsidR="001D4FA1" w:rsidRPr="00705B56" w:rsidRDefault="00105C2B" w:rsidP="008E17FD">
      <w:pPr>
        <w:pStyle w:val="Heading3"/>
        <w:rPr>
          <w:rFonts w:ascii="Arial" w:hAnsi="Arial" w:cs="Arial"/>
          <w:lang w:val="sq-AL"/>
        </w:rPr>
      </w:pPr>
      <w:bookmarkStart w:id="39" w:name="_Toc211532694"/>
      <w:r w:rsidRPr="00705B56">
        <w:rPr>
          <w:rFonts w:ascii="Arial" w:hAnsi="Arial" w:cs="Arial"/>
          <w:lang w:val="sq-AL"/>
        </w:rPr>
        <w:t>Reshjet dhe ndryshimet hidrologjike</w:t>
      </w:r>
      <w:bookmarkEnd w:id="39"/>
    </w:p>
    <w:p w14:paraId="32F121CB" w14:textId="5245E6CB" w:rsidR="00943DD4" w:rsidRPr="00705B56" w:rsidRDefault="00105C2B" w:rsidP="001D4FA1">
      <w:pPr>
        <w:spacing w:line="240" w:lineRule="auto"/>
        <w:jc w:val="both"/>
        <w:rPr>
          <w:rFonts w:ascii="Arial" w:hAnsi="Arial" w:cs="Arial"/>
          <w:lang w:val="sq-AL"/>
        </w:rPr>
      </w:pPr>
      <w:r w:rsidRPr="00705B56">
        <w:rPr>
          <w:rFonts w:ascii="Arial" w:hAnsi="Arial" w:cs="Arial"/>
          <w:lang w:val="sq-AL"/>
        </w:rPr>
        <w:t xml:space="preserve">Ndërsa rritjet e temperaturës në Kosovë janë të padiskutueshme, ndryshimet e vëzhguara në reshje kanë qenë më komplekse. Reshjet vjetore në Kosovë ndryshojnë në varësi të terrenit – tek malet në perëndim dhe jug ka më shumë reshje, ndërsa tek fushat verilindore më pak. Gjatë 50 viteve të fundit, reshjet e përgjithshme në Ballkanin Perëndimor kanë treguar një tendencë të lehtë në rënie, megjithëse me </w:t>
      </w:r>
      <w:r w:rsidRPr="00705B56">
        <w:rPr>
          <w:rFonts w:ascii="Arial" w:hAnsi="Arial" w:cs="Arial"/>
          <w:lang w:val="sq-AL"/>
        </w:rPr>
        <w:lastRenderedPageBreak/>
        <w:t xml:space="preserve">ndryshueshmëri të konsiderueshme rajonale dhe vjetore. Në Kosovë, disa zona kanë përjetuar vera më të thata dhe thatësira më të shpeshta verore, edhe pse reshjet totale vjetore nuk kanë ndryshuar në mënyrë dramatike. Të dhënat afatgjata tregojnë se modelet e reshjeve po bëhen më të çrregullta, me periudha të zgjatura thatësire të ndërprera nga periudha të shkurtra reshjesh intensive. </w:t>
      </w:r>
    </w:p>
    <w:p w14:paraId="0121DC6A" w14:textId="6AE62128" w:rsidR="00105C2B" w:rsidRPr="00705B56" w:rsidRDefault="00105C2B" w:rsidP="00105C2B">
      <w:pPr>
        <w:spacing w:line="240" w:lineRule="auto"/>
        <w:jc w:val="both"/>
        <w:rPr>
          <w:rFonts w:ascii="Arial" w:hAnsi="Arial" w:cs="Arial"/>
          <w:lang w:val="sq-AL"/>
        </w:rPr>
      </w:pPr>
      <w:r w:rsidRPr="00705B56">
        <w:rPr>
          <w:rFonts w:ascii="Arial" w:hAnsi="Arial" w:cs="Arial"/>
          <w:lang w:val="sq-AL"/>
        </w:rPr>
        <w:t>Veçanërisht, incidentet e thatësirës janë rritur në frekuencë. Vendi ka vuajtur nga thatësira të konsiderueshme disa herë gjatë dy dekadave të fundit. Këto thatësira kanë pasur pasoja të rënda për bujqësinë dhe furnizimin me ujë. Përafërsisht 80% e komunave të Kosovës kanë përjetuar mungesë uji që nga viti 2004, dhe në rreth 70% të këtyre rasteve mungesat janë përkeqësuar në vitet e fundit për shkak të kushteve të thatësirës dhe praktikave të paqëndrueshme të përdorimit të ujit. Vlerësimet e fundit rajonale i përforcojnë këto tendenca</w:t>
      </w:r>
      <w:r w:rsidR="00757277" w:rsidRPr="00705B56">
        <w:rPr>
          <w:rFonts w:ascii="Arial" w:hAnsi="Arial" w:cs="Arial"/>
          <w:lang w:val="sq-AL"/>
        </w:rPr>
        <w:t>.</w:t>
      </w:r>
      <w:r w:rsidR="00943DD4" w:rsidRPr="00705B56">
        <w:rPr>
          <w:rStyle w:val="FootnoteReference"/>
          <w:rFonts w:ascii="Arial" w:hAnsi="Arial" w:cs="Arial"/>
          <w:lang w:val="sq-AL"/>
        </w:rPr>
        <w:footnoteReference w:id="21"/>
      </w:r>
      <w:r w:rsidR="00943DD4" w:rsidRPr="00705B56">
        <w:rPr>
          <w:rFonts w:ascii="Arial" w:hAnsi="Arial" w:cs="Arial"/>
          <w:lang w:val="sq-AL"/>
        </w:rPr>
        <w:t xml:space="preserve"> </w:t>
      </w:r>
      <w:r w:rsidRPr="00705B56">
        <w:rPr>
          <w:rFonts w:ascii="Arial" w:hAnsi="Arial" w:cs="Arial"/>
          <w:lang w:val="sq-AL"/>
        </w:rPr>
        <w:t>Sipas modelimit të ndikimit të thatësirës, disa zona në Kosovë përjetojnë humbje të konsiderueshme mesatare vjetore të lidhura me thatësirën. Të dhënat tregojnë se edhe skenarët e thatësirës së moderuar (p.sh., një ulje prej 15% e furnizimit me ujë) pritet të ndodhin çdo 10-15 vjet, ndërsa thatësirat më të rënda - që shkaktojnë një ulje deri në 30-33% - kanë periudha kthimi që tejkalojnë 70 vjet. Kjo nxjerr në pah si ashpërsinë në rritje ashtu edhe përsëritjen e stresit të lidhur me ujin në të gjithë vendin. Përveç kësaj, vitet 2007 dhe 2015 panë thatësira të rënda verore që ulën rendimentet e të korrave dhe nxitën racionimin e ujit në pjesë të vendit.</w:t>
      </w:r>
    </w:p>
    <w:p w14:paraId="158F3EDD" w14:textId="77777777" w:rsidR="00105C2B" w:rsidRPr="00705B56" w:rsidRDefault="00105C2B" w:rsidP="00105C2B">
      <w:pPr>
        <w:spacing w:line="240" w:lineRule="auto"/>
        <w:jc w:val="both"/>
        <w:rPr>
          <w:rFonts w:ascii="Arial" w:hAnsi="Arial" w:cs="Arial"/>
          <w:lang w:val="sq-AL"/>
        </w:rPr>
      </w:pPr>
      <w:r w:rsidRPr="00705B56">
        <w:rPr>
          <w:rFonts w:ascii="Arial" w:hAnsi="Arial" w:cs="Arial"/>
          <w:lang w:val="sq-AL"/>
        </w:rPr>
        <w:t>Ansjelltas, ngjarjet e reshjeve të dendura janë bërë më të theksuara. Vëzhgimet tregojnë një incidencë në rritje të stuhive me kohëzgjatje të shkurtër dhe me intensitet të lartë. Shpërthime të tilla reshjesh mund të mbingarkojnë sistemet e kullimit dhe të shkaktojnë përmbytje të menjëhershme. Në të vërtetë, të dhënat meteorologjike nga Instituti Hidrometeorologjik i Kosovës dokumentuan një ngjarje ekstreme reshjesh më 24 qershor 2023, kur mbi 54 mm shi ranë vetëm në një orë në qytetin perëndimor të Pejës. Ky lloj rrebeshi i rrëmbyeshëm është i pazakontë dhe ilustron paqëndrueshmërinë hidrologjike që po rritet me ndryshimet klimatike.</w:t>
      </w:r>
    </w:p>
    <w:p w14:paraId="36BA6061" w14:textId="14C8BD2B" w:rsidR="00913342" w:rsidRPr="00705B56" w:rsidRDefault="00EF6CCF" w:rsidP="00105C2B">
      <w:pPr>
        <w:spacing w:line="240" w:lineRule="auto"/>
        <w:jc w:val="both"/>
        <w:rPr>
          <w:rFonts w:ascii="Arial" w:hAnsi="Arial" w:cs="Arial"/>
          <w:lang w:val="sq-AL"/>
        </w:rPr>
      </w:pPr>
      <w:r w:rsidRPr="00705B56">
        <w:rPr>
          <w:rFonts w:ascii="Arial" w:hAnsi="Arial" w:cs="Arial"/>
          <w:lang w:val="sq-AL"/>
        </w:rPr>
        <w:t>Në përgjithësi, trendi i reshjeve në Kosovë po shkon drejt një variabiliteti më të madh: një rënie e lehtë e mesatareve vjetore, një tendencë drejt verave më të thata, por gjithashtu një rritje e episodeve me reshje ekstreme. Këto ndryshime kontribuojnë njëkohësisht në shtimin e rrezikut nga thatësirat dhe shpeshtimin e përmbytjeve, shpesh në mënyrë të njëpasnjëshme, duke e vështirësuar më tej menaxhimin e ujërave në Kosovë.</w:t>
      </w:r>
      <w:r w:rsidR="00631412" w:rsidRPr="00705B56">
        <w:rPr>
          <w:rFonts w:ascii="Arial" w:hAnsi="Arial" w:cs="Arial"/>
          <w:lang w:val="sq-AL"/>
        </w:rPr>
        <w:t xml:space="preserve"> </w:t>
      </w:r>
    </w:p>
    <w:p w14:paraId="198014E5" w14:textId="1A186DAE" w:rsidR="00EF6CCF" w:rsidRPr="00705B56" w:rsidRDefault="00EF6CCF" w:rsidP="00EF6CCF">
      <w:pPr>
        <w:spacing w:line="240" w:lineRule="auto"/>
        <w:jc w:val="both"/>
        <w:rPr>
          <w:rFonts w:ascii="Arial" w:hAnsi="Arial" w:cs="Arial"/>
          <w:lang w:val="sq-AL"/>
        </w:rPr>
      </w:pPr>
      <w:r w:rsidRPr="00705B56">
        <w:rPr>
          <w:rFonts w:ascii="Arial" w:hAnsi="Arial" w:cs="Arial"/>
          <w:lang w:val="sq-AL"/>
        </w:rPr>
        <w:t>Veçanërisht, reshjet ekstreme po përshpejtojnë proceset e erozionit dhe transportit të sedimentit, duke çuar në akumulim të shtuar të sedimentit në lumenj dhe rezervuarë. Kjo dinamikë ndikohet kryesisht nga erozioni i tokës dhe rrëshqitjet e dheut në shpatet e pjerrëta, të zhveshura ose të degraduara. Proceset e erozionit intensifikohen më tej nga ndryshimet në mbulesën e tokës, veçanërisht në rajonet malore dhe kodrinore, ku paqëndrueshmëria e terrenit është e lartë dhe rreziku nga rrëshqitjet përputhet me zonat e prira ndaj erozionit. Akumulimi i sedimentit në trupat ujorë ul kapacitetin e depozitimit, komprometon mbajtjen e përmbytjeve dhe përshpejton degradimin e infrastrukturës hidrike. Po ashtu, ndikon negativisht në cilësinë e ujit, duke rritur turbullirën dhe përmbajtjen e ndotësve, çka e bën procesin e trajtimit më kompleks dhe më të kushtueshëm. Kjo minon besueshmërinë e ujitjes dhe sjell shpenzime të larta për mirëmbajtjen e infrastrukturës, me pasoja zinxhirore në bujqësi, shëndet publik dhe prodhim të energjisë.</w:t>
      </w:r>
    </w:p>
    <w:p w14:paraId="4E1425E4" w14:textId="1BA49464" w:rsidR="00EF6CCF" w:rsidRPr="00705B56" w:rsidRDefault="00EF6CCF" w:rsidP="00EF6CCF">
      <w:pPr>
        <w:spacing w:line="240" w:lineRule="auto"/>
        <w:jc w:val="both"/>
        <w:rPr>
          <w:rFonts w:ascii="Arial" w:hAnsi="Arial" w:cs="Arial"/>
          <w:lang w:val="sq-AL"/>
        </w:rPr>
      </w:pPr>
      <w:r w:rsidRPr="00705B56">
        <w:rPr>
          <w:rFonts w:ascii="Arial" w:hAnsi="Arial" w:cs="Arial"/>
          <w:lang w:val="sq-AL"/>
        </w:rPr>
        <w:t>Për më tepër, përmbytjet janë shfaqur si një nga rreziqet kryesore klimatike në Kosovë, me disa ngjarje të rëndësishme të regjistruara në dy dekadat e fundit. Në veçanti, përmbytjet e viteve 2013 dhe 2016 shkaktuan dëme prej miliona eurosh dhe zhvendosën mijëra banorë. Këto ndryshime hidrologjike përbëjnë kërcënime serioze për infrastrukturën kritike, sigurinë e ujit dhe produktivitetin bujqësor.</w:t>
      </w:r>
    </w:p>
    <w:p w14:paraId="712AB4B8" w14:textId="4A03831E" w:rsidR="00EF6CCF" w:rsidRPr="00705B56" w:rsidRDefault="00EF6CCF" w:rsidP="00EF6CCF">
      <w:pPr>
        <w:spacing w:line="240" w:lineRule="auto"/>
        <w:jc w:val="both"/>
        <w:rPr>
          <w:rFonts w:ascii="Arial" w:hAnsi="Arial" w:cs="Arial"/>
          <w:lang w:val="sq-AL"/>
        </w:rPr>
      </w:pPr>
      <w:r w:rsidRPr="00705B56">
        <w:rPr>
          <w:rFonts w:ascii="Arial" w:hAnsi="Arial" w:cs="Arial"/>
          <w:noProof/>
        </w:rPr>
        <w:lastRenderedPageBreak/>
        <w:drawing>
          <wp:anchor distT="0" distB="0" distL="114300" distR="114300" simplePos="0" relativeHeight="251684864" behindDoc="0" locked="0" layoutInCell="1" allowOverlap="1" wp14:anchorId="3AD847F9" wp14:editId="7F4A0F4F">
            <wp:simplePos x="0" y="0"/>
            <wp:positionH relativeFrom="margin">
              <wp:posOffset>-133350</wp:posOffset>
            </wp:positionH>
            <wp:positionV relativeFrom="paragraph">
              <wp:posOffset>424815</wp:posOffset>
            </wp:positionV>
            <wp:extent cx="3168650" cy="2834640"/>
            <wp:effectExtent l="0" t="0" r="0" b="3810"/>
            <wp:wrapThrough wrapText="bothSides">
              <wp:wrapPolygon edited="0">
                <wp:start x="0" y="0"/>
                <wp:lineTo x="0" y="21484"/>
                <wp:lineTo x="21427" y="21484"/>
                <wp:lineTo x="21427" y="0"/>
                <wp:lineTo x="0" y="0"/>
              </wp:wrapPolygon>
            </wp:wrapThrough>
            <wp:docPr id="756707256" name="Picture 4" descr="A map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28194" name="Picture 4" descr="A map of different colors&#10;&#10;AI-generated content may be incorrect."/>
                    <pic:cNvPicPr/>
                  </pic:nvPicPr>
                  <pic:blipFill rotWithShape="1">
                    <a:blip r:embed="rId30">
                      <a:extLst>
                        <a:ext uri="{28A0092B-C50C-407E-A947-70E740481C1C}">
                          <a14:useLocalDpi xmlns:a14="http://schemas.microsoft.com/office/drawing/2010/main" val="0"/>
                        </a:ext>
                      </a:extLst>
                    </a:blip>
                    <a:srcRect l="10103" t="23160" r="16649" b="30462"/>
                    <a:stretch/>
                  </pic:blipFill>
                  <pic:spPr bwMode="auto">
                    <a:xfrm>
                      <a:off x="0" y="0"/>
                      <a:ext cx="3168650" cy="283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5B56">
        <w:rPr>
          <w:rFonts w:ascii="Arial" w:hAnsi="Arial" w:cs="Arial"/>
          <w:lang w:val="sq-AL"/>
        </w:rPr>
        <w:t>Sistemi hidrologjik i Kosovës është i ndarë në katër pellgje kryesore lumenjsh: Drini i Bardhë (Drini i Bardhë), Ibri (përfshirë Sitnicën), Morava e Binçës dhe Lepenci. Secili prej këtyre pellgjeve përballet me shkallë të ndryshme të rreziqeve nga përmbytjet, veçanërisht për shkak të rritjes së ndryshueshmërisë së reshjeve dhe ngjarjeve ekstreme të reshjeve. Përafërsisht 491 km lumenj në Kosovë janë në rrezik përmbytjesh të shpeshta, duke paraqitur kërcënime të konsiderueshme për vendbanimet njerëzore, infrastrukturën dhe aktivitetet ekonomike.</w:t>
      </w:r>
    </w:p>
    <w:p w14:paraId="0E63F6F9" w14:textId="1BF74B5B" w:rsidR="00EF6CCF" w:rsidRPr="00705B56" w:rsidRDefault="00EF6CCF" w:rsidP="00EF6CCF">
      <w:pPr>
        <w:spacing w:line="240" w:lineRule="auto"/>
        <w:jc w:val="both"/>
        <w:rPr>
          <w:rFonts w:ascii="Arial" w:hAnsi="Arial" w:cs="Arial"/>
          <w:lang w:val="sq-AL"/>
        </w:rPr>
      </w:pPr>
      <w:r w:rsidRPr="00705B56">
        <w:rPr>
          <w:rFonts w:ascii="Arial" w:hAnsi="Arial" w:cs="Arial"/>
          <w:lang w:val="sq-AL"/>
        </w:rPr>
        <w:t xml:space="preserve">Një vlerësim paraprak i rrezikut nga përmbytjet, i kryer me mbështetjen e Kornizës së Investimeve në Ballkanin Perëndimor (WBIF) dhe GIZ, analizoi 834 zona kadastrale që mbulonin 7,056 km². Studimi identifikoi 398 zona me rrezik të konsiderueshëm përmbytjesh, të klasifikuara si: </w:t>
      </w:r>
    </w:p>
    <w:p w14:paraId="2C067950" w14:textId="3EBC3568" w:rsidR="00EF6CCF" w:rsidRPr="00705B56" w:rsidRDefault="00EF6CCF" w:rsidP="00F36447">
      <w:pPr>
        <w:pStyle w:val="ListParagraph"/>
        <w:numPr>
          <w:ilvl w:val="0"/>
          <w:numId w:val="36"/>
        </w:numPr>
        <w:spacing w:before="0" w:line="240" w:lineRule="auto"/>
        <w:jc w:val="both"/>
        <w:rPr>
          <w:rFonts w:ascii="Arial" w:hAnsi="Arial" w:cs="Arial"/>
          <w:lang w:val="sq-AL"/>
        </w:rPr>
      </w:pPr>
      <w:r w:rsidRPr="00705B56">
        <w:rPr>
          <w:rFonts w:ascii="Arial" w:hAnsi="Arial" w:cs="Arial"/>
          <w:lang w:val="sq-AL"/>
        </w:rPr>
        <w:t>108 zona me rrezik ekstrem</w:t>
      </w:r>
    </w:p>
    <w:p w14:paraId="0F68B726" w14:textId="1AFC9970" w:rsidR="00EF6CCF" w:rsidRPr="00705B56" w:rsidRDefault="00EF6CCF" w:rsidP="00F36447">
      <w:pPr>
        <w:pStyle w:val="ListParagraph"/>
        <w:numPr>
          <w:ilvl w:val="0"/>
          <w:numId w:val="36"/>
        </w:numPr>
        <w:spacing w:before="0" w:line="240" w:lineRule="auto"/>
        <w:jc w:val="both"/>
        <w:rPr>
          <w:rFonts w:ascii="Arial" w:hAnsi="Arial" w:cs="Arial"/>
          <w:lang w:val="sq-AL"/>
        </w:rPr>
      </w:pPr>
      <w:r w:rsidRPr="00705B56">
        <w:rPr>
          <w:rFonts w:ascii="Arial" w:hAnsi="Arial" w:cs="Arial"/>
          <w:lang w:val="sq-AL"/>
        </w:rPr>
        <w:t>95 zona me rrezik shumë të lartë</w:t>
      </w:r>
    </w:p>
    <w:p w14:paraId="3F46F26A" w14:textId="2D898C68" w:rsidR="00EF6CCF" w:rsidRPr="00705B56" w:rsidRDefault="00EF6CCF" w:rsidP="00577545">
      <w:pPr>
        <w:pStyle w:val="ListParagraph"/>
        <w:numPr>
          <w:ilvl w:val="0"/>
          <w:numId w:val="36"/>
        </w:numPr>
        <w:spacing w:line="240" w:lineRule="auto"/>
        <w:jc w:val="both"/>
        <w:rPr>
          <w:rFonts w:ascii="Arial" w:hAnsi="Arial" w:cs="Arial"/>
          <w:lang w:val="sq-AL"/>
        </w:rPr>
      </w:pPr>
      <w:r w:rsidRPr="00705B56">
        <w:rPr>
          <w:rFonts w:ascii="Arial" w:hAnsi="Arial" w:cs="Arial"/>
          <w:lang w:val="sq-AL"/>
        </w:rPr>
        <w:t>195 zona me rrezik të lartë</w:t>
      </w:r>
    </w:p>
    <w:p w14:paraId="3B04DDEA" w14:textId="10DC3BBD" w:rsidR="00D632FA" w:rsidRPr="00705B56" w:rsidRDefault="00C85020" w:rsidP="00681279">
      <w:pPr>
        <w:spacing w:line="240" w:lineRule="auto"/>
        <w:jc w:val="both"/>
        <w:rPr>
          <w:rFonts w:ascii="Arial" w:hAnsi="Arial" w:cs="Arial"/>
          <w:lang w:val="sq-AL"/>
        </w:rPr>
      </w:pPr>
      <w:r w:rsidRPr="00705B56">
        <w:rPr>
          <w:rFonts w:ascii="Arial" w:hAnsi="Arial" w:cs="Arial"/>
          <w:noProof/>
        </w:rPr>
        <mc:AlternateContent>
          <mc:Choice Requires="wps">
            <w:drawing>
              <wp:anchor distT="0" distB="0" distL="114300" distR="114300" simplePos="0" relativeHeight="251826176" behindDoc="0" locked="0" layoutInCell="1" allowOverlap="1" wp14:anchorId="77CDD363" wp14:editId="526982CB">
                <wp:simplePos x="0" y="0"/>
                <wp:positionH relativeFrom="margin">
                  <wp:align>left</wp:align>
                </wp:positionH>
                <wp:positionV relativeFrom="paragraph">
                  <wp:posOffset>6350</wp:posOffset>
                </wp:positionV>
                <wp:extent cx="3230880" cy="876300"/>
                <wp:effectExtent l="0" t="0" r="7620" b="0"/>
                <wp:wrapThrough wrapText="bothSides">
                  <wp:wrapPolygon edited="0">
                    <wp:start x="0" y="0"/>
                    <wp:lineTo x="0" y="21130"/>
                    <wp:lineTo x="21524" y="21130"/>
                    <wp:lineTo x="21524" y="0"/>
                    <wp:lineTo x="0" y="0"/>
                  </wp:wrapPolygon>
                </wp:wrapThrough>
                <wp:docPr id="689614132" name="Text Box 1"/>
                <wp:cNvGraphicFramePr/>
                <a:graphic xmlns:a="http://schemas.openxmlformats.org/drawingml/2006/main">
                  <a:graphicData uri="http://schemas.microsoft.com/office/word/2010/wordprocessingShape">
                    <wps:wsp>
                      <wps:cNvSpPr txBox="1"/>
                      <wps:spPr>
                        <a:xfrm>
                          <a:off x="0" y="0"/>
                          <a:ext cx="3230880" cy="876300"/>
                        </a:xfrm>
                        <a:prstGeom prst="rect">
                          <a:avLst/>
                        </a:prstGeom>
                        <a:solidFill>
                          <a:prstClr val="white"/>
                        </a:solidFill>
                        <a:ln>
                          <a:noFill/>
                        </a:ln>
                      </wps:spPr>
                      <wps:txbx>
                        <w:txbxContent>
                          <w:p w14:paraId="18918BA3" w14:textId="6A433674" w:rsidR="00681279" w:rsidRPr="009C4875" w:rsidRDefault="00681279" w:rsidP="00681279">
                            <w:pPr>
                              <w:rPr>
                                <w:rFonts w:ascii="Arial" w:hAnsi="Arial" w:cs="Arial"/>
                                <w:i/>
                                <w:iCs/>
                                <w:color w:val="0E2841" w:themeColor="text2"/>
                                <w:sz w:val="15"/>
                                <w:szCs w:val="15"/>
                                <w:lang w:val="es-ES"/>
                              </w:rPr>
                            </w:pPr>
                            <w:bookmarkStart w:id="40" w:name="_Toc211532610"/>
                            <w:r w:rsidRPr="009C4875">
                              <w:rPr>
                                <w:rFonts w:ascii="Arial" w:hAnsi="Arial" w:cs="Arial"/>
                                <w:i/>
                                <w:iCs/>
                                <w:sz w:val="15"/>
                                <w:szCs w:val="15"/>
                              </w:rPr>
                              <w:t xml:space="preserve">Figura </w:t>
                            </w:r>
                            <w:r w:rsidRPr="009C4875">
                              <w:rPr>
                                <w:rFonts w:ascii="Arial" w:hAnsi="Arial" w:cs="Arial"/>
                                <w:i/>
                                <w:iCs/>
                                <w:sz w:val="15"/>
                                <w:szCs w:val="15"/>
                              </w:rPr>
                              <w:fldChar w:fldCharType="begin"/>
                            </w:r>
                            <w:r w:rsidRPr="009C4875">
                              <w:rPr>
                                <w:rFonts w:ascii="Arial" w:hAnsi="Arial" w:cs="Arial"/>
                                <w:i/>
                                <w:iCs/>
                                <w:sz w:val="15"/>
                                <w:szCs w:val="15"/>
                              </w:rPr>
                              <w:instrText xml:space="preserve"> SEQ Figura \* ARABIC </w:instrText>
                            </w:r>
                            <w:r w:rsidRPr="009C4875">
                              <w:rPr>
                                <w:rFonts w:ascii="Arial" w:hAnsi="Arial" w:cs="Arial"/>
                                <w:i/>
                                <w:iCs/>
                                <w:sz w:val="15"/>
                                <w:szCs w:val="15"/>
                              </w:rPr>
                              <w:fldChar w:fldCharType="separate"/>
                            </w:r>
                            <w:r w:rsidR="0005579F" w:rsidRPr="009C4875">
                              <w:rPr>
                                <w:rFonts w:ascii="Arial" w:hAnsi="Arial" w:cs="Arial"/>
                                <w:i/>
                                <w:iCs/>
                                <w:noProof/>
                                <w:sz w:val="15"/>
                                <w:szCs w:val="15"/>
                              </w:rPr>
                              <w:t>9</w:t>
                            </w:r>
                            <w:r w:rsidRPr="009C4875">
                              <w:rPr>
                                <w:rFonts w:ascii="Arial" w:hAnsi="Arial" w:cs="Arial"/>
                                <w:i/>
                                <w:iCs/>
                                <w:sz w:val="15"/>
                                <w:szCs w:val="15"/>
                              </w:rPr>
                              <w:fldChar w:fldCharType="end"/>
                            </w:r>
                            <w:r w:rsidRPr="009C4875">
                              <w:rPr>
                                <w:rFonts w:ascii="Arial" w:hAnsi="Arial" w:cs="Arial"/>
                                <w:i/>
                                <w:iCs/>
                                <w:sz w:val="15"/>
                                <w:szCs w:val="15"/>
                              </w:rPr>
                              <w:t xml:space="preserve">. Harta e Rrezikut nga Përmbytjet: Jeshile e Errët - pa rrezik, Jeshile e Çelët - rrezik i ulët, E Verdhë - rrezik i moderuar, Portokalli - rrezik i lartë, E Kuqe - rrezik shumë i lartë. </w:t>
                            </w:r>
                            <w:r w:rsidRPr="009C4875">
                              <w:rPr>
                                <w:rFonts w:ascii="Arial" w:hAnsi="Arial" w:cs="Arial"/>
                                <w:i/>
                                <w:iCs/>
                                <w:color w:val="0E2841" w:themeColor="text2"/>
                                <w:sz w:val="15"/>
                                <w:szCs w:val="15"/>
                                <w:lang w:val="es-ES"/>
                              </w:rPr>
                              <w:t>Burimi: Nimani, A., Muzaqi, D., &amp; Idrizi, B. (2024). Identifikimi dhe hartëzimi i zonave potencialisht të prirura ndaj përmbytjeve duke përdorur vendimmarrje shumëkriterëshe të bazuar në GIS dhe procesin e hierarkisë analitike për territorin e Kosovës.</w:t>
                            </w:r>
                            <w:bookmarkEnd w:id="40"/>
                          </w:p>
                          <w:p w14:paraId="07E9E9D3" w14:textId="22A6B01A" w:rsidR="00681279" w:rsidRPr="008E1678" w:rsidRDefault="00681279" w:rsidP="004C6E93">
                            <w:pPr>
                              <w:pStyle w:val="Caption"/>
                              <w:rPr>
                                <w:noProof/>
                                <w:lang w:val="sq-AL" w:eastAsia="sq-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CDD363" id="_x0000_s1037" type="#_x0000_t202" style="position:absolute;left:0;text-align:left;margin-left:0;margin-top:.5pt;width:254.4pt;height:69pt;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" stroked="f">
                <v:textbox inset="0,0,0,0">
                  <w:txbxContent>
                    <w:p w14:paraId="18918BA3" w14:textId="6A433674" w:rsidR="00681279" w:rsidRPr="009C4875" w:rsidRDefault="00681279" w:rsidP="00681279">
                      <w:pPr>
                        <w:rPr>
                          <w:rFonts w:ascii="Arial" w:hAnsi="Arial" w:cs="Arial"/>
                          <w:i/>
                          <w:iCs/>
                          <w:color w:val="0E2841" w:themeColor="text2"/>
                          <w:sz w:val="15"/>
                          <w:szCs w:val="15"/>
                          <w:lang w:val="es-ES"/>
                        </w:rPr>
                      </w:pPr>
                      <w:bookmarkStart w:id="47" w:name="_Toc211532610"/>
                      <w:r w:rsidRPr="009C4875">
                        <w:rPr>
                          <w:rFonts w:ascii="Arial" w:hAnsi="Arial" w:cs="Arial"/>
                          <w:i/>
                          <w:iCs/>
                          <w:sz w:val="15"/>
                          <w:szCs w:val="15"/>
                        </w:rPr>
                        <w:t xml:space="preserve">Figura </w:t>
                      </w:r>
                      <w:r w:rsidRPr="009C4875">
                        <w:rPr>
                          <w:rFonts w:ascii="Arial" w:hAnsi="Arial" w:cs="Arial"/>
                          <w:i/>
                          <w:iCs/>
                          <w:sz w:val="15"/>
                          <w:szCs w:val="15"/>
                        </w:rPr>
                        <w:fldChar w:fldCharType="begin"/>
                      </w:r>
                      <w:r w:rsidRPr="009C4875">
                        <w:rPr>
                          <w:rFonts w:ascii="Arial" w:hAnsi="Arial" w:cs="Arial"/>
                          <w:i/>
                          <w:iCs/>
                          <w:sz w:val="15"/>
                          <w:szCs w:val="15"/>
                        </w:rPr>
                        <w:instrText xml:space="preserve"> SEQ Figura \* ARABIC </w:instrText>
                      </w:r>
                      <w:r w:rsidRPr="009C4875">
                        <w:rPr>
                          <w:rFonts w:ascii="Arial" w:hAnsi="Arial" w:cs="Arial"/>
                          <w:i/>
                          <w:iCs/>
                          <w:sz w:val="15"/>
                          <w:szCs w:val="15"/>
                        </w:rPr>
                        <w:fldChar w:fldCharType="separate"/>
                      </w:r>
                      <w:r w:rsidR="0005579F" w:rsidRPr="009C4875">
                        <w:rPr>
                          <w:rFonts w:ascii="Arial" w:hAnsi="Arial" w:cs="Arial"/>
                          <w:i/>
                          <w:iCs/>
                          <w:noProof/>
                          <w:sz w:val="15"/>
                          <w:szCs w:val="15"/>
                        </w:rPr>
                        <w:t>9</w:t>
                      </w:r>
                      <w:r w:rsidRPr="009C4875">
                        <w:rPr>
                          <w:rFonts w:ascii="Arial" w:hAnsi="Arial" w:cs="Arial"/>
                          <w:i/>
                          <w:iCs/>
                          <w:sz w:val="15"/>
                          <w:szCs w:val="15"/>
                        </w:rPr>
                        <w:fldChar w:fldCharType="end"/>
                      </w:r>
                      <w:r w:rsidRPr="009C4875">
                        <w:rPr>
                          <w:rFonts w:ascii="Arial" w:hAnsi="Arial" w:cs="Arial"/>
                          <w:i/>
                          <w:iCs/>
                          <w:sz w:val="15"/>
                          <w:szCs w:val="15"/>
                        </w:rPr>
                        <w:t xml:space="preserve">. Harta e Rrezikut nga Përmbytjet: Jeshile e Errët - pa rrezik, Jeshile e Çelët - rrezik i ulët, E Verdhë - rrezik i moderuar, Portokalli - rrezik i lartë, E Kuqe - rrezik shumë i lartë. </w:t>
                      </w:r>
                      <w:r w:rsidRPr="009C4875">
                        <w:rPr>
                          <w:rFonts w:ascii="Arial" w:hAnsi="Arial" w:cs="Arial"/>
                          <w:i/>
                          <w:iCs/>
                          <w:color w:val="0E2841" w:themeColor="text2"/>
                          <w:sz w:val="15"/>
                          <w:szCs w:val="15"/>
                          <w:lang w:val="es-ES"/>
                        </w:rPr>
                        <w:t>Burimi: Nimani, A., Muzaqi, D., &amp; Idrizi, B. (2024). Identifikimi dhe hartëzimi i zonave potencialisht të prirura ndaj përmbytjeve duke përdorur vendimmarrje shumëkriterëshe të bazuar në GIS dhe procesin e hierarkisë analitike për territorin e Kosovës.</w:t>
                      </w:r>
                      <w:bookmarkEnd w:id="47"/>
                    </w:p>
                    <w:p w14:paraId="07E9E9D3" w14:textId="22A6B01A" w:rsidR="00681279" w:rsidRPr="008E1678" w:rsidRDefault="00681279" w:rsidP="004C6E93">
                      <w:pPr>
                        <w:pStyle w:val="Caption"/>
                        <w:rPr>
                          <w:noProof/>
                          <w:lang w:val="sq-AL" w:eastAsia="sq-AL"/>
                        </w:rPr>
                      </w:pPr>
                    </w:p>
                  </w:txbxContent>
                </v:textbox>
                <w10:wrap type="through" anchorx="margin"/>
              </v:shape>
            </w:pict>
          </mc:Fallback>
        </mc:AlternateContent>
      </w:r>
      <w:r w:rsidR="00EF6CCF" w:rsidRPr="00705B56">
        <w:rPr>
          <w:rFonts w:ascii="Arial" w:hAnsi="Arial" w:cs="Arial"/>
          <w:lang w:val="sq-AL"/>
        </w:rPr>
        <w:t>Këto zona të prirura ndaj përmbytjeve kërcënojnë 341,244 banorë, 57,784 familje, 32 vende kulturore dhe historike dhe 57 zona të mbrojtura. Përveç kësaj, 538 zona me rëndësi ekonomike janë identifikuar si të ndjeshme ndaj përmbytjeve</w:t>
      </w:r>
      <w:r w:rsidR="00757277" w:rsidRPr="00705B56">
        <w:rPr>
          <w:rFonts w:ascii="Arial" w:hAnsi="Arial" w:cs="Arial"/>
          <w:lang w:val="sq-AL"/>
        </w:rPr>
        <w:t>.</w:t>
      </w:r>
      <w:r w:rsidR="001D4FA1" w:rsidRPr="00705B56">
        <w:rPr>
          <w:rStyle w:val="FootnoteReference"/>
          <w:rFonts w:ascii="Arial" w:hAnsi="Arial" w:cs="Arial"/>
          <w:lang w:val="sq-AL"/>
        </w:rPr>
        <w:footnoteReference w:id="22"/>
      </w:r>
    </w:p>
    <w:p w14:paraId="01B684A2" w14:textId="6D4323F9" w:rsidR="00D632FA" w:rsidRPr="00705B56" w:rsidRDefault="00332471" w:rsidP="004C6E93">
      <w:pPr>
        <w:spacing w:line="240" w:lineRule="auto"/>
        <w:jc w:val="both"/>
        <w:rPr>
          <w:rFonts w:ascii="Arial" w:hAnsi="Arial" w:cs="Arial"/>
          <w:i/>
          <w:iCs/>
          <w:lang w:val="sq-AL"/>
        </w:rPr>
      </w:pPr>
      <w:r w:rsidRPr="00705B56">
        <w:rPr>
          <w:rFonts w:ascii="Arial" w:hAnsi="Arial" w:cs="Arial"/>
        </w:rPr>
        <w:t>Në kuadër të vlerësimit të rrezikut nga përmbytjet, të kryer me mbështetjen e Kornizës së Investimeve për Ballkanin Perëndimor (WBIF) dhe GIZ, janë përgatitur harta të rrezikut për tri skenarë probabilistikë: 20-vjeçar (probabilitet i lartë), 100-vjeçar (probabilitet mesatar) dhe 1000-vjeçar (probabilitet i ulët). Këto harta paraqesin përmasat e ndikimit të përmbytjeve në popullatë dhe ekonomi në shkallë kombëtare, duke identifikuar zonat prioritare për ndërhyrje dhe masa mbrojtëse.</w:t>
      </w:r>
    </w:p>
    <w:p w14:paraId="6A2EB47F" w14:textId="77777777" w:rsidR="00BA1DD1" w:rsidRPr="00705B56" w:rsidRDefault="00332471" w:rsidP="00BA1DD1">
      <w:pPr>
        <w:keepNext/>
        <w:jc w:val="both"/>
        <w:rPr>
          <w:rFonts w:ascii="Arial" w:hAnsi="Arial" w:cs="Arial"/>
        </w:rPr>
      </w:pPr>
      <w:r w:rsidRPr="00705B56">
        <w:rPr>
          <w:rFonts w:ascii="Arial" w:hAnsi="Arial" w:cs="Arial"/>
          <w:noProof/>
        </w:rPr>
        <w:drawing>
          <wp:inline distT="0" distB="0" distL="0" distR="0" wp14:anchorId="1D1617F1" wp14:editId="5906078D">
            <wp:extent cx="4358440" cy="3086100"/>
            <wp:effectExtent l="0" t="0" r="4445" b="0"/>
            <wp:docPr id="1058536552" name="Picture 36"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36552" name="Picture 36" descr="A map of a country&#10;&#10;AI-generated content may be incorrect."/>
                    <pic:cNvPicPr/>
                  </pic:nvPicPr>
                  <pic:blipFill rotWithShape="1">
                    <a:blip r:embed="rId31" cstate="print">
                      <a:extLst>
                        <a:ext uri="{28A0092B-C50C-407E-A947-70E740481C1C}">
                          <a14:useLocalDpi xmlns:a14="http://schemas.microsoft.com/office/drawing/2010/main" val="0"/>
                        </a:ext>
                      </a:extLst>
                    </a:blip>
                    <a:srcRect l="6467" t="3657" r="2646" b="5334"/>
                    <a:stretch>
                      <a:fillRect/>
                    </a:stretch>
                  </pic:blipFill>
                  <pic:spPr bwMode="auto">
                    <a:xfrm>
                      <a:off x="0" y="0"/>
                      <a:ext cx="4371209" cy="3095141"/>
                    </a:xfrm>
                    <a:prstGeom prst="rect">
                      <a:avLst/>
                    </a:prstGeom>
                    <a:ln>
                      <a:noFill/>
                    </a:ln>
                    <a:extLst>
                      <a:ext uri="{53640926-AAD7-44D8-BBD7-CCE9431645EC}">
                        <a14:shadowObscured xmlns:a14="http://schemas.microsoft.com/office/drawing/2010/main"/>
                      </a:ext>
                    </a:extLst>
                  </pic:spPr>
                </pic:pic>
              </a:graphicData>
            </a:graphic>
          </wp:inline>
        </w:drawing>
      </w:r>
    </w:p>
    <w:p w14:paraId="7C26C2C5" w14:textId="77777777" w:rsidR="004C6E93" w:rsidRPr="00705B56" w:rsidRDefault="00BA1DD1" w:rsidP="00332471">
      <w:pPr>
        <w:jc w:val="both"/>
        <w:rPr>
          <w:rFonts w:ascii="Arial" w:hAnsi="Arial" w:cs="Arial"/>
          <w:i/>
          <w:iCs/>
          <w:sz w:val="18"/>
          <w:szCs w:val="18"/>
        </w:rPr>
      </w:pPr>
      <w:bookmarkStart w:id="41" w:name="_Toc211532611"/>
      <w:r w:rsidRPr="00705B56">
        <w:rPr>
          <w:rFonts w:ascii="Arial" w:hAnsi="Arial" w:cs="Arial"/>
          <w:i/>
          <w:iCs/>
          <w:sz w:val="18"/>
          <w:szCs w:val="18"/>
        </w:rPr>
        <w:t xml:space="preserve">Figura </w:t>
      </w:r>
      <w:r w:rsidR="0005579F" w:rsidRPr="00705B56">
        <w:rPr>
          <w:rFonts w:ascii="Arial" w:hAnsi="Arial" w:cs="Arial"/>
          <w:i/>
          <w:iCs/>
          <w:color w:val="0E2841" w:themeColor="text2"/>
          <w:sz w:val="18"/>
          <w:szCs w:val="18"/>
          <w:lang w:val="es-ES"/>
        </w:rPr>
        <w:fldChar w:fldCharType="begin"/>
      </w:r>
      <w:r w:rsidR="0005579F" w:rsidRPr="00705B56">
        <w:rPr>
          <w:rFonts w:ascii="Arial" w:hAnsi="Arial" w:cs="Arial"/>
          <w:i/>
          <w:iCs/>
          <w:color w:val="0E2841" w:themeColor="text2"/>
          <w:sz w:val="18"/>
          <w:szCs w:val="18"/>
          <w:lang w:val="es-ES"/>
        </w:rPr>
        <w:instrText xml:space="preserve"> SEQ Figura \* ARABIC </w:instrText>
      </w:r>
      <w:r w:rsidR="0005579F" w:rsidRPr="00705B56">
        <w:rPr>
          <w:rFonts w:ascii="Arial" w:hAnsi="Arial" w:cs="Arial"/>
          <w:i/>
          <w:iCs/>
          <w:color w:val="0E2841" w:themeColor="text2"/>
          <w:sz w:val="18"/>
          <w:szCs w:val="18"/>
          <w:lang w:val="es-ES"/>
        </w:rPr>
        <w:fldChar w:fldCharType="separate"/>
      </w:r>
      <w:r w:rsidR="0005579F" w:rsidRPr="00705B56">
        <w:rPr>
          <w:rFonts w:ascii="Arial" w:hAnsi="Arial" w:cs="Arial"/>
          <w:i/>
          <w:iCs/>
          <w:noProof/>
          <w:sz w:val="18"/>
          <w:szCs w:val="18"/>
        </w:rPr>
        <w:t>10</w:t>
      </w:r>
      <w:r w:rsidR="0005579F" w:rsidRPr="00705B56">
        <w:rPr>
          <w:rFonts w:ascii="Arial" w:hAnsi="Arial" w:cs="Arial"/>
          <w:i/>
          <w:iCs/>
          <w:noProof/>
          <w:sz w:val="18"/>
          <w:szCs w:val="18"/>
        </w:rPr>
        <w:fldChar w:fldCharType="end"/>
      </w:r>
      <w:r w:rsidRPr="00705B56">
        <w:rPr>
          <w:rFonts w:ascii="Arial" w:hAnsi="Arial" w:cs="Arial"/>
          <w:i/>
          <w:iCs/>
          <w:sz w:val="18"/>
          <w:szCs w:val="18"/>
        </w:rPr>
        <w:t>. Harta e popullsisë së prekur në skenarin e përmbytjeve me probabilitet të lartë. Burimi: MMPHI, WBIF, IPF11</w:t>
      </w:r>
    </w:p>
    <w:p w14:paraId="44EA5256" w14:textId="760AF547" w:rsidR="00332471" w:rsidRPr="00705B56" w:rsidRDefault="00332471" w:rsidP="00332471">
      <w:pPr>
        <w:jc w:val="both"/>
        <w:rPr>
          <w:rFonts w:ascii="Arial" w:hAnsi="Arial" w:cs="Arial"/>
          <w:lang w:val="sq-AL"/>
        </w:rPr>
      </w:pPr>
      <w:r w:rsidRPr="00705B56">
        <w:rPr>
          <w:rFonts w:ascii="Arial" w:hAnsi="Arial" w:cs="Arial"/>
          <w:lang w:val="sq-AL"/>
        </w:rPr>
        <w:lastRenderedPageBreak/>
        <w:t>Ky skenar paraqet përmbytjet që kanë një probabilitet të lartë ndodhjeje (një herë në 20 vjet). Ato janë zakonisht përmbytje sezonale që ndodhin pas reshjeve intensive dhe mbingarkesës së lumenjve kryesorë. Harta tregon se zonat më të prekura janë përqendruar kryesisht në verilindje dhe qendër të Kosovës, përgjatë luginave të lumenjve Sitnica dhe Ibër. Komunat Mitrovicë, Vushtrri, Podujevë dhe pjesërisht Skënderaj paraqiten si më të ekspozuara ndaj përmbytjeve të shpeshta. Gjithashtu, rrezik i dukshëm evidentohen në pellgun e Lepencit (Ferizaj dhe Lipjan), ku urbanizimi dhe aktivitetet industriale janë zhvilluar në afërsi të shtretërve lumorë.</w:t>
      </w:r>
      <w:bookmarkEnd w:id="41"/>
    </w:p>
    <w:p w14:paraId="1ADEE42D" w14:textId="77777777" w:rsidR="00BA1DD1" w:rsidRPr="00705B56" w:rsidRDefault="00332471" w:rsidP="00BA1DD1">
      <w:pPr>
        <w:keepNext/>
        <w:jc w:val="both"/>
        <w:rPr>
          <w:rFonts w:ascii="Arial" w:hAnsi="Arial" w:cs="Arial"/>
        </w:rPr>
      </w:pPr>
      <w:r w:rsidRPr="00705B56">
        <w:rPr>
          <w:rFonts w:ascii="Arial" w:hAnsi="Arial" w:cs="Arial"/>
          <w:noProof/>
        </w:rPr>
        <w:drawing>
          <wp:inline distT="0" distB="0" distL="0" distR="0" wp14:anchorId="46AA07A9" wp14:editId="1E986FCF">
            <wp:extent cx="4361688" cy="3155143"/>
            <wp:effectExtent l="0" t="0" r="1270" b="7620"/>
            <wp:docPr id="280047703" name="Picture 37"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47703" name="Picture 37" descr="A map of a country&#10;&#10;AI-generated content may be incorrect."/>
                    <pic:cNvPicPr/>
                  </pic:nvPicPr>
                  <pic:blipFill rotWithShape="1">
                    <a:blip r:embed="rId32" cstate="print">
                      <a:extLst>
                        <a:ext uri="{28A0092B-C50C-407E-A947-70E740481C1C}">
                          <a14:useLocalDpi xmlns:a14="http://schemas.microsoft.com/office/drawing/2010/main" val="0"/>
                        </a:ext>
                      </a:extLst>
                    </a:blip>
                    <a:srcRect l="7055" t="3492" r="2410" b="3894"/>
                    <a:stretch>
                      <a:fillRect/>
                    </a:stretch>
                  </pic:blipFill>
                  <pic:spPr bwMode="auto">
                    <a:xfrm>
                      <a:off x="0" y="0"/>
                      <a:ext cx="4361688" cy="3155143"/>
                    </a:xfrm>
                    <a:prstGeom prst="rect">
                      <a:avLst/>
                    </a:prstGeom>
                    <a:ln>
                      <a:noFill/>
                    </a:ln>
                    <a:extLst>
                      <a:ext uri="{53640926-AAD7-44D8-BBD7-CCE9431645EC}">
                        <a14:shadowObscured xmlns:a14="http://schemas.microsoft.com/office/drawing/2010/main"/>
                      </a:ext>
                    </a:extLst>
                  </pic:spPr>
                </pic:pic>
              </a:graphicData>
            </a:graphic>
          </wp:inline>
        </w:drawing>
      </w:r>
    </w:p>
    <w:p w14:paraId="001AAAAB" w14:textId="58434DDA" w:rsidR="00332471" w:rsidRPr="00705B56" w:rsidRDefault="00BA1DD1" w:rsidP="00BA1DD1">
      <w:pPr>
        <w:pStyle w:val="Caption"/>
        <w:jc w:val="both"/>
        <w:rPr>
          <w:rFonts w:ascii="Arial" w:hAnsi="Arial" w:cs="Arial"/>
          <w:sz w:val="22"/>
          <w:szCs w:val="22"/>
          <w:lang w:val="sq-AL"/>
        </w:rPr>
      </w:pPr>
      <w:bookmarkStart w:id="42" w:name="_Toc211532612"/>
      <w:r w:rsidRPr="00705B56">
        <w:rPr>
          <w:rFonts w:ascii="Arial" w:hAnsi="Arial" w:cs="Arial"/>
        </w:rPr>
        <w:t xml:space="preserve">Figura </w:t>
      </w:r>
      <w:r w:rsidR="0005579F" w:rsidRPr="00705B56">
        <w:rPr>
          <w:rFonts w:ascii="Arial" w:hAnsi="Arial" w:cs="Arial"/>
        </w:rPr>
        <w:fldChar w:fldCharType="begin"/>
      </w:r>
      <w:r w:rsidR="0005579F" w:rsidRPr="00705B56">
        <w:rPr>
          <w:rFonts w:ascii="Arial" w:hAnsi="Arial" w:cs="Arial"/>
        </w:rPr>
        <w:instrText xml:space="preserve"> SEQ Figura \* ARABIC </w:instrText>
      </w:r>
      <w:r w:rsidR="0005579F" w:rsidRPr="00705B56">
        <w:rPr>
          <w:rFonts w:ascii="Arial" w:hAnsi="Arial" w:cs="Arial"/>
        </w:rPr>
        <w:fldChar w:fldCharType="separate"/>
      </w:r>
      <w:r w:rsidR="0005579F" w:rsidRPr="00705B56">
        <w:rPr>
          <w:rFonts w:ascii="Arial" w:hAnsi="Arial" w:cs="Arial"/>
          <w:noProof/>
        </w:rPr>
        <w:t>11</w:t>
      </w:r>
      <w:r w:rsidR="0005579F" w:rsidRPr="00705B56">
        <w:rPr>
          <w:rFonts w:ascii="Arial" w:hAnsi="Arial" w:cs="Arial"/>
          <w:noProof/>
        </w:rPr>
        <w:fldChar w:fldCharType="end"/>
      </w:r>
      <w:r w:rsidRPr="00705B56">
        <w:rPr>
          <w:rFonts w:ascii="Arial" w:hAnsi="Arial" w:cs="Arial"/>
        </w:rPr>
        <w:t>. Harta e popullsisë së prekur në skenarin e përmbytjeve me probabilitet të mesëm. Burimi: MMPHI, WBIF, IPF11</w:t>
      </w:r>
      <w:bookmarkEnd w:id="42"/>
    </w:p>
    <w:p w14:paraId="2C1E809F" w14:textId="4E95B5F6" w:rsidR="00332471" w:rsidRPr="00705B56" w:rsidRDefault="00332471" w:rsidP="00332471">
      <w:pPr>
        <w:jc w:val="both"/>
        <w:rPr>
          <w:rFonts w:ascii="Arial" w:hAnsi="Arial" w:cs="Arial"/>
          <w:lang w:val="sq-AL"/>
        </w:rPr>
      </w:pPr>
      <w:r w:rsidRPr="00705B56">
        <w:rPr>
          <w:rFonts w:ascii="Arial" w:hAnsi="Arial" w:cs="Arial"/>
          <w:lang w:val="sq-AL"/>
        </w:rPr>
        <w:t>Ky skenar paraqet përmbytje që ndodhin mesatarisht një herë në 100 vjet, të karakterizuara nga shtrirje më e gjerë dhe thellësi më e madhe të ujit. Krahasuar me skenarin e 20-vjeçarit, përfshirja e zonave të rrezikuara rritet ndjeshëm, duke shtrirë ndikimin në pjesën qendrore, jugore dhe lindore të vendit.Regjionet më të ekspozuara përfshijnë:</w:t>
      </w:r>
    </w:p>
    <w:p w14:paraId="106F2BF1" w14:textId="40235078" w:rsidR="00332471" w:rsidRPr="00705B56" w:rsidRDefault="00332471" w:rsidP="004C6E93">
      <w:pPr>
        <w:pStyle w:val="ListParagraph"/>
        <w:numPr>
          <w:ilvl w:val="0"/>
          <w:numId w:val="51"/>
        </w:numPr>
        <w:jc w:val="both"/>
        <w:rPr>
          <w:rFonts w:ascii="Arial" w:hAnsi="Arial" w:cs="Arial"/>
          <w:lang w:val="sq-AL"/>
        </w:rPr>
      </w:pPr>
      <w:r w:rsidRPr="00705B56">
        <w:rPr>
          <w:rFonts w:ascii="Arial" w:hAnsi="Arial" w:cs="Arial"/>
          <w:lang w:val="sq-AL"/>
        </w:rPr>
        <w:t xml:space="preserve">Mitrovicë, Vushtrri, </w:t>
      </w:r>
      <w:r w:rsidR="00831486" w:rsidRPr="00705B56">
        <w:rPr>
          <w:rFonts w:ascii="Arial" w:hAnsi="Arial" w:cs="Arial"/>
          <w:lang w:val="sq-AL"/>
        </w:rPr>
        <w:t xml:space="preserve">dhe </w:t>
      </w:r>
      <w:r w:rsidRPr="00705B56">
        <w:rPr>
          <w:rFonts w:ascii="Arial" w:hAnsi="Arial" w:cs="Arial"/>
          <w:lang w:val="sq-AL"/>
        </w:rPr>
        <w:t>Podujevë: zona me densitet të lartë banimi përgjatë Sitnicës dhe Ibrit.</w:t>
      </w:r>
    </w:p>
    <w:p w14:paraId="0EE4D86C" w14:textId="0C20B538" w:rsidR="00332471" w:rsidRPr="00705B56" w:rsidRDefault="00332471" w:rsidP="004C6E93">
      <w:pPr>
        <w:pStyle w:val="ListParagraph"/>
        <w:numPr>
          <w:ilvl w:val="0"/>
          <w:numId w:val="51"/>
        </w:numPr>
        <w:jc w:val="both"/>
        <w:rPr>
          <w:rFonts w:ascii="Arial" w:hAnsi="Arial" w:cs="Arial"/>
          <w:lang w:val="sq-AL"/>
        </w:rPr>
      </w:pPr>
      <w:r w:rsidRPr="00705B56">
        <w:rPr>
          <w:rFonts w:ascii="Arial" w:hAnsi="Arial" w:cs="Arial"/>
          <w:lang w:val="sq-AL"/>
        </w:rPr>
        <w:t>Ferizaj, Lipjan, Shtime, dhe</w:t>
      </w:r>
      <w:r w:rsidR="00831486" w:rsidRPr="00705B56">
        <w:rPr>
          <w:rFonts w:ascii="Arial" w:hAnsi="Arial" w:cs="Arial"/>
          <w:lang w:val="sq-AL"/>
        </w:rPr>
        <w:t xml:space="preserve"> </w:t>
      </w:r>
      <w:r w:rsidRPr="00705B56">
        <w:rPr>
          <w:rFonts w:ascii="Arial" w:hAnsi="Arial" w:cs="Arial"/>
          <w:lang w:val="sq-AL"/>
        </w:rPr>
        <w:t>Kaçanik: përgjatë rrjedhës së Lepencit, me ndikim në zonat bujqësore dhe industriale.</w:t>
      </w:r>
    </w:p>
    <w:p w14:paraId="0B1E4C61" w14:textId="2D0B88DB" w:rsidR="00332471" w:rsidRPr="00705B56" w:rsidRDefault="00332471" w:rsidP="004C6E93">
      <w:pPr>
        <w:pStyle w:val="ListParagraph"/>
        <w:numPr>
          <w:ilvl w:val="0"/>
          <w:numId w:val="51"/>
        </w:numPr>
        <w:jc w:val="both"/>
        <w:rPr>
          <w:rFonts w:ascii="Arial" w:hAnsi="Arial" w:cs="Arial"/>
          <w:lang w:val="sq-AL"/>
        </w:rPr>
      </w:pPr>
      <w:r w:rsidRPr="00705B56">
        <w:rPr>
          <w:rFonts w:ascii="Arial" w:hAnsi="Arial" w:cs="Arial"/>
          <w:lang w:val="sq-AL"/>
        </w:rPr>
        <w:t>Gjilan</w:t>
      </w:r>
      <w:r w:rsidR="00831486" w:rsidRPr="00705B56">
        <w:rPr>
          <w:rFonts w:ascii="Arial" w:hAnsi="Arial" w:cs="Arial"/>
          <w:lang w:val="sq-AL"/>
        </w:rPr>
        <w:t xml:space="preserve">, </w:t>
      </w:r>
      <w:r w:rsidRPr="00705B56">
        <w:rPr>
          <w:rFonts w:ascii="Arial" w:hAnsi="Arial" w:cs="Arial"/>
          <w:lang w:val="sq-AL"/>
        </w:rPr>
        <w:t>Kamenicë</w:t>
      </w:r>
      <w:r w:rsidR="00831486" w:rsidRPr="00705B56">
        <w:rPr>
          <w:rFonts w:ascii="Arial" w:hAnsi="Arial" w:cs="Arial"/>
          <w:lang w:val="sq-AL"/>
        </w:rPr>
        <w:t xml:space="preserve">, dhe </w:t>
      </w:r>
      <w:r w:rsidRPr="00705B56">
        <w:rPr>
          <w:rFonts w:ascii="Arial" w:hAnsi="Arial" w:cs="Arial"/>
          <w:lang w:val="sq-AL"/>
        </w:rPr>
        <w:t>Vitia: të ndikuara nga Morava e Binçës, ku terreni i ulët lehtëson përhapjen e ujit.</w:t>
      </w:r>
    </w:p>
    <w:p w14:paraId="40815D51" w14:textId="6DE2A187" w:rsidR="00332471" w:rsidRPr="00705B56" w:rsidRDefault="00332471" w:rsidP="00332471">
      <w:pPr>
        <w:pStyle w:val="ListParagraph"/>
        <w:numPr>
          <w:ilvl w:val="0"/>
          <w:numId w:val="51"/>
        </w:numPr>
        <w:jc w:val="both"/>
        <w:rPr>
          <w:rFonts w:ascii="Arial" w:hAnsi="Arial" w:cs="Arial"/>
          <w:lang w:val="sq-AL"/>
        </w:rPr>
      </w:pPr>
      <w:r w:rsidRPr="00705B56">
        <w:rPr>
          <w:rFonts w:ascii="Arial" w:hAnsi="Arial" w:cs="Arial"/>
          <w:lang w:val="sq-AL"/>
        </w:rPr>
        <w:t>Pejë</w:t>
      </w:r>
      <w:r w:rsidR="00831486" w:rsidRPr="00705B56">
        <w:rPr>
          <w:rFonts w:ascii="Arial" w:hAnsi="Arial" w:cs="Arial"/>
          <w:lang w:val="sq-AL"/>
        </w:rPr>
        <w:t xml:space="preserve">, </w:t>
      </w:r>
      <w:r w:rsidRPr="00705B56">
        <w:rPr>
          <w:rFonts w:ascii="Arial" w:hAnsi="Arial" w:cs="Arial"/>
          <w:lang w:val="sq-AL"/>
        </w:rPr>
        <w:t>Gjakovë</w:t>
      </w:r>
      <w:r w:rsidR="00831486" w:rsidRPr="00705B56">
        <w:rPr>
          <w:rFonts w:ascii="Arial" w:hAnsi="Arial" w:cs="Arial"/>
          <w:lang w:val="sq-AL"/>
        </w:rPr>
        <w:t xml:space="preserve">, dhe </w:t>
      </w:r>
      <w:r w:rsidRPr="00705B56">
        <w:rPr>
          <w:rFonts w:ascii="Arial" w:hAnsi="Arial" w:cs="Arial"/>
          <w:lang w:val="sq-AL"/>
        </w:rPr>
        <w:t>Prizren: përgjatë Drinit të Bardhë, ku përmbytjet përfshijnë toka pjellore dhe infrastrukturë të rëndësishme ekonomike.</w:t>
      </w:r>
    </w:p>
    <w:p w14:paraId="4CE0C1C9" w14:textId="77777777" w:rsidR="00BA1DD1" w:rsidRPr="00705B56" w:rsidRDefault="00831486" w:rsidP="00BA1DD1">
      <w:pPr>
        <w:keepNext/>
        <w:jc w:val="both"/>
        <w:rPr>
          <w:rFonts w:ascii="Arial" w:hAnsi="Arial" w:cs="Arial"/>
        </w:rPr>
      </w:pPr>
      <w:r w:rsidRPr="00705B56">
        <w:rPr>
          <w:rFonts w:ascii="Arial" w:hAnsi="Arial" w:cs="Arial"/>
          <w:noProof/>
        </w:rPr>
        <w:lastRenderedPageBreak/>
        <w:drawing>
          <wp:inline distT="0" distB="0" distL="0" distR="0" wp14:anchorId="07586DD6" wp14:editId="32FC92CC">
            <wp:extent cx="4374565" cy="3154680"/>
            <wp:effectExtent l="0" t="0" r="6985" b="7620"/>
            <wp:docPr id="2812587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823" t="3494" r="2471" b="3993"/>
                    <a:stretch>
                      <a:fillRect/>
                    </a:stretch>
                  </pic:blipFill>
                  <pic:spPr bwMode="auto">
                    <a:xfrm>
                      <a:off x="0" y="0"/>
                      <a:ext cx="437456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09184699" w14:textId="4B30C9FF" w:rsidR="00831486" w:rsidRPr="00705B56" w:rsidRDefault="00BA1DD1" w:rsidP="00BA1DD1">
      <w:pPr>
        <w:pStyle w:val="Caption"/>
        <w:jc w:val="both"/>
        <w:rPr>
          <w:rFonts w:ascii="Arial" w:hAnsi="Arial" w:cs="Arial"/>
          <w:sz w:val="22"/>
          <w:szCs w:val="22"/>
          <w:lang w:val="sq-AL"/>
        </w:rPr>
      </w:pPr>
      <w:bookmarkStart w:id="43" w:name="_Toc211532613"/>
      <w:r w:rsidRPr="00705B56">
        <w:rPr>
          <w:rFonts w:ascii="Arial" w:hAnsi="Arial" w:cs="Arial"/>
        </w:rPr>
        <w:t xml:space="preserve">Figura </w:t>
      </w:r>
      <w:r w:rsidR="0005579F" w:rsidRPr="00705B56">
        <w:rPr>
          <w:rFonts w:ascii="Arial" w:hAnsi="Arial" w:cs="Arial"/>
        </w:rPr>
        <w:fldChar w:fldCharType="begin"/>
      </w:r>
      <w:r w:rsidR="0005579F" w:rsidRPr="00705B56">
        <w:rPr>
          <w:rFonts w:ascii="Arial" w:hAnsi="Arial" w:cs="Arial"/>
        </w:rPr>
        <w:instrText xml:space="preserve"> SEQ Figura \* ARABIC </w:instrText>
      </w:r>
      <w:r w:rsidR="0005579F" w:rsidRPr="00705B56">
        <w:rPr>
          <w:rFonts w:ascii="Arial" w:hAnsi="Arial" w:cs="Arial"/>
        </w:rPr>
        <w:fldChar w:fldCharType="separate"/>
      </w:r>
      <w:r w:rsidR="0005579F" w:rsidRPr="00705B56">
        <w:rPr>
          <w:rFonts w:ascii="Arial" w:hAnsi="Arial" w:cs="Arial"/>
          <w:noProof/>
        </w:rPr>
        <w:t>12</w:t>
      </w:r>
      <w:r w:rsidR="0005579F" w:rsidRPr="00705B56">
        <w:rPr>
          <w:rFonts w:ascii="Arial" w:hAnsi="Arial" w:cs="Arial"/>
          <w:noProof/>
        </w:rPr>
        <w:fldChar w:fldCharType="end"/>
      </w:r>
      <w:r w:rsidRPr="00705B56">
        <w:rPr>
          <w:rFonts w:ascii="Arial" w:hAnsi="Arial" w:cs="Arial"/>
        </w:rPr>
        <w:t>. Harta e popullsisë së prekur në skenarin e përmbytjeve me probabilitet të ulët. Burimi: MMPHI, WBIF, IPF11</w:t>
      </w:r>
      <w:bookmarkEnd w:id="43"/>
    </w:p>
    <w:p w14:paraId="6DE6DECC" w14:textId="3A43F777" w:rsidR="00831486" w:rsidRPr="00705B56" w:rsidRDefault="00831486" w:rsidP="00831486">
      <w:pPr>
        <w:jc w:val="both"/>
        <w:rPr>
          <w:rFonts w:ascii="Arial" w:hAnsi="Arial" w:cs="Arial"/>
          <w:lang w:val="sq-AL"/>
        </w:rPr>
      </w:pPr>
      <w:r w:rsidRPr="00705B56">
        <w:rPr>
          <w:rFonts w:ascii="Arial" w:hAnsi="Arial" w:cs="Arial"/>
          <w:lang w:val="sq-AL"/>
        </w:rPr>
        <w:t>Ky është skenari më ekstrem, që përfaqëson ngjarje shumë të rralla, por me pasoja të jashtëzakonshme. Përmbytjet e tilla ndodhin në kushte ekstreme klimatike dhe përfshijnë pothuajse tërë territorin e Kosovës, veçanërisht zonat qendrore, lindore dhe jugore. Komunat më të ekspozuara përfshijnë:</w:t>
      </w:r>
    </w:p>
    <w:p w14:paraId="4AEF1E6B" w14:textId="3427327F" w:rsidR="00831486" w:rsidRPr="00705B56" w:rsidRDefault="00831486" w:rsidP="004C6E93">
      <w:pPr>
        <w:pStyle w:val="ListParagraph"/>
        <w:numPr>
          <w:ilvl w:val="0"/>
          <w:numId w:val="52"/>
        </w:numPr>
        <w:jc w:val="both"/>
        <w:rPr>
          <w:rFonts w:ascii="Arial" w:hAnsi="Arial" w:cs="Arial"/>
          <w:lang w:val="sq-AL"/>
        </w:rPr>
      </w:pPr>
      <w:r w:rsidRPr="00705B56">
        <w:rPr>
          <w:rFonts w:ascii="Arial" w:hAnsi="Arial" w:cs="Arial"/>
          <w:lang w:val="sq-AL"/>
        </w:rPr>
        <w:t>Mitrovicë, Vushtrri, Podujevë, Skënderaj: përgjatë pellgut të Sitnicës dhe Ibrit.</w:t>
      </w:r>
    </w:p>
    <w:p w14:paraId="012A87DE" w14:textId="002BF447" w:rsidR="00831486" w:rsidRPr="00705B56" w:rsidRDefault="00831486" w:rsidP="004C6E93">
      <w:pPr>
        <w:pStyle w:val="ListParagraph"/>
        <w:numPr>
          <w:ilvl w:val="0"/>
          <w:numId w:val="52"/>
        </w:numPr>
        <w:jc w:val="both"/>
        <w:rPr>
          <w:rFonts w:ascii="Arial" w:hAnsi="Arial" w:cs="Arial"/>
          <w:lang w:val="sq-AL"/>
        </w:rPr>
      </w:pPr>
      <w:r w:rsidRPr="00705B56">
        <w:rPr>
          <w:rFonts w:ascii="Arial" w:hAnsi="Arial" w:cs="Arial"/>
          <w:lang w:val="sq-AL"/>
        </w:rPr>
        <w:t>Ferizaj, Shtime, Lipjan, Kaçanik: në pellgun e Lepencit, ku rritja e nivelit të ujërave mund të prekë pjesë të gjera urbane.</w:t>
      </w:r>
    </w:p>
    <w:p w14:paraId="574D4CAB" w14:textId="61201873" w:rsidR="00831486" w:rsidRPr="00705B56" w:rsidRDefault="00831486" w:rsidP="004C6E93">
      <w:pPr>
        <w:pStyle w:val="ListParagraph"/>
        <w:numPr>
          <w:ilvl w:val="0"/>
          <w:numId w:val="52"/>
        </w:numPr>
        <w:jc w:val="both"/>
        <w:rPr>
          <w:rFonts w:ascii="Arial" w:hAnsi="Arial" w:cs="Arial"/>
          <w:lang w:val="sq-AL"/>
        </w:rPr>
      </w:pPr>
      <w:r w:rsidRPr="00705B56">
        <w:rPr>
          <w:rFonts w:ascii="Arial" w:hAnsi="Arial" w:cs="Arial"/>
          <w:lang w:val="sq-AL"/>
        </w:rPr>
        <w:t>Gjilan, Kamenicë, Vitia:  përgjatë Moravës së Binçës, me përmbytje që shtrihen në zona të ulëta bujqësore.</w:t>
      </w:r>
    </w:p>
    <w:p w14:paraId="350E265F" w14:textId="712B46AD" w:rsidR="00332471" w:rsidRPr="00705B56" w:rsidRDefault="00831486" w:rsidP="00831486">
      <w:pPr>
        <w:pStyle w:val="ListParagraph"/>
        <w:numPr>
          <w:ilvl w:val="0"/>
          <w:numId w:val="52"/>
        </w:numPr>
        <w:jc w:val="both"/>
        <w:rPr>
          <w:rFonts w:ascii="Arial" w:hAnsi="Arial" w:cs="Arial"/>
          <w:lang w:val="sq-AL"/>
        </w:rPr>
      </w:pPr>
      <w:r w:rsidRPr="00705B56">
        <w:rPr>
          <w:rFonts w:ascii="Arial" w:hAnsi="Arial" w:cs="Arial"/>
          <w:lang w:val="sq-AL"/>
        </w:rPr>
        <w:t>Pejë, Klinë, Gjakovë, Rahovec dhe Prizren: në pellgun e Drinit të Bardhë, me rrezik të lartë për infrastrukturën kombëtare dhe objektet e trashëgimisë kulturore.</w:t>
      </w:r>
    </w:p>
    <w:p w14:paraId="4B60B86E" w14:textId="77777777" w:rsidR="00BA1DD1" w:rsidRPr="00705B56" w:rsidRDefault="00F42F15" w:rsidP="00BA1DD1">
      <w:pPr>
        <w:keepNext/>
        <w:jc w:val="both"/>
        <w:rPr>
          <w:rFonts w:ascii="Arial" w:hAnsi="Arial" w:cs="Arial"/>
        </w:rPr>
      </w:pPr>
      <w:r w:rsidRPr="00705B56">
        <w:rPr>
          <w:rFonts w:ascii="Arial" w:hAnsi="Arial" w:cs="Arial"/>
          <w:noProof/>
        </w:rPr>
        <w:drawing>
          <wp:inline distT="0" distB="0" distL="0" distR="0" wp14:anchorId="0636F8F9" wp14:editId="555E084E">
            <wp:extent cx="4368891" cy="3154680"/>
            <wp:effectExtent l="0" t="0" r="0" b="7620"/>
            <wp:docPr id="167634167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706" t="3661" r="2706" b="3827"/>
                    <a:stretch>
                      <a:fillRect/>
                    </a:stretch>
                  </pic:blipFill>
                  <pic:spPr bwMode="auto">
                    <a:xfrm>
                      <a:off x="0" y="0"/>
                      <a:ext cx="4368891"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6D9501D8" w14:textId="1B6B54FF" w:rsidR="00F42F15" w:rsidRPr="00705B56" w:rsidRDefault="00BA1DD1" w:rsidP="00BA1DD1">
      <w:pPr>
        <w:pStyle w:val="Caption"/>
        <w:jc w:val="both"/>
        <w:rPr>
          <w:rFonts w:ascii="Arial" w:hAnsi="Arial" w:cs="Arial"/>
          <w:sz w:val="22"/>
          <w:szCs w:val="22"/>
          <w:lang w:val="sq-AL"/>
        </w:rPr>
      </w:pPr>
      <w:bookmarkStart w:id="44" w:name="_Toc211532614"/>
      <w:r w:rsidRPr="00705B56">
        <w:rPr>
          <w:rFonts w:ascii="Arial" w:hAnsi="Arial" w:cs="Arial"/>
        </w:rPr>
        <w:t xml:space="preserve">Figura </w:t>
      </w:r>
      <w:r w:rsidR="0005579F" w:rsidRPr="00705B56">
        <w:rPr>
          <w:rFonts w:ascii="Arial" w:hAnsi="Arial" w:cs="Arial"/>
        </w:rPr>
        <w:fldChar w:fldCharType="begin"/>
      </w:r>
      <w:r w:rsidR="0005579F" w:rsidRPr="00705B56">
        <w:rPr>
          <w:rFonts w:ascii="Arial" w:hAnsi="Arial" w:cs="Arial"/>
        </w:rPr>
        <w:instrText xml:space="preserve"> SEQ Figura \* ARABIC </w:instrText>
      </w:r>
      <w:r w:rsidR="0005579F" w:rsidRPr="00705B56">
        <w:rPr>
          <w:rFonts w:ascii="Arial" w:hAnsi="Arial" w:cs="Arial"/>
        </w:rPr>
        <w:fldChar w:fldCharType="separate"/>
      </w:r>
      <w:r w:rsidR="0005579F" w:rsidRPr="00705B56">
        <w:rPr>
          <w:rFonts w:ascii="Arial" w:hAnsi="Arial" w:cs="Arial"/>
          <w:noProof/>
        </w:rPr>
        <w:t>13</w:t>
      </w:r>
      <w:r w:rsidR="0005579F" w:rsidRPr="00705B56">
        <w:rPr>
          <w:rFonts w:ascii="Arial" w:hAnsi="Arial" w:cs="Arial"/>
          <w:noProof/>
        </w:rPr>
        <w:fldChar w:fldCharType="end"/>
      </w:r>
      <w:r w:rsidRPr="00705B56">
        <w:rPr>
          <w:rFonts w:ascii="Arial" w:hAnsi="Arial" w:cs="Arial"/>
        </w:rPr>
        <w:t>. Harta e vlerës ekonomike të dëmeve (në euro) në skenarin e përmbytjeve me probabilitet të lartë. Burimi: MMPHI, WBIF, IPF11.</w:t>
      </w:r>
      <w:bookmarkEnd w:id="44"/>
    </w:p>
    <w:p w14:paraId="0C493124" w14:textId="40F4FF72" w:rsidR="00F42F15" w:rsidRPr="00705B56" w:rsidRDefault="00F42F15" w:rsidP="00F42F15">
      <w:pPr>
        <w:jc w:val="both"/>
        <w:rPr>
          <w:rFonts w:ascii="Arial" w:hAnsi="Arial" w:cs="Arial"/>
          <w:lang w:val="sq-AL"/>
        </w:rPr>
      </w:pPr>
      <w:r w:rsidRPr="00705B56">
        <w:rPr>
          <w:rFonts w:ascii="Arial" w:hAnsi="Arial" w:cs="Arial"/>
          <w:lang w:val="sq-AL"/>
        </w:rPr>
        <w:lastRenderedPageBreak/>
        <w:t>Harta paraqet vlerën ekonomike të dëmeve të mundshme nga përmbytjet me probabilitet të lartë (rreth një herë në 20 vjet) në të gjitha pellgjet ujore të Kosovës. Zonat e theksuara me ngjyrë vjollcë të errët përfaqësojnë humbje të vlerësuara mbi 1 milion euro për një ngjarje të vetme përmbytjeje, ndërsa zonat e hapura me ngjyrë të çelët tregojnë ndikime më të kufizuara ekonomike. Siç shihet, ndikimi më i madh ekonomik përqendrohet në pjesën veriore dhe verilindore të vendit (në pellgjet e Ibrit dhe Sitnicës), si dhe në disa zona juglindore përgjatë rrjedhës së Lepencit. Këto rajone përfshijnë qendra të rëndësishme urbane, infrastrukturë transporti dhe zona industriale, duke i bërë ato veçanërisht të ndjeshme ndaj përmbytjeve të përsëritura. Përmbytjet e këtij skenari, ndonëse më të shpeshta, shkaktojnë dëme të konsiderueshme në ndërtesa, rrugë lokale, bujqësi dhe shërbime publike, me ndikim të drejtpërdrejtë në ekonominë lokale dhe sigurinë e komuniteteve.</w:t>
      </w:r>
    </w:p>
    <w:p w14:paraId="5250451B" w14:textId="77777777" w:rsidR="00BA1DD1" w:rsidRPr="00705B56" w:rsidRDefault="00F42F15" w:rsidP="00BA1DD1">
      <w:pPr>
        <w:keepNext/>
        <w:jc w:val="both"/>
        <w:rPr>
          <w:rFonts w:ascii="Arial" w:hAnsi="Arial" w:cs="Arial"/>
        </w:rPr>
      </w:pPr>
      <w:r w:rsidRPr="00705B56">
        <w:rPr>
          <w:rFonts w:ascii="Arial" w:hAnsi="Arial" w:cs="Arial"/>
          <w:noProof/>
        </w:rPr>
        <w:drawing>
          <wp:inline distT="0" distB="0" distL="0" distR="0" wp14:anchorId="4C3A6AE0" wp14:editId="06CF2F80">
            <wp:extent cx="4376763" cy="3154680"/>
            <wp:effectExtent l="0" t="0" r="5080" b="7620"/>
            <wp:docPr id="385862605" name="Picture 40"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62605" name="Picture 40" descr="A map of a country&#10;&#10;AI-generated content may be incorrect."/>
                    <pic:cNvPicPr/>
                  </pic:nvPicPr>
                  <pic:blipFill rotWithShape="1">
                    <a:blip r:embed="rId35" cstate="print">
                      <a:extLst>
                        <a:ext uri="{28A0092B-C50C-407E-A947-70E740481C1C}">
                          <a14:useLocalDpi xmlns:a14="http://schemas.microsoft.com/office/drawing/2010/main" val="0"/>
                        </a:ext>
                      </a:extLst>
                    </a:blip>
                    <a:srcRect l="6819" t="3658" r="2645" b="4060"/>
                    <a:stretch>
                      <a:fillRect/>
                    </a:stretch>
                  </pic:blipFill>
                  <pic:spPr bwMode="auto">
                    <a:xfrm>
                      <a:off x="0" y="0"/>
                      <a:ext cx="4376763" cy="3154680"/>
                    </a:xfrm>
                    <a:prstGeom prst="rect">
                      <a:avLst/>
                    </a:prstGeom>
                    <a:ln>
                      <a:noFill/>
                    </a:ln>
                    <a:extLst>
                      <a:ext uri="{53640926-AAD7-44D8-BBD7-CCE9431645EC}">
                        <a14:shadowObscured xmlns:a14="http://schemas.microsoft.com/office/drawing/2010/main"/>
                      </a:ext>
                    </a:extLst>
                  </pic:spPr>
                </pic:pic>
              </a:graphicData>
            </a:graphic>
          </wp:inline>
        </w:drawing>
      </w:r>
    </w:p>
    <w:p w14:paraId="1491E163" w14:textId="57924ED9" w:rsidR="00F42F15" w:rsidRPr="00705B56" w:rsidRDefault="00BA1DD1" w:rsidP="00BA1DD1">
      <w:pPr>
        <w:pStyle w:val="Caption"/>
        <w:jc w:val="both"/>
        <w:rPr>
          <w:rFonts w:ascii="Arial" w:hAnsi="Arial" w:cs="Arial"/>
          <w:sz w:val="22"/>
          <w:szCs w:val="22"/>
          <w:lang w:val="sq-AL"/>
        </w:rPr>
      </w:pPr>
      <w:bookmarkStart w:id="45" w:name="_Toc211532615"/>
      <w:r w:rsidRPr="00705B56">
        <w:rPr>
          <w:rFonts w:ascii="Arial" w:hAnsi="Arial" w:cs="Arial"/>
        </w:rPr>
        <w:t xml:space="preserve">Figura </w:t>
      </w:r>
      <w:r w:rsidR="0005579F" w:rsidRPr="00705B56">
        <w:rPr>
          <w:rFonts w:ascii="Arial" w:hAnsi="Arial" w:cs="Arial"/>
        </w:rPr>
        <w:fldChar w:fldCharType="begin"/>
      </w:r>
      <w:r w:rsidR="0005579F" w:rsidRPr="00705B56">
        <w:rPr>
          <w:rFonts w:ascii="Arial" w:hAnsi="Arial" w:cs="Arial"/>
        </w:rPr>
        <w:instrText xml:space="preserve"> SEQ Figura \* ARABIC </w:instrText>
      </w:r>
      <w:r w:rsidR="0005579F" w:rsidRPr="00705B56">
        <w:rPr>
          <w:rFonts w:ascii="Arial" w:hAnsi="Arial" w:cs="Arial"/>
        </w:rPr>
        <w:fldChar w:fldCharType="separate"/>
      </w:r>
      <w:r w:rsidR="0005579F" w:rsidRPr="00705B56">
        <w:rPr>
          <w:rFonts w:ascii="Arial" w:hAnsi="Arial" w:cs="Arial"/>
          <w:noProof/>
        </w:rPr>
        <w:t>14</w:t>
      </w:r>
      <w:r w:rsidR="0005579F" w:rsidRPr="00705B56">
        <w:rPr>
          <w:rFonts w:ascii="Arial" w:hAnsi="Arial" w:cs="Arial"/>
          <w:noProof/>
        </w:rPr>
        <w:fldChar w:fldCharType="end"/>
      </w:r>
      <w:r w:rsidRPr="00705B56">
        <w:rPr>
          <w:rFonts w:ascii="Arial" w:hAnsi="Arial" w:cs="Arial"/>
        </w:rPr>
        <w:t>. Harta e vlerës ekonomike të dëmeve (në euro) në skenarin e përmbytjeve me probabilitet mesatar. Burimi: MMPHI, WBIF, IPF11.</w:t>
      </w:r>
      <w:bookmarkEnd w:id="45"/>
    </w:p>
    <w:p w14:paraId="440358A0" w14:textId="64902035" w:rsidR="00F42F15" w:rsidRPr="00705B56" w:rsidRDefault="00F42F15" w:rsidP="00F42F15">
      <w:pPr>
        <w:jc w:val="both"/>
        <w:rPr>
          <w:rFonts w:ascii="Arial" w:hAnsi="Arial" w:cs="Arial"/>
          <w:lang w:val="sq-AL"/>
        </w:rPr>
      </w:pPr>
      <w:r w:rsidRPr="00705B56">
        <w:rPr>
          <w:rFonts w:ascii="Arial" w:hAnsi="Arial" w:cs="Arial"/>
          <w:lang w:val="sq-AL"/>
        </w:rPr>
        <w:t xml:space="preserve">Harta e skenarit 100-vjeçar tregon zona me dëme më të mëdha ekonomike në disa rajone (të dukshme me ngjyrime më të errëta), përqendrim në luginat qendrore dhe veriore. Ky skenar përfaqëson ngjarje ekstreme që ndodhin rrallë por me pasoja të rënda kur ndodhin: dëmtime të mëdha në infrastrukturë të kritike (ura, rrugë kryesore, sisteme ujësjellësi/kanalizime), ndërprerje të ekonomive lokale dhe rrezik për objekte kulturore dhe zona të mbrojtura. Ndikimi në popullatë: pjesë të rëndësishme të 341,244 banorëve dhe 57,784 familjeve janë potencialisht të prekura në mënyrë të konsiderueshme; numri i personave që kërkojnë shpëtim apo strehim emergjent rritet ndjeshëm. Ndikimi ekonomik: humbje kapitale të konsiderueshme dhe kostot e rikonstruksionit, me pasoja afatmesme në ekonominë rajonale dhe humbje të aktiviteteve ekonomike në 538 zona të identifikuara si me rëndësi ekonomike. </w:t>
      </w:r>
    </w:p>
    <w:p w14:paraId="724C7E9D" w14:textId="77777777" w:rsidR="00BA1DD1" w:rsidRPr="00705B56" w:rsidRDefault="00F42F15" w:rsidP="00BA1DD1">
      <w:pPr>
        <w:keepNext/>
        <w:jc w:val="both"/>
        <w:rPr>
          <w:rFonts w:ascii="Arial" w:hAnsi="Arial" w:cs="Arial"/>
        </w:rPr>
      </w:pPr>
      <w:r w:rsidRPr="00705B56">
        <w:rPr>
          <w:rFonts w:ascii="Arial" w:hAnsi="Arial" w:cs="Arial"/>
          <w:noProof/>
        </w:rPr>
        <w:lastRenderedPageBreak/>
        <w:drawing>
          <wp:inline distT="0" distB="0" distL="0" distR="0" wp14:anchorId="51E743FE" wp14:editId="0EB66862">
            <wp:extent cx="4374565" cy="3154680"/>
            <wp:effectExtent l="0" t="0" r="6985" b="7620"/>
            <wp:docPr id="162119495" name="Picture 4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9495" name="Picture 41" descr="A map of a country&#10;&#10;AI-generated content may be incorrect."/>
                    <pic:cNvPicPr/>
                  </pic:nvPicPr>
                  <pic:blipFill rotWithShape="1">
                    <a:blip r:embed="rId36" cstate="print">
                      <a:extLst>
                        <a:ext uri="{28A0092B-C50C-407E-A947-70E740481C1C}">
                          <a14:useLocalDpi xmlns:a14="http://schemas.microsoft.com/office/drawing/2010/main" val="0"/>
                        </a:ext>
                      </a:extLst>
                    </a:blip>
                    <a:srcRect l="6819" t="3492" r="2528" b="4059"/>
                    <a:stretch>
                      <a:fillRect/>
                    </a:stretch>
                  </pic:blipFill>
                  <pic:spPr bwMode="auto">
                    <a:xfrm>
                      <a:off x="0" y="0"/>
                      <a:ext cx="4374565" cy="3154680"/>
                    </a:xfrm>
                    <a:prstGeom prst="rect">
                      <a:avLst/>
                    </a:prstGeom>
                    <a:ln>
                      <a:noFill/>
                    </a:ln>
                    <a:extLst>
                      <a:ext uri="{53640926-AAD7-44D8-BBD7-CCE9431645EC}">
                        <a14:shadowObscured xmlns:a14="http://schemas.microsoft.com/office/drawing/2010/main"/>
                      </a:ext>
                    </a:extLst>
                  </pic:spPr>
                </pic:pic>
              </a:graphicData>
            </a:graphic>
          </wp:inline>
        </w:drawing>
      </w:r>
    </w:p>
    <w:p w14:paraId="01124EEA" w14:textId="246E0C53" w:rsidR="00F42F15" w:rsidRPr="00705B56" w:rsidRDefault="00BA1DD1" w:rsidP="00BA1DD1">
      <w:pPr>
        <w:pStyle w:val="Caption"/>
        <w:jc w:val="both"/>
        <w:rPr>
          <w:rFonts w:ascii="Arial" w:hAnsi="Arial" w:cs="Arial"/>
          <w:sz w:val="22"/>
          <w:szCs w:val="22"/>
          <w:lang w:val="sq-AL"/>
        </w:rPr>
      </w:pPr>
      <w:bookmarkStart w:id="46" w:name="_Toc211532616"/>
      <w:r w:rsidRPr="00705B56">
        <w:rPr>
          <w:rFonts w:ascii="Arial" w:hAnsi="Arial" w:cs="Arial"/>
        </w:rPr>
        <w:t xml:space="preserve">Figura </w:t>
      </w:r>
      <w:r w:rsidR="0005579F" w:rsidRPr="00705B56">
        <w:rPr>
          <w:rFonts w:ascii="Arial" w:hAnsi="Arial" w:cs="Arial"/>
        </w:rPr>
        <w:fldChar w:fldCharType="begin"/>
      </w:r>
      <w:r w:rsidR="0005579F" w:rsidRPr="00705B56">
        <w:rPr>
          <w:rFonts w:ascii="Arial" w:hAnsi="Arial" w:cs="Arial"/>
        </w:rPr>
        <w:instrText xml:space="preserve"> SEQ Figura \* ARABIC </w:instrText>
      </w:r>
      <w:r w:rsidR="0005579F" w:rsidRPr="00705B56">
        <w:rPr>
          <w:rFonts w:ascii="Arial" w:hAnsi="Arial" w:cs="Arial"/>
        </w:rPr>
        <w:fldChar w:fldCharType="separate"/>
      </w:r>
      <w:r w:rsidR="0005579F" w:rsidRPr="00705B56">
        <w:rPr>
          <w:rFonts w:ascii="Arial" w:hAnsi="Arial" w:cs="Arial"/>
          <w:noProof/>
        </w:rPr>
        <w:t>15</w:t>
      </w:r>
      <w:r w:rsidR="0005579F" w:rsidRPr="00705B56">
        <w:rPr>
          <w:rFonts w:ascii="Arial" w:hAnsi="Arial" w:cs="Arial"/>
          <w:noProof/>
        </w:rPr>
        <w:fldChar w:fldCharType="end"/>
      </w:r>
      <w:r w:rsidRPr="00705B56">
        <w:rPr>
          <w:rFonts w:ascii="Arial" w:hAnsi="Arial" w:cs="Arial"/>
        </w:rPr>
        <w:t>. Harta e vlerës ekonomike të dëmeve (në euro) në skenarin e përmbytjeve me probabilitet të ulët. Burimi: MMPHI, WBIF, IPF11.</w:t>
      </w:r>
      <w:bookmarkEnd w:id="46"/>
    </w:p>
    <w:p w14:paraId="49C19597" w14:textId="22E34C31" w:rsidR="005A005C" w:rsidRDefault="002B3DEC" w:rsidP="00F14579">
      <w:pPr>
        <w:jc w:val="both"/>
        <w:rPr>
          <w:rFonts w:ascii="Arial" w:hAnsi="Arial" w:cs="Arial"/>
          <w:lang w:val="sq-AL"/>
        </w:rPr>
      </w:pPr>
      <w:r w:rsidRPr="00705B56">
        <w:rPr>
          <w:rFonts w:ascii="Arial" w:hAnsi="Arial" w:cs="Arial"/>
          <w:lang w:val="sq-AL"/>
        </w:rPr>
        <w:t>Harta e skenarit 1000-vjeçar tregon pasojat më ekstreme dhe të përqendruara — ngarkesa e dëmeve ekonomike në disa sub-pëllgje mund të arrijë vlera shumë të mëdha për njësitë e prekura. Ndërsa probabiliteti vjetor është shumë i ulët, kur një ngjarje e tillë ndodh ajo shkakton humbje të jashtëzakonshme të infrastrukturës, dëme të pakthyeshme në objekte kulturore dhe natyrore dhe prek popullsi e cila mund të mbetet e zhvendosur për periudha të gjata. Ndikimi në popullatë: edhe pse numri i prekur behet më i lartë në zonat e përqendruara, është e rëndësishme të theksohet që edhe komunitete të largëta mund të pësojnë dëme të konsiderueshme; sistemi i mbrojtjes civile do të duhet të aktivizohet në shkallë të gjerë. Ndikimi ekonomik: shkatërrim i asset-eve të mëdha dhe kostove të rimëkëmbjes që mund të tejkalojnë buxhetet lokale/rajonale; humbje të rëndësishme në 538 zona ekonomike të ndjeshme dhe rrezik për humbje të trashëgimisë kulturore (32 vende kulturore/historike) dhe ekosisteme në 57 zona të mbrojtura. Ky skenar kërkon plane rezilience strategjike me fokus në investime afatgjata, ruajtje të objekteve kritike dhe skenarë për rimëkëmbje makro-ekonomike.</w:t>
      </w:r>
    </w:p>
    <w:p w14:paraId="1482152A" w14:textId="77777777" w:rsidR="00784A43" w:rsidRDefault="00784A43" w:rsidP="00F14579">
      <w:pPr>
        <w:jc w:val="both"/>
        <w:rPr>
          <w:rFonts w:ascii="Arial" w:hAnsi="Arial" w:cs="Arial"/>
          <w:lang w:val="sq-AL"/>
        </w:rPr>
      </w:pPr>
    </w:p>
    <w:p w14:paraId="7CB27F54" w14:textId="77777777" w:rsidR="00784A43" w:rsidRDefault="00784A43" w:rsidP="00F14579">
      <w:pPr>
        <w:jc w:val="both"/>
        <w:rPr>
          <w:rFonts w:ascii="Arial" w:hAnsi="Arial" w:cs="Arial"/>
          <w:lang w:val="sq-AL"/>
        </w:rPr>
      </w:pPr>
    </w:p>
    <w:p w14:paraId="31FC69DE" w14:textId="77777777" w:rsidR="00784A43" w:rsidRDefault="00784A43" w:rsidP="00F14579">
      <w:pPr>
        <w:jc w:val="both"/>
        <w:rPr>
          <w:rFonts w:ascii="Arial" w:hAnsi="Arial" w:cs="Arial"/>
          <w:lang w:val="sq-AL"/>
        </w:rPr>
      </w:pPr>
    </w:p>
    <w:p w14:paraId="42F984BB" w14:textId="77777777" w:rsidR="00784A43" w:rsidRDefault="00784A43" w:rsidP="00F14579">
      <w:pPr>
        <w:jc w:val="both"/>
        <w:rPr>
          <w:rFonts w:ascii="Arial" w:hAnsi="Arial" w:cs="Arial"/>
          <w:lang w:val="sq-AL"/>
        </w:rPr>
      </w:pPr>
    </w:p>
    <w:p w14:paraId="4FBFA407" w14:textId="77777777" w:rsidR="00784A43" w:rsidRDefault="00784A43" w:rsidP="00F14579">
      <w:pPr>
        <w:jc w:val="both"/>
        <w:rPr>
          <w:rFonts w:ascii="Arial" w:hAnsi="Arial" w:cs="Arial"/>
          <w:lang w:val="sq-AL"/>
        </w:rPr>
      </w:pPr>
    </w:p>
    <w:p w14:paraId="7561CD10" w14:textId="77777777" w:rsidR="00784A43" w:rsidRDefault="00784A43" w:rsidP="00F14579">
      <w:pPr>
        <w:jc w:val="both"/>
        <w:rPr>
          <w:rFonts w:ascii="Arial" w:hAnsi="Arial" w:cs="Arial"/>
          <w:lang w:val="sq-AL"/>
        </w:rPr>
      </w:pPr>
    </w:p>
    <w:p w14:paraId="08F53953" w14:textId="77777777" w:rsidR="00784A43" w:rsidRDefault="00784A43" w:rsidP="00F14579">
      <w:pPr>
        <w:jc w:val="both"/>
        <w:rPr>
          <w:rFonts w:ascii="Arial" w:hAnsi="Arial" w:cs="Arial"/>
          <w:lang w:val="sq-AL"/>
        </w:rPr>
      </w:pPr>
    </w:p>
    <w:p w14:paraId="4B702F21" w14:textId="77777777" w:rsidR="00784A43" w:rsidRDefault="00784A43" w:rsidP="00F14579">
      <w:pPr>
        <w:jc w:val="both"/>
        <w:rPr>
          <w:rFonts w:ascii="Arial" w:hAnsi="Arial" w:cs="Arial"/>
          <w:lang w:val="sq-AL"/>
        </w:rPr>
      </w:pPr>
    </w:p>
    <w:p w14:paraId="36A3B920" w14:textId="77777777" w:rsidR="00784A43" w:rsidRDefault="00784A43" w:rsidP="00F14579">
      <w:pPr>
        <w:jc w:val="both"/>
        <w:rPr>
          <w:rFonts w:ascii="Arial" w:hAnsi="Arial" w:cs="Arial"/>
          <w:lang w:val="sq-AL"/>
        </w:rPr>
      </w:pPr>
    </w:p>
    <w:p w14:paraId="58F95D80" w14:textId="77777777" w:rsidR="00784A43" w:rsidRDefault="00784A43" w:rsidP="00F14579">
      <w:pPr>
        <w:jc w:val="both"/>
        <w:rPr>
          <w:rFonts w:ascii="Arial" w:hAnsi="Arial" w:cs="Arial"/>
          <w:lang w:val="sq-AL"/>
        </w:rPr>
      </w:pPr>
    </w:p>
    <w:p w14:paraId="119BCE8B" w14:textId="77777777" w:rsidR="00784A43" w:rsidRPr="00784A43" w:rsidRDefault="00784A43" w:rsidP="00F14579">
      <w:pPr>
        <w:jc w:val="both"/>
        <w:rPr>
          <w:rFonts w:ascii="Arial" w:hAnsi="Arial" w:cs="Arial"/>
          <w:lang w:val="sq-AL"/>
        </w:rPr>
      </w:pPr>
    </w:p>
    <w:p w14:paraId="0942E5BD" w14:textId="7833115E" w:rsidR="00F14579" w:rsidRPr="00705B56" w:rsidRDefault="00784A43" w:rsidP="00F14579">
      <w:pPr>
        <w:jc w:val="both"/>
        <w:rPr>
          <w:rFonts w:ascii="Arial" w:hAnsi="Arial" w:cs="Arial"/>
          <w:b/>
          <w:bCs/>
          <w:lang w:val="sq-AL"/>
        </w:rPr>
      </w:pPr>
      <w:r w:rsidRPr="00705B56">
        <w:rPr>
          <w:rFonts w:ascii="Arial" w:hAnsi="Arial" w:cs="Arial"/>
          <w:noProof/>
        </w:rPr>
        <w:lastRenderedPageBreak/>
        <w:drawing>
          <wp:anchor distT="0" distB="0" distL="114300" distR="114300" simplePos="0" relativeHeight="251836416" behindDoc="0" locked="0" layoutInCell="1" allowOverlap="1" wp14:anchorId="1262CB07" wp14:editId="374E352E">
            <wp:simplePos x="0" y="0"/>
            <wp:positionH relativeFrom="margin">
              <wp:posOffset>-61595</wp:posOffset>
            </wp:positionH>
            <wp:positionV relativeFrom="margin">
              <wp:posOffset>297180</wp:posOffset>
            </wp:positionV>
            <wp:extent cx="4427855" cy="3172460"/>
            <wp:effectExtent l="0" t="0" r="0" b="8890"/>
            <wp:wrapSquare wrapText="bothSides"/>
            <wp:docPr id="358422898" name="Picture 45"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2898" name="Picture 45" descr="A map of a country&#10;&#10;AI-generated content may be incorrect."/>
                    <pic:cNvPicPr/>
                  </pic:nvPicPr>
                  <pic:blipFill rotWithShape="1">
                    <a:blip r:embed="rId37" cstate="print">
                      <a:extLst>
                        <a:ext uri="{28A0092B-C50C-407E-A947-70E740481C1C}">
                          <a14:useLocalDpi xmlns:a14="http://schemas.microsoft.com/office/drawing/2010/main" val="0"/>
                        </a:ext>
                      </a:extLst>
                    </a:blip>
                    <a:srcRect l="6819" t="4489" r="2763" b="3894"/>
                    <a:stretch>
                      <a:fillRect/>
                    </a:stretch>
                  </pic:blipFill>
                  <pic:spPr bwMode="auto">
                    <a:xfrm>
                      <a:off x="0" y="0"/>
                      <a:ext cx="4427855" cy="3172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4579" w:rsidRPr="00705B56">
        <w:rPr>
          <w:rFonts w:ascii="Arial" w:hAnsi="Arial" w:cs="Arial"/>
          <w:b/>
          <w:bCs/>
          <w:lang w:val="sq-AL"/>
        </w:rPr>
        <w:t>Skenari SCCA: Popullata e prekur nga përmbytjet</w:t>
      </w:r>
    </w:p>
    <w:p w14:paraId="58F52D88" w14:textId="3CA715E0" w:rsidR="004C6E93" w:rsidRPr="00705B56" w:rsidRDefault="0002693F" w:rsidP="002B3DEC">
      <w:pPr>
        <w:jc w:val="both"/>
        <w:rPr>
          <w:rFonts w:ascii="Arial" w:hAnsi="Arial" w:cs="Arial"/>
          <w:lang w:val="sq-AL"/>
        </w:rPr>
      </w:pPr>
      <w:r w:rsidRPr="00705B56">
        <w:rPr>
          <w:rFonts w:ascii="Arial" w:hAnsi="Arial" w:cs="Arial"/>
          <w:noProof/>
        </w:rPr>
        <mc:AlternateContent>
          <mc:Choice Requires="wps">
            <w:drawing>
              <wp:anchor distT="0" distB="0" distL="114300" distR="114300" simplePos="0" relativeHeight="251845632" behindDoc="0" locked="0" layoutInCell="1" allowOverlap="1" wp14:anchorId="48423962" wp14:editId="3CE6A631">
                <wp:simplePos x="0" y="0"/>
                <wp:positionH relativeFrom="margin">
                  <wp:align>left</wp:align>
                </wp:positionH>
                <wp:positionV relativeFrom="paragraph">
                  <wp:posOffset>3272790</wp:posOffset>
                </wp:positionV>
                <wp:extent cx="4343400" cy="289560"/>
                <wp:effectExtent l="0" t="0" r="0" b="0"/>
                <wp:wrapSquare wrapText="bothSides"/>
                <wp:docPr id="1058427000" name="Text Box 1"/>
                <wp:cNvGraphicFramePr/>
                <a:graphic xmlns:a="http://schemas.openxmlformats.org/drawingml/2006/main">
                  <a:graphicData uri="http://schemas.microsoft.com/office/word/2010/wordprocessingShape">
                    <wps:wsp>
                      <wps:cNvSpPr txBox="1"/>
                      <wps:spPr>
                        <a:xfrm>
                          <a:off x="0" y="0"/>
                          <a:ext cx="4343400" cy="289560"/>
                        </a:xfrm>
                        <a:prstGeom prst="rect">
                          <a:avLst/>
                        </a:prstGeom>
                        <a:solidFill>
                          <a:prstClr val="white"/>
                        </a:solidFill>
                        <a:ln>
                          <a:noFill/>
                        </a:ln>
                      </wps:spPr>
                      <wps:txbx>
                        <w:txbxContent>
                          <w:p w14:paraId="3982555E" w14:textId="6A30DFD4" w:rsidR="0002693F" w:rsidRPr="00784A43" w:rsidRDefault="0002693F" w:rsidP="0002693F">
                            <w:pPr>
                              <w:pStyle w:val="Caption"/>
                              <w:rPr>
                                <w:rFonts w:ascii="Arial" w:hAnsi="Arial" w:cs="Arial"/>
                                <w:noProof/>
                                <w:sz w:val="22"/>
                                <w:szCs w:val="22"/>
                                <w:lang w:val="sq-AL"/>
                              </w:rPr>
                            </w:pPr>
                            <w:bookmarkStart w:id="47" w:name="_Toc211532617"/>
                            <w:r w:rsidRPr="00784A43">
                              <w:rPr>
                                <w:rFonts w:ascii="Arial" w:hAnsi="Arial" w:cs="Arial"/>
                              </w:rPr>
                              <w:t xml:space="preserve">Figura </w:t>
                            </w:r>
                            <w:r w:rsidR="0005579F" w:rsidRPr="00784A43">
                              <w:rPr>
                                <w:rFonts w:ascii="Arial" w:hAnsi="Arial" w:cs="Arial"/>
                              </w:rPr>
                              <w:fldChar w:fldCharType="begin"/>
                            </w:r>
                            <w:r w:rsidR="0005579F" w:rsidRPr="00784A43">
                              <w:rPr>
                                <w:rFonts w:ascii="Arial" w:hAnsi="Arial" w:cs="Arial"/>
                              </w:rPr>
                              <w:instrText xml:space="preserve"> SEQ Figura \* ARABIC </w:instrText>
                            </w:r>
                            <w:r w:rsidR="0005579F" w:rsidRPr="00784A43">
                              <w:rPr>
                                <w:rFonts w:ascii="Arial" w:hAnsi="Arial" w:cs="Arial"/>
                              </w:rPr>
                              <w:fldChar w:fldCharType="separate"/>
                            </w:r>
                            <w:r w:rsidR="0005579F" w:rsidRPr="00784A43">
                              <w:rPr>
                                <w:rFonts w:ascii="Arial" w:hAnsi="Arial" w:cs="Arial"/>
                                <w:noProof/>
                              </w:rPr>
                              <w:t>16</w:t>
                            </w:r>
                            <w:r w:rsidR="0005579F" w:rsidRPr="00784A43">
                              <w:rPr>
                                <w:rFonts w:ascii="Arial" w:hAnsi="Arial" w:cs="Arial"/>
                                <w:noProof/>
                              </w:rPr>
                              <w:fldChar w:fldCharType="end"/>
                            </w:r>
                            <w:r w:rsidRPr="00784A43">
                              <w:rPr>
                                <w:rFonts w:ascii="Arial" w:hAnsi="Arial" w:cs="Arial"/>
                              </w:rPr>
                              <w:t>. Harta e popullsisë së prekur në skenarin e përmbytjeve sipas SCCA-së. Burimi: MMPHI, WBIF, IPF11.</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423962" id="_x0000_s1038" type="#_x0000_t202" style="position:absolute;left:0;text-align:left;margin-left:0;margin-top:257.7pt;width:342pt;height:22.8pt;z-index:25184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" stroked="f">
                <v:textbox inset="0,0,0,0">
                  <w:txbxContent>
                    <w:p w14:paraId="3982555E" w14:textId="6A30DFD4" w:rsidR="0002693F" w:rsidRPr="00784A43" w:rsidRDefault="0002693F" w:rsidP="0002693F">
                      <w:pPr>
                        <w:pStyle w:val="Caption"/>
                        <w:rPr>
                          <w:rFonts w:ascii="Arial" w:hAnsi="Arial" w:cs="Arial"/>
                          <w:noProof/>
                          <w:sz w:val="22"/>
                          <w:szCs w:val="22"/>
                          <w:lang w:val="sq-AL"/>
                        </w:rPr>
                      </w:pPr>
                      <w:bookmarkStart w:id="55" w:name="_Toc211532617"/>
                      <w:r w:rsidRPr="00784A43">
                        <w:rPr>
                          <w:rFonts w:ascii="Arial" w:hAnsi="Arial" w:cs="Arial"/>
                        </w:rPr>
                        <w:t xml:space="preserve">Figura </w:t>
                      </w:r>
                      <w:r w:rsidR="0005579F" w:rsidRPr="00784A43">
                        <w:rPr>
                          <w:rFonts w:ascii="Arial" w:hAnsi="Arial" w:cs="Arial"/>
                        </w:rPr>
                        <w:fldChar w:fldCharType="begin"/>
                      </w:r>
                      <w:r w:rsidR="0005579F" w:rsidRPr="00784A43">
                        <w:rPr>
                          <w:rFonts w:ascii="Arial" w:hAnsi="Arial" w:cs="Arial"/>
                        </w:rPr>
                        <w:instrText xml:space="preserve"> SEQ Figura \* ARABIC </w:instrText>
                      </w:r>
                      <w:r w:rsidR="0005579F" w:rsidRPr="00784A43">
                        <w:rPr>
                          <w:rFonts w:ascii="Arial" w:hAnsi="Arial" w:cs="Arial"/>
                        </w:rPr>
                        <w:fldChar w:fldCharType="separate"/>
                      </w:r>
                      <w:r w:rsidR="0005579F" w:rsidRPr="00784A43">
                        <w:rPr>
                          <w:rFonts w:ascii="Arial" w:hAnsi="Arial" w:cs="Arial"/>
                          <w:noProof/>
                        </w:rPr>
                        <w:t>16</w:t>
                      </w:r>
                      <w:r w:rsidR="0005579F" w:rsidRPr="00784A43">
                        <w:rPr>
                          <w:rFonts w:ascii="Arial" w:hAnsi="Arial" w:cs="Arial"/>
                          <w:noProof/>
                        </w:rPr>
                        <w:fldChar w:fldCharType="end"/>
                      </w:r>
                      <w:r w:rsidRPr="00784A43">
                        <w:rPr>
                          <w:rFonts w:ascii="Arial" w:hAnsi="Arial" w:cs="Arial"/>
                        </w:rPr>
                        <w:t xml:space="preserve">. Harta e </w:t>
                      </w:r>
                      <w:r w:rsidRPr="00784A43">
                        <w:rPr>
                          <w:rFonts w:ascii="Arial" w:hAnsi="Arial" w:cs="Arial"/>
                        </w:rPr>
                        <w:t>popullsisë së prekur në skenarin e përmbytjeve sipas SCCA-së. Burimi: MMPHI, WBIF, IPF11.</w:t>
                      </w:r>
                      <w:bookmarkEnd w:id="55"/>
                    </w:p>
                  </w:txbxContent>
                </v:textbox>
                <w10:wrap type="square" anchorx="margin"/>
              </v:shape>
            </w:pict>
          </mc:Fallback>
        </mc:AlternateContent>
      </w:r>
      <w:r w:rsidR="00F14579" w:rsidRPr="00705B56">
        <w:rPr>
          <w:rFonts w:ascii="Arial" w:hAnsi="Arial" w:cs="Arial"/>
          <w:lang w:val="sq-AL"/>
        </w:rPr>
        <w:t>Kjo hartë paraqet shpërndarjen e popullatës së prekur në skenarin e përmbytjeve SCCA, në kuadër të projektit Flood Risk Maps and Flood Hazard Maps for All River Basins in Kosovo. Ajo tregon ndikimin e përmbytjeve në nivel komunal, duke përdorur një shkallë ngjyrash nga e verdha (rrezik i ulët) deri te e kuqja e errët dhe vjollca (rrezik shumë i lartë). Sipas hartës, zonat me intensitet më të lartë të përmbytjeve përfshijnë pjesën qendrore dhe lindore të Kosovës, përkatësisht rreth basenit të lumenjve Sitnica, Morava e Binçës dhe Lab. Komunat si Mitrovica, Podujeva, Gjilani dhe Ferizaj rezultojnë të kenë një përqindje më të madhe të popullsisë së ekspozuar, ndërsa zonat me densitet më të ulët rural janë më pak të prekura. Nga aspekti social, ky skenar tregon një rrezik të konsiderueshëm për popullatën urbane dhe gjysmë-urbane, ku përmbytjet mund të prekin drejtpërdrejt vendbanimet, infrastrukturën publike dhe rrjetet e transportit. Shumë nga familjet e prekura janë të përqendruara në zona me mungesë të kanalizimeve dhe digave mbrojtëse, duke shtuar ndjeshëm cenueshmërinë sociale dhe ekonomike.</w:t>
      </w:r>
    </w:p>
    <w:p w14:paraId="0007EB02" w14:textId="70E33F02" w:rsidR="002B3DEC" w:rsidRPr="00705B56" w:rsidRDefault="002B3DEC" w:rsidP="002B3DEC">
      <w:pPr>
        <w:jc w:val="both"/>
        <w:rPr>
          <w:rFonts w:ascii="Arial" w:hAnsi="Arial" w:cs="Arial"/>
          <w:lang w:val="sq-AL"/>
        </w:rPr>
      </w:pPr>
      <w:r w:rsidRPr="00705B56">
        <w:rPr>
          <w:rFonts w:ascii="Arial" w:hAnsi="Arial" w:cs="Arial"/>
          <w:b/>
          <w:bCs/>
          <w:lang w:val="sq-AL"/>
        </w:rPr>
        <w:t>Skenari SCCB: Popullata e prekur nga përmbytjet</w:t>
      </w:r>
    </w:p>
    <w:p w14:paraId="53552016" w14:textId="2F68179E" w:rsidR="002B3DEC" w:rsidRPr="00705B56" w:rsidRDefault="00860AF2" w:rsidP="002B3DEC">
      <w:pPr>
        <w:jc w:val="both"/>
        <w:rPr>
          <w:rFonts w:ascii="Arial" w:hAnsi="Arial" w:cs="Arial"/>
          <w:lang w:val="sq-AL"/>
        </w:rPr>
      </w:pPr>
      <w:r w:rsidRPr="00705B56">
        <w:rPr>
          <w:rFonts w:ascii="Arial" w:hAnsi="Arial" w:cs="Arial"/>
          <w:noProof/>
        </w:rPr>
        <mc:AlternateContent>
          <mc:Choice Requires="wps">
            <w:drawing>
              <wp:anchor distT="0" distB="0" distL="114300" distR="114300" simplePos="0" relativeHeight="251847680" behindDoc="0" locked="0" layoutInCell="1" allowOverlap="1" wp14:anchorId="4BB20155" wp14:editId="1EF2AC14">
                <wp:simplePos x="0" y="0"/>
                <wp:positionH relativeFrom="margin">
                  <wp:align>left</wp:align>
                </wp:positionH>
                <wp:positionV relativeFrom="paragraph">
                  <wp:posOffset>3237230</wp:posOffset>
                </wp:positionV>
                <wp:extent cx="4404360" cy="266700"/>
                <wp:effectExtent l="0" t="0" r="0" b="0"/>
                <wp:wrapSquare wrapText="bothSides"/>
                <wp:docPr id="764412200" name="Text Box 1"/>
                <wp:cNvGraphicFramePr/>
                <a:graphic xmlns:a="http://schemas.openxmlformats.org/drawingml/2006/main">
                  <a:graphicData uri="http://schemas.microsoft.com/office/word/2010/wordprocessingShape">
                    <wps:wsp>
                      <wps:cNvSpPr txBox="1"/>
                      <wps:spPr>
                        <a:xfrm>
                          <a:off x="0" y="0"/>
                          <a:ext cx="4404360" cy="266700"/>
                        </a:xfrm>
                        <a:prstGeom prst="rect">
                          <a:avLst/>
                        </a:prstGeom>
                        <a:solidFill>
                          <a:prstClr val="white"/>
                        </a:solidFill>
                        <a:ln>
                          <a:noFill/>
                        </a:ln>
                      </wps:spPr>
                      <wps:txbx>
                        <w:txbxContent>
                          <w:p w14:paraId="3D7D519E" w14:textId="62DC8FE6" w:rsidR="0002693F" w:rsidRPr="00860AF2" w:rsidRDefault="0002693F" w:rsidP="0002693F">
                            <w:pPr>
                              <w:pStyle w:val="Caption"/>
                              <w:rPr>
                                <w:rFonts w:ascii="Arial" w:hAnsi="Arial" w:cs="Arial"/>
                                <w:noProof/>
                                <w:sz w:val="22"/>
                                <w:szCs w:val="22"/>
                                <w:lang w:val="sq-AL"/>
                              </w:rPr>
                            </w:pPr>
                            <w:bookmarkStart w:id="48" w:name="_Toc211532618"/>
                            <w:r w:rsidRPr="00860AF2">
                              <w:rPr>
                                <w:rFonts w:ascii="Arial" w:hAnsi="Arial" w:cs="Arial"/>
                              </w:rPr>
                              <w:t xml:space="preserve">Figura </w:t>
                            </w:r>
                            <w:r w:rsidR="0005579F" w:rsidRPr="00860AF2">
                              <w:rPr>
                                <w:rFonts w:ascii="Arial" w:hAnsi="Arial" w:cs="Arial"/>
                              </w:rPr>
                              <w:fldChar w:fldCharType="begin"/>
                            </w:r>
                            <w:r w:rsidR="0005579F" w:rsidRPr="00860AF2">
                              <w:rPr>
                                <w:rFonts w:ascii="Arial" w:hAnsi="Arial" w:cs="Arial"/>
                              </w:rPr>
                              <w:instrText xml:space="preserve"> SEQ Figura \* ARABIC </w:instrText>
                            </w:r>
                            <w:r w:rsidR="0005579F" w:rsidRPr="00860AF2">
                              <w:rPr>
                                <w:rFonts w:ascii="Arial" w:hAnsi="Arial" w:cs="Arial"/>
                              </w:rPr>
                              <w:fldChar w:fldCharType="separate"/>
                            </w:r>
                            <w:r w:rsidR="0005579F" w:rsidRPr="00860AF2">
                              <w:rPr>
                                <w:rFonts w:ascii="Arial" w:hAnsi="Arial" w:cs="Arial"/>
                                <w:noProof/>
                              </w:rPr>
                              <w:t>17</w:t>
                            </w:r>
                            <w:r w:rsidR="0005579F" w:rsidRPr="00860AF2">
                              <w:rPr>
                                <w:rFonts w:ascii="Arial" w:hAnsi="Arial" w:cs="Arial"/>
                                <w:noProof/>
                              </w:rPr>
                              <w:fldChar w:fldCharType="end"/>
                            </w:r>
                            <w:r w:rsidRPr="00860AF2">
                              <w:rPr>
                                <w:rFonts w:ascii="Arial" w:hAnsi="Arial" w:cs="Arial"/>
                              </w:rPr>
                              <w:t>.  Harta e popullsisë së prekur në skenarin e përmbytjeve sipas SCCB-së. Burimi: MMPHI, WBIF, IPF11.</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B20155" id="_x0000_s1039" type="#_x0000_t202" style="position:absolute;left:0;text-align:left;margin-left:0;margin-top:254.9pt;width:346.8pt;height:21pt;z-index:2518476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" stroked="f">
                <v:textbox inset="0,0,0,0">
                  <w:txbxContent>
                    <w:p w14:paraId="3D7D519E" w14:textId="62DC8FE6" w:rsidR="0002693F" w:rsidRPr="00860AF2" w:rsidRDefault="0002693F" w:rsidP="0002693F">
                      <w:pPr>
                        <w:pStyle w:val="Caption"/>
                        <w:rPr>
                          <w:rFonts w:ascii="Arial" w:hAnsi="Arial" w:cs="Arial"/>
                          <w:noProof/>
                          <w:sz w:val="22"/>
                          <w:szCs w:val="22"/>
                          <w:lang w:val="sq-AL"/>
                        </w:rPr>
                      </w:pPr>
                      <w:bookmarkStart w:id="57" w:name="_Toc211532618"/>
                      <w:r w:rsidRPr="00860AF2">
                        <w:rPr>
                          <w:rFonts w:ascii="Arial" w:hAnsi="Arial" w:cs="Arial"/>
                        </w:rPr>
                        <w:t xml:space="preserve">Figura </w:t>
                      </w:r>
                      <w:r w:rsidR="0005579F" w:rsidRPr="00860AF2">
                        <w:rPr>
                          <w:rFonts w:ascii="Arial" w:hAnsi="Arial" w:cs="Arial"/>
                        </w:rPr>
                        <w:fldChar w:fldCharType="begin"/>
                      </w:r>
                      <w:r w:rsidR="0005579F" w:rsidRPr="00860AF2">
                        <w:rPr>
                          <w:rFonts w:ascii="Arial" w:hAnsi="Arial" w:cs="Arial"/>
                        </w:rPr>
                        <w:instrText xml:space="preserve"> SEQ Figura \* ARABIC </w:instrText>
                      </w:r>
                      <w:r w:rsidR="0005579F" w:rsidRPr="00860AF2">
                        <w:rPr>
                          <w:rFonts w:ascii="Arial" w:hAnsi="Arial" w:cs="Arial"/>
                        </w:rPr>
                        <w:fldChar w:fldCharType="separate"/>
                      </w:r>
                      <w:r w:rsidR="0005579F" w:rsidRPr="00860AF2">
                        <w:rPr>
                          <w:rFonts w:ascii="Arial" w:hAnsi="Arial" w:cs="Arial"/>
                          <w:noProof/>
                        </w:rPr>
                        <w:t>17</w:t>
                      </w:r>
                      <w:r w:rsidR="0005579F" w:rsidRPr="00860AF2">
                        <w:rPr>
                          <w:rFonts w:ascii="Arial" w:hAnsi="Arial" w:cs="Arial"/>
                          <w:noProof/>
                        </w:rPr>
                        <w:fldChar w:fldCharType="end"/>
                      </w:r>
                      <w:r w:rsidRPr="00860AF2">
                        <w:rPr>
                          <w:rFonts w:ascii="Arial" w:hAnsi="Arial" w:cs="Arial"/>
                        </w:rPr>
                        <w:t xml:space="preserve">.  Harta e </w:t>
                      </w:r>
                      <w:r w:rsidRPr="00860AF2">
                        <w:rPr>
                          <w:rFonts w:ascii="Arial" w:hAnsi="Arial" w:cs="Arial"/>
                        </w:rPr>
                        <w:t>popullsisë së prekur në skenarin e përmbytjeve sipas SCCB-së. Burimi: MMPHI, WBIF, IPF11.</w:t>
                      </w:r>
                      <w:bookmarkEnd w:id="57"/>
                    </w:p>
                  </w:txbxContent>
                </v:textbox>
                <w10:wrap type="square" anchorx="margin"/>
              </v:shape>
            </w:pict>
          </mc:Fallback>
        </mc:AlternateContent>
      </w:r>
      <w:r w:rsidRPr="00705B56">
        <w:rPr>
          <w:rFonts w:ascii="Arial" w:hAnsi="Arial" w:cs="Arial"/>
          <w:noProof/>
        </w:rPr>
        <w:drawing>
          <wp:anchor distT="0" distB="0" distL="114300" distR="114300" simplePos="0" relativeHeight="251835392" behindDoc="0" locked="0" layoutInCell="1" allowOverlap="1" wp14:anchorId="0D6C166D" wp14:editId="052CD1A6">
            <wp:simplePos x="0" y="0"/>
            <wp:positionH relativeFrom="margin">
              <wp:align>left</wp:align>
            </wp:positionH>
            <wp:positionV relativeFrom="margin">
              <wp:posOffset>5352415</wp:posOffset>
            </wp:positionV>
            <wp:extent cx="4404360" cy="3169920"/>
            <wp:effectExtent l="0" t="0" r="0" b="0"/>
            <wp:wrapSquare wrapText="bothSides"/>
            <wp:docPr id="1826192328" name="Picture 44"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92328" name="Picture 44" descr="A map of a country&#10;&#10;AI-generated content may be incorrect."/>
                    <pic:cNvPicPr/>
                  </pic:nvPicPr>
                  <pic:blipFill rotWithShape="1">
                    <a:blip r:embed="rId38" cstate="print">
                      <a:extLst>
                        <a:ext uri="{28A0092B-C50C-407E-A947-70E740481C1C}">
                          <a14:useLocalDpi xmlns:a14="http://schemas.microsoft.com/office/drawing/2010/main" val="0"/>
                        </a:ext>
                      </a:extLst>
                    </a:blip>
                    <a:srcRect l="6584" t="3492" r="2411" b="3894"/>
                    <a:stretch>
                      <a:fillRect/>
                    </a:stretch>
                  </pic:blipFill>
                  <pic:spPr bwMode="auto">
                    <a:xfrm>
                      <a:off x="0" y="0"/>
                      <a:ext cx="4404360" cy="316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3DEC" w:rsidRPr="00705B56">
        <w:rPr>
          <w:rFonts w:ascii="Arial" w:hAnsi="Arial" w:cs="Arial"/>
          <w:lang w:val="sq-AL"/>
        </w:rPr>
        <w:t>Harta e dytë paraqet skenarin e përmbytjeve SCCB, i cili përfaqëson një situatë me intensitet më të lartë dhe probabilitet më të ulët ndodhjeje, krahasuar me SCCA. Në këtë skenar, rritet ndjeshëm numri i personave të prekur dhe zgjerohen zonat me ndikim të lartë. Ngjyrat e kuqe të errëta dhe vjollcë dominojnë pjesën qendrore dhe veriore të vendit, duke treguar një rrezik të madh për popullatën dhe ekonominë lokale.</w:t>
      </w:r>
      <w:r w:rsidR="00462F17" w:rsidRPr="00705B56">
        <w:rPr>
          <w:rFonts w:ascii="Arial" w:hAnsi="Arial" w:cs="Arial"/>
          <w:lang w:val="sq-AL"/>
        </w:rPr>
        <w:t xml:space="preserve"> </w:t>
      </w:r>
      <w:r w:rsidR="002B3DEC" w:rsidRPr="00705B56">
        <w:rPr>
          <w:rFonts w:ascii="Arial" w:hAnsi="Arial" w:cs="Arial"/>
          <w:lang w:val="sq-AL"/>
        </w:rPr>
        <w:t>Rajonet më të prekura janë ato përgjatë bas</w:t>
      </w:r>
      <w:r w:rsidR="00462F17" w:rsidRPr="00705B56">
        <w:rPr>
          <w:rFonts w:ascii="Arial" w:hAnsi="Arial" w:cs="Arial"/>
          <w:lang w:val="sq-AL"/>
        </w:rPr>
        <w:t>i</w:t>
      </w:r>
      <w:r w:rsidR="002B3DEC" w:rsidRPr="00705B56">
        <w:rPr>
          <w:rFonts w:ascii="Arial" w:hAnsi="Arial" w:cs="Arial"/>
          <w:lang w:val="sq-AL"/>
        </w:rPr>
        <w:t>nit të lumit Sitnica, si dhe zonat e Mitrovicës, Skenderajt, Vushtrrisë, Ferizajt, Gjilanit dhe Podujevës. Këto përfshijnë qendra të mëdha banimi dhe industri të lehta, që i shton kostot ekonomike dhe rreziqet për shërbimet publike.</w:t>
      </w:r>
      <w:r w:rsidR="00462F17" w:rsidRPr="00705B56">
        <w:rPr>
          <w:rFonts w:ascii="Arial" w:hAnsi="Arial" w:cs="Arial"/>
          <w:lang w:val="sq-AL"/>
        </w:rPr>
        <w:t xml:space="preserve"> </w:t>
      </w:r>
      <w:r w:rsidR="002B3DEC" w:rsidRPr="00705B56">
        <w:rPr>
          <w:rFonts w:ascii="Arial" w:hAnsi="Arial" w:cs="Arial"/>
          <w:lang w:val="sq-AL"/>
        </w:rPr>
        <w:t>Në këtë skenar, ndikimi në popullatë është më i theksuar</w:t>
      </w:r>
      <w:r w:rsidR="00462F17" w:rsidRPr="00705B56">
        <w:rPr>
          <w:rFonts w:ascii="Arial" w:hAnsi="Arial" w:cs="Arial"/>
          <w:lang w:val="sq-AL"/>
        </w:rPr>
        <w:t xml:space="preserve">, </w:t>
      </w:r>
      <w:r w:rsidR="002B3DEC" w:rsidRPr="00705B56">
        <w:rPr>
          <w:rFonts w:ascii="Arial" w:hAnsi="Arial" w:cs="Arial"/>
          <w:lang w:val="sq-AL"/>
        </w:rPr>
        <w:t xml:space="preserve">dhjetëra mijëra banorë parashikohen të preken nga përmbytjet, përfshirë dëmtim të pronës, zhvendosje të përkohshme </w:t>
      </w:r>
      <w:r w:rsidR="002B3DEC" w:rsidRPr="00705B56">
        <w:rPr>
          <w:rFonts w:ascii="Arial" w:hAnsi="Arial" w:cs="Arial"/>
          <w:lang w:val="sq-AL"/>
        </w:rPr>
        <w:lastRenderedPageBreak/>
        <w:t>dhe ndërprerje të shërbimeve bazike. Kjo e rrit nevojën për mekanizma reagimi emergjent dhe përforcim të strukturave lokale për menaxhimin e fatkeqësive.</w:t>
      </w:r>
    </w:p>
    <w:p w14:paraId="4F9002A0" w14:textId="645698DF" w:rsidR="0005579F" w:rsidRPr="00705B56" w:rsidRDefault="00462F17" w:rsidP="002B3DEC">
      <w:pPr>
        <w:jc w:val="both"/>
        <w:rPr>
          <w:rFonts w:ascii="Arial" w:hAnsi="Arial" w:cs="Arial"/>
          <w:lang w:val="sq-AL"/>
        </w:rPr>
      </w:pPr>
      <w:r w:rsidRPr="00705B56">
        <w:rPr>
          <w:rFonts w:ascii="Arial" w:hAnsi="Arial" w:cs="Arial"/>
          <w:lang w:val="sq-AL"/>
        </w:rPr>
        <w:t>Në terma krahasues, SCCA përfaqëson një përmbytje me rrezik të moderuar që mund të ndodhë më shpesh, ndërsa SCCB tregon një skenar më ekstrem me ndikime të thella sociale dhe ekonomike.</w:t>
      </w:r>
    </w:p>
    <w:p w14:paraId="44FC1B26" w14:textId="11F3F14D" w:rsidR="00814E5D" w:rsidRPr="00705B56" w:rsidRDefault="00814E5D" w:rsidP="00814E5D">
      <w:pPr>
        <w:jc w:val="both"/>
        <w:rPr>
          <w:rFonts w:ascii="Arial" w:hAnsi="Arial" w:cs="Arial"/>
          <w:b/>
          <w:bCs/>
          <w:lang w:val="sq-AL"/>
        </w:rPr>
      </w:pPr>
      <w:r w:rsidRPr="00705B56">
        <w:rPr>
          <w:rFonts w:ascii="Arial" w:hAnsi="Arial" w:cs="Arial"/>
          <w:b/>
          <w:bCs/>
          <w:lang w:val="sq-AL"/>
        </w:rPr>
        <w:t>Skenari SCCA: Vlera Ekonomike e Dëmeve nga Përmbytjet</w:t>
      </w:r>
    </w:p>
    <w:p w14:paraId="50C2A479" w14:textId="53CD4CE3" w:rsidR="00814E5D" w:rsidRPr="00705B56" w:rsidRDefault="002F3FBC" w:rsidP="00814E5D">
      <w:pPr>
        <w:jc w:val="both"/>
        <w:rPr>
          <w:rFonts w:ascii="Arial" w:hAnsi="Arial" w:cs="Arial"/>
          <w:lang w:val="sq-AL"/>
        </w:rPr>
      </w:pPr>
      <w:r w:rsidRPr="00705B56">
        <w:rPr>
          <w:rFonts w:ascii="Arial" w:hAnsi="Arial" w:cs="Arial"/>
          <w:noProof/>
        </w:rPr>
        <mc:AlternateContent>
          <mc:Choice Requires="wps">
            <w:drawing>
              <wp:anchor distT="0" distB="0" distL="114300" distR="114300" simplePos="0" relativeHeight="251849728" behindDoc="0" locked="0" layoutInCell="1" allowOverlap="1" wp14:anchorId="1E2311D8" wp14:editId="000F37BC">
                <wp:simplePos x="0" y="0"/>
                <wp:positionH relativeFrom="margin">
                  <wp:align>left</wp:align>
                </wp:positionH>
                <wp:positionV relativeFrom="paragraph">
                  <wp:posOffset>861060</wp:posOffset>
                </wp:positionV>
                <wp:extent cx="4413250" cy="266700"/>
                <wp:effectExtent l="0" t="0" r="6350" b="0"/>
                <wp:wrapSquare wrapText="bothSides"/>
                <wp:docPr id="62619855" name="Text Box 1"/>
                <wp:cNvGraphicFramePr/>
                <a:graphic xmlns:a="http://schemas.openxmlformats.org/drawingml/2006/main">
                  <a:graphicData uri="http://schemas.microsoft.com/office/word/2010/wordprocessingShape">
                    <wps:wsp>
                      <wps:cNvSpPr txBox="1"/>
                      <wps:spPr>
                        <a:xfrm>
                          <a:off x="0" y="0"/>
                          <a:ext cx="4413250" cy="266700"/>
                        </a:xfrm>
                        <a:prstGeom prst="rect">
                          <a:avLst/>
                        </a:prstGeom>
                        <a:solidFill>
                          <a:prstClr val="white"/>
                        </a:solidFill>
                        <a:ln>
                          <a:noFill/>
                        </a:ln>
                      </wps:spPr>
                      <wps:txbx>
                        <w:txbxContent>
                          <w:p w14:paraId="54F13861" w14:textId="71EE4F8B" w:rsidR="0005579F" w:rsidRPr="002F3FBC" w:rsidRDefault="0005579F" w:rsidP="0005579F">
                            <w:pPr>
                              <w:pStyle w:val="Caption"/>
                              <w:rPr>
                                <w:rFonts w:ascii="Arial" w:hAnsi="Arial" w:cs="Arial"/>
                                <w:noProof/>
                                <w:sz w:val="22"/>
                                <w:szCs w:val="22"/>
                                <w:lang w:val="sq-AL"/>
                              </w:rPr>
                            </w:pPr>
                            <w:bookmarkStart w:id="49" w:name="_Toc211532619"/>
                            <w:r w:rsidRPr="002F3FBC">
                              <w:rPr>
                                <w:rFonts w:ascii="Arial" w:hAnsi="Arial" w:cs="Arial"/>
                              </w:rPr>
                              <w:t xml:space="preserve">Figura </w:t>
                            </w:r>
                            <w:r w:rsidRPr="002F3FBC">
                              <w:rPr>
                                <w:rFonts w:ascii="Arial" w:hAnsi="Arial" w:cs="Arial"/>
                              </w:rPr>
                              <w:fldChar w:fldCharType="begin"/>
                            </w:r>
                            <w:r w:rsidRPr="002F3FBC">
                              <w:rPr>
                                <w:rFonts w:ascii="Arial" w:hAnsi="Arial" w:cs="Arial"/>
                              </w:rPr>
                              <w:instrText xml:space="preserve"> SEQ Figura \* ARABIC </w:instrText>
                            </w:r>
                            <w:r w:rsidRPr="002F3FBC">
                              <w:rPr>
                                <w:rFonts w:ascii="Arial" w:hAnsi="Arial" w:cs="Arial"/>
                              </w:rPr>
                              <w:fldChar w:fldCharType="separate"/>
                            </w:r>
                            <w:r w:rsidRPr="002F3FBC">
                              <w:rPr>
                                <w:rFonts w:ascii="Arial" w:hAnsi="Arial" w:cs="Arial"/>
                                <w:noProof/>
                              </w:rPr>
                              <w:t>18</w:t>
                            </w:r>
                            <w:r w:rsidRPr="002F3FBC">
                              <w:rPr>
                                <w:rFonts w:ascii="Arial" w:hAnsi="Arial" w:cs="Arial"/>
                                <w:noProof/>
                              </w:rPr>
                              <w:fldChar w:fldCharType="end"/>
                            </w:r>
                            <w:r w:rsidRPr="002F3FBC">
                              <w:rPr>
                                <w:rFonts w:ascii="Arial" w:hAnsi="Arial" w:cs="Arial"/>
                              </w:rPr>
                              <w:t>. Harta e vlerës ekonomike të dëmeve (në euro) në skenarin e përmbytjeve sipas SCCA-së. Burimi: MMPHI, WBIF, IPF11.</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2311D8" id="_x0000_s1040" type="#_x0000_t202" style="position:absolute;left:0;text-align:left;margin-left:0;margin-top:67.8pt;width:347.5pt;height:21pt;z-index:251849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" stroked="f">
                <v:textbox inset="0,0,0,0">
                  <w:txbxContent>
                    <w:p w14:paraId="54F13861" w14:textId="71EE4F8B" w:rsidR="0005579F" w:rsidRPr="002F3FBC" w:rsidRDefault="0005579F" w:rsidP="0005579F">
                      <w:pPr>
                        <w:pStyle w:val="Caption"/>
                        <w:rPr>
                          <w:rFonts w:ascii="Arial" w:hAnsi="Arial" w:cs="Arial"/>
                          <w:noProof/>
                          <w:sz w:val="22"/>
                          <w:szCs w:val="22"/>
                          <w:lang w:val="sq-AL"/>
                        </w:rPr>
                      </w:pPr>
                      <w:bookmarkStart w:id="59" w:name="_Toc211532619"/>
                      <w:r w:rsidRPr="002F3FBC">
                        <w:rPr>
                          <w:rFonts w:ascii="Arial" w:hAnsi="Arial" w:cs="Arial"/>
                        </w:rPr>
                        <w:t xml:space="preserve">Figura </w:t>
                      </w:r>
                      <w:r w:rsidRPr="002F3FBC">
                        <w:rPr>
                          <w:rFonts w:ascii="Arial" w:hAnsi="Arial" w:cs="Arial"/>
                        </w:rPr>
                        <w:fldChar w:fldCharType="begin"/>
                      </w:r>
                      <w:r w:rsidRPr="002F3FBC">
                        <w:rPr>
                          <w:rFonts w:ascii="Arial" w:hAnsi="Arial" w:cs="Arial"/>
                        </w:rPr>
                        <w:instrText xml:space="preserve"> SEQ Figura \* ARABIC </w:instrText>
                      </w:r>
                      <w:r w:rsidRPr="002F3FBC">
                        <w:rPr>
                          <w:rFonts w:ascii="Arial" w:hAnsi="Arial" w:cs="Arial"/>
                        </w:rPr>
                        <w:fldChar w:fldCharType="separate"/>
                      </w:r>
                      <w:r w:rsidRPr="002F3FBC">
                        <w:rPr>
                          <w:rFonts w:ascii="Arial" w:hAnsi="Arial" w:cs="Arial"/>
                          <w:noProof/>
                        </w:rPr>
                        <w:t>18</w:t>
                      </w:r>
                      <w:r w:rsidRPr="002F3FBC">
                        <w:rPr>
                          <w:rFonts w:ascii="Arial" w:hAnsi="Arial" w:cs="Arial"/>
                          <w:noProof/>
                        </w:rPr>
                        <w:fldChar w:fldCharType="end"/>
                      </w:r>
                      <w:r w:rsidRPr="002F3FBC">
                        <w:rPr>
                          <w:rFonts w:ascii="Arial" w:hAnsi="Arial" w:cs="Arial"/>
                        </w:rPr>
                        <w:t xml:space="preserve">. Harta e </w:t>
                      </w:r>
                      <w:r w:rsidRPr="002F3FBC">
                        <w:rPr>
                          <w:rFonts w:ascii="Arial" w:hAnsi="Arial" w:cs="Arial"/>
                        </w:rPr>
                        <w:t>vlerës ekonomike të dëmeve (në euro) në skenarin e përmbytjeve sipas SCCA-së. Burimi: MMPHI, WBIF, IPF11.</w:t>
                      </w:r>
                      <w:bookmarkEnd w:id="59"/>
                    </w:p>
                  </w:txbxContent>
                </v:textbox>
                <w10:wrap type="square" anchorx="margin"/>
              </v:shape>
            </w:pict>
          </mc:Fallback>
        </mc:AlternateContent>
      </w:r>
      <w:r w:rsidR="00814E5D" w:rsidRPr="00705B56">
        <w:rPr>
          <w:rFonts w:ascii="Arial" w:hAnsi="Arial" w:cs="Arial"/>
          <w:lang w:val="sq-AL"/>
        </w:rPr>
        <w:t>Kjo figurë ilustron vlerën ekonomike të dëmeve (në euro) të shkaktuara nga përmbytjet sipas skenarit SCCA në të gjithë territorin e Kosovës. Ngjyrat në hartë variojnë nga blu e hapur (dëme të ulëta) deri te vjollca e errët (dëme shumë të larta), duke treguar shpërndarjen gjeografike të ndikimit ekonomik në nivel komunal dhe të nën-baseneve lumore. Zonat më të prekura ekonomikisht ndodhen kryesisht në pjesën qendrore dhe verilindore të vendit, përfshirë Mitrovicën, Vushtrrinë, Podujevën dhe Gjilanin, ku koncentrimi i popullsisë, bizneseve dhe infrastrukturës publike është më i lartë. Në këto rajone, përmbytjet shkaktojnë dëme në ndërtesa banimi, rrugë lokale, objekte industriale dhe tokë bujqësore. Në aspektin ekonomik, humbjet përfshijnë dëmtime të pasurive private dhe publike, ulje të produktivitetit në bujqësi, si dhe kosto shtesë për riparimin e infrastrukturës. Vlerat ekonomike të dëmeve në këtë skenar variojnë kryesisht nga 54 mijë deri në rreth 500 milionë euro, me zonat më të errëta që tregojnë humbje të konsiderueshme në rajonet me aktivitete të përqendruara ekonomike.</w:t>
      </w:r>
    </w:p>
    <w:p w14:paraId="7CFF8206" w14:textId="7B02230B" w:rsidR="00814E5D" w:rsidRPr="00705B56" w:rsidRDefault="002F3FBC" w:rsidP="00814E5D">
      <w:pPr>
        <w:jc w:val="both"/>
        <w:rPr>
          <w:rFonts w:ascii="Arial" w:hAnsi="Arial" w:cs="Arial"/>
          <w:b/>
          <w:bCs/>
          <w:lang w:val="sq-AL"/>
        </w:rPr>
      </w:pPr>
      <w:r w:rsidRPr="00705B56">
        <w:rPr>
          <w:rFonts w:ascii="Arial" w:hAnsi="Arial" w:cs="Arial"/>
          <w:noProof/>
        </w:rPr>
        <w:drawing>
          <wp:anchor distT="0" distB="0" distL="114300" distR="114300" simplePos="0" relativeHeight="251838464" behindDoc="0" locked="0" layoutInCell="1" allowOverlap="1" wp14:anchorId="66E65EA0" wp14:editId="1C076059">
            <wp:simplePos x="0" y="0"/>
            <wp:positionH relativeFrom="margin">
              <wp:align>left</wp:align>
            </wp:positionH>
            <wp:positionV relativeFrom="margin">
              <wp:posOffset>6038850</wp:posOffset>
            </wp:positionV>
            <wp:extent cx="4413250" cy="3172460"/>
            <wp:effectExtent l="0" t="0" r="6350" b="8890"/>
            <wp:wrapSquare wrapText="bothSides"/>
            <wp:docPr id="616386193" name="Picture 47"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86193" name="Picture 47" descr="A map of a country&#10;&#10;AI-generated content may be incorrect."/>
                    <pic:cNvPicPr/>
                  </pic:nvPicPr>
                  <pic:blipFill rotWithShape="1">
                    <a:blip r:embed="rId39" cstate="print">
                      <a:extLst>
                        <a:ext uri="{28A0092B-C50C-407E-A947-70E740481C1C}">
                          <a14:useLocalDpi xmlns:a14="http://schemas.microsoft.com/office/drawing/2010/main" val="0"/>
                        </a:ext>
                      </a:extLst>
                    </a:blip>
                    <a:srcRect l="6820" t="3658" r="2410" b="4060"/>
                    <a:stretch>
                      <a:fillRect/>
                    </a:stretch>
                  </pic:blipFill>
                  <pic:spPr bwMode="auto">
                    <a:xfrm>
                      <a:off x="0" y="0"/>
                      <a:ext cx="4413250" cy="3172460"/>
                    </a:xfrm>
                    <a:prstGeom prst="rect">
                      <a:avLst/>
                    </a:prstGeom>
                    <a:ln>
                      <a:noFill/>
                    </a:ln>
                    <a:extLst>
                      <a:ext uri="{53640926-AAD7-44D8-BBD7-CCE9431645EC}">
                        <a14:shadowObscured xmlns:a14="http://schemas.microsoft.com/office/drawing/2010/main"/>
                      </a:ext>
                    </a:extLst>
                  </pic:spPr>
                </pic:pic>
              </a:graphicData>
            </a:graphic>
          </wp:anchor>
        </w:drawing>
      </w:r>
      <w:r w:rsidR="00814E5D" w:rsidRPr="00705B56">
        <w:rPr>
          <w:rFonts w:ascii="Arial" w:hAnsi="Arial" w:cs="Arial"/>
          <w:b/>
          <w:bCs/>
          <w:lang w:val="sq-AL"/>
        </w:rPr>
        <w:t>Skenari SCCB</w:t>
      </w:r>
      <w:r w:rsidR="0005579F" w:rsidRPr="00705B56">
        <w:rPr>
          <w:rFonts w:ascii="Arial" w:hAnsi="Arial" w:cs="Arial"/>
          <w:b/>
          <w:bCs/>
          <w:lang w:val="sq-AL"/>
        </w:rPr>
        <w:t xml:space="preserve">: </w:t>
      </w:r>
      <w:r w:rsidR="00814E5D" w:rsidRPr="00705B56">
        <w:rPr>
          <w:rFonts w:ascii="Arial" w:hAnsi="Arial" w:cs="Arial"/>
          <w:b/>
          <w:bCs/>
          <w:lang w:val="sq-AL"/>
        </w:rPr>
        <w:t>Vlera Ekonomike e Dëmeve nga Përmbytjet</w:t>
      </w:r>
    </w:p>
    <w:p w14:paraId="33C4CB88" w14:textId="5A43EDAE" w:rsidR="00462F17" w:rsidRPr="00705B56" w:rsidRDefault="005A005C" w:rsidP="002B3DEC">
      <w:pPr>
        <w:jc w:val="both"/>
        <w:rPr>
          <w:rFonts w:ascii="Arial" w:hAnsi="Arial" w:cs="Arial"/>
          <w:lang w:val="sq-AL"/>
        </w:rPr>
      </w:pPr>
      <w:r w:rsidRPr="00705B56">
        <w:rPr>
          <w:rFonts w:ascii="Arial" w:hAnsi="Arial" w:cs="Arial"/>
          <w:noProof/>
        </w:rPr>
        <w:drawing>
          <wp:anchor distT="0" distB="0" distL="114300" distR="114300" simplePos="0" relativeHeight="251837440" behindDoc="0" locked="0" layoutInCell="1" allowOverlap="1" wp14:anchorId="2F17889C" wp14:editId="060BCB3A">
            <wp:simplePos x="0" y="0"/>
            <wp:positionH relativeFrom="margin">
              <wp:align>left</wp:align>
            </wp:positionH>
            <wp:positionV relativeFrom="margin">
              <wp:posOffset>304800</wp:posOffset>
            </wp:positionV>
            <wp:extent cx="4389755" cy="3172460"/>
            <wp:effectExtent l="0" t="0" r="0" b="8890"/>
            <wp:wrapSquare wrapText="bothSides"/>
            <wp:docPr id="1565784193" name="Picture 46"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84193" name="Picture 46" descr="A map of a country&#10;&#10;AI-generated content may be incorrect."/>
                    <pic:cNvPicPr/>
                  </pic:nvPicPr>
                  <pic:blipFill rotWithShape="1">
                    <a:blip r:embed="rId40" cstate="print">
                      <a:extLst>
                        <a:ext uri="{28A0092B-C50C-407E-A947-70E740481C1C}">
                          <a14:useLocalDpi xmlns:a14="http://schemas.microsoft.com/office/drawing/2010/main" val="0"/>
                        </a:ext>
                      </a:extLst>
                    </a:blip>
                    <a:srcRect l="6820" t="3492" r="2410" b="3727"/>
                    <a:stretch>
                      <a:fillRect/>
                    </a:stretch>
                  </pic:blipFill>
                  <pic:spPr bwMode="auto">
                    <a:xfrm>
                      <a:off x="0" y="0"/>
                      <a:ext cx="4389755" cy="3172460"/>
                    </a:xfrm>
                    <a:prstGeom prst="rect">
                      <a:avLst/>
                    </a:prstGeom>
                    <a:ln>
                      <a:noFill/>
                    </a:ln>
                    <a:extLst>
                      <a:ext uri="{53640926-AAD7-44D8-BBD7-CCE9431645EC}">
                        <a14:shadowObscured xmlns:a14="http://schemas.microsoft.com/office/drawing/2010/main"/>
                      </a:ext>
                    </a:extLst>
                  </pic:spPr>
                </pic:pic>
              </a:graphicData>
            </a:graphic>
          </wp:anchor>
        </w:drawing>
      </w:r>
      <w:r w:rsidR="0005579F" w:rsidRPr="00705B56">
        <w:rPr>
          <w:rFonts w:ascii="Arial" w:hAnsi="Arial" w:cs="Arial"/>
          <w:noProof/>
        </w:rPr>
        <mc:AlternateContent>
          <mc:Choice Requires="wps">
            <w:drawing>
              <wp:anchor distT="0" distB="0" distL="114300" distR="114300" simplePos="0" relativeHeight="251851776" behindDoc="0" locked="0" layoutInCell="1" allowOverlap="1" wp14:anchorId="78670693" wp14:editId="7EBDFF21">
                <wp:simplePos x="0" y="0"/>
                <wp:positionH relativeFrom="margin">
                  <wp:align>left</wp:align>
                </wp:positionH>
                <wp:positionV relativeFrom="paragraph">
                  <wp:posOffset>3237865</wp:posOffset>
                </wp:positionV>
                <wp:extent cx="4389755" cy="281940"/>
                <wp:effectExtent l="0" t="0" r="0" b="3810"/>
                <wp:wrapSquare wrapText="bothSides"/>
                <wp:docPr id="926468114" name="Text Box 1"/>
                <wp:cNvGraphicFramePr/>
                <a:graphic xmlns:a="http://schemas.openxmlformats.org/drawingml/2006/main">
                  <a:graphicData uri="http://schemas.microsoft.com/office/word/2010/wordprocessingShape">
                    <wps:wsp>
                      <wps:cNvSpPr txBox="1"/>
                      <wps:spPr>
                        <a:xfrm>
                          <a:off x="0" y="0"/>
                          <a:ext cx="4389755" cy="281940"/>
                        </a:xfrm>
                        <a:prstGeom prst="rect">
                          <a:avLst/>
                        </a:prstGeom>
                        <a:solidFill>
                          <a:prstClr val="white"/>
                        </a:solidFill>
                        <a:ln>
                          <a:noFill/>
                        </a:ln>
                      </wps:spPr>
                      <wps:txbx>
                        <w:txbxContent>
                          <w:p w14:paraId="545464B1" w14:textId="4B0AC5FA" w:rsidR="0005579F" w:rsidRPr="009478EC" w:rsidRDefault="0005579F" w:rsidP="0005579F">
                            <w:pPr>
                              <w:pStyle w:val="Caption"/>
                              <w:rPr>
                                <w:rFonts w:ascii="Arial" w:hAnsi="Arial" w:cs="Arial"/>
                                <w:noProof/>
                                <w:sz w:val="22"/>
                                <w:szCs w:val="22"/>
                                <w:lang w:val="sq-AL"/>
                              </w:rPr>
                            </w:pPr>
                            <w:bookmarkStart w:id="50" w:name="_Toc211532620"/>
                            <w:r w:rsidRPr="009478EC">
                              <w:rPr>
                                <w:rFonts w:ascii="Arial" w:hAnsi="Arial" w:cs="Arial"/>
                              </w:rPr>
                              <w:t xml:space="preserve">Figura </w:t>
                            </w:r>
                            <w:r w:rsidRPr="009478EC">
                              <w:rPr>
                                <w:rFonts w:ascii="Arial" w:hAnsi="Arial" w:cs="Arial"/>
                              </w:rPr>
                              <w:fldChar w:fldCharType="begin"/>
                            </w:r>
                            <w:r w:rsidRPr="009478EC">
                              <w:rPr>
                                <w:rFonts w:ascii="Arial" w:hAnsi="Arial" w:cs="Arial"/>
                              </w:rPr>
                              <w:instrText xml:space="preserve"> SEQ Figura \* ARABIC </w:instrText>
                            </w:r>
                            <w:r w:rsidRPr="009478EC">
                              <w:rPr>
                                <w:rFonts w:ascii="Arial" w:hAnsi="Arial" w:cs="Arial"/>
                              </w:rPr>
                              <w:fldChar w:fldCharType="separate"/>
                            </w:r>
                            <w:r w:rsidRPr="009478EC">
                              <w:rPr>
                                <w:rFonts w:ascii="Arial" w:hAnsi="Arial" w:cs="Arial"/>
                                <w:noProof/>
                              </w:rPr>
                              <w:t>19</w:t>
                            </w:r>
                            <w:r w:rsidRPr="009478EC">
                              <w:rPr>
                                <w:rFonts w:ascii="Arial" w:hAnsi="Arial" w:cs="Arial"/>
                                <w:noProof/>
                              </w:rPr>
                              <w:fldChar w:fldCharType="end"/>
                            </w:r>
                            <w:r w:rsidRPr="009478EC">
                              <w:rPr>
                                <w:rFonts w:ascii="Arial" w:hAnsi="Arial" w:cs="Arial"/>
                              </w:rPr>
                              <w:t>. Harta e vlerës ekonomike të dëmeve (në euro) në skenarin e përmbytjeve sipas SCCB-së. Burimi: MMPHI, WBIF, IPF11.</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670693" id="_x0000_s1041" type="#_x0000_t202" style="position:absolute;left:0;text-align:left;margin-left:0;margin-top:254.95pt;width:345.65pt;height:22.2pt;z-index:251851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" stroked="f">
                <v:textbox inset="0,0,0,0">
                  <w:txbxContent>
                    <w:p w14:paraId="545464B1" w14:textId="4B0AC5FA" w:rsidR="0005579F" w:rsidRPr="009478EC" w:rsidRDefault="0005579F" w:rsidP="0005579F">
                      <w:pPr>
                        <w:pStyle w:val="Caption"/>
                        <w:rPr>
                          <w:rFonts w:ascii="Arial" w:hAnsi="Arial" w:cs="Arial"/>
                          <w:noProof/>
                          <w:sz w:val="22"/>
                          <w:szCs w:val="22"/>
                          <w:lang w:val="sq-AL"/>
                        </w:rPr>
                      </w:pPr>
                      <w:bookmarkStart w:id="61" w:name="_Toc211532620"/>
                      <w:r w:rsidRPr="009478EC">
                        <w:rPr>
                          <w:rFonts w:ascii="Arial" w:hAnsi="Arial" w:cs="Arial"/>
                        </w:rPr>
                        <w:t xml:space="preserve">Figura </w:t>
                      </w:r>
                      <w:r w:rsidRPr="009478EC">
                        <w:rPr>
                          <w:rFonts w:ascii="Arial" w:hAnsi="Arial" w:cs="Arial"/>
                        </w:rPr>
                        <w:fldChar w:fldCharType="begin"/>
                      </w:r>
                      <w:r w:rsidRPr="009478EC">
                        <w:rPr>
                          <w:rFonts w:ascii="Arial" w:hAnsi="Arial" w:cs="Arial"/>
                        </w:rPr>
                        <w:instrText xml:space="preserve"> SEQ Figura \* ARABIC </w:instrText>
                      </w:r>
                      <w:r w:rsidRPr="009478EC">
                        <w:rPr>
                          <w:rFonts w:ascii="Arial" w:hAnsi="Arial" w:cs="Arial"/>
                        </w:rPr>
                        <w:fldChar w:fldCharType="separate"/>
                      </w:r>
                      <w:r w:rsidRPr="009478EC">
                        <w:rPr>
                          <w:rFonts w:ascii="Arial" w:hAnsi="Arial" w:cs="Arial"/>
                          <w:noProof/>
                        </w:rPr>
                        <w:t>19</w:t>
                      </w:r>
                      <w:r w:rsidRPr="009478EC">
                        <w:rPr>
                          <w:rFonts w:ascii="Arial" w:hAnsi="Arial" w:cs="Arial"/>
                          <w:noProof/>
                        </w:rPr>
                        <w:fldChar w:fldCharType="end"/>
                      </w:r>
                      <w:r w:rsidRPr="009478EC">
                        <w:rPr>
                          <w:rFonts w:ascii="Arial" w:hAnsi="Arial" w:cs="Arial"/>
                        </w:rPr>
                        <w:t xml:space="preserve">. Harta e </w:t>
                      </w:r>
                      <w:r w:rsidRPr="009478EC">
                        <w:rPr>
                          <w:rFonts w:ascii="Arial" w:hAnsi="Arial" w:cs="Arial"/>
                        </w:rPr>
                        <w:t>vlerës ekonomike të dëmeve (në euro) në skenarin e përmbytjeve sipas SCCB-së. Burimi: MMPHI, WBIF, IPF11.</w:t>
                      </w:r>
                      <w:bookmarkEnd w:id="61"/>
                    </w:p>
                  </w:txbxContent>
                </v:textbox>
                <w10:wrap type="square" anchorx="margin"/>
              </v:shape>
            </w:pict>
          </mc:Fallback>
        </mc:AlternateContent>
      </w:r>
      <w:r w:rsidR="00814E5D" w:rsidRPr="00705B56">
        <w:rPr>
          <w:rFonts w:ascii="Arial" w:hAnsi="Arial" w:cs="Arial"/>
          <w:lang w:val="sq-AL"/>
        </w:rPr>
        <w:t xml:space="preserve">Në këtë figurë është paraqitur skenarin SCCB, i cili përfaqëson një përmbytje me intensitet më të lartë dhe ndikim shumë më të madh ekonomik. Ky skenar simolon një ngjarje ekstreme që ndodh me probabilitet më të ulët, por me dëme shumë më të mëdha financiare dhe materiale. Ngjyrat e vjollcës së thellë dhe blu e errët dominojnë hartën, duke treguar zona me humbje të mëdha ekonomike. Rajonet më të goditura përfshijnë pjesën qendrore dhe verilindore të Kosovës (Mitrovicë, Vushtrri, Skenderaj, Podujevë, dhe </w:t>
      </w:r>
      <w:r w:rsidR="00814E5D" w:rsidRPr="00705B56">
        <w:rPr>
          <w:rFonts w:ascii="Arial" w:hAnsi="Arial" w:cs="Arial"/>
          <w:lang w:val="sq-AL"/>
        </w:rPr>
        <w:lastRenderedPageBreak/>
        <w:t>pjesërisht Gjilan), si dhe disa pjesë të jugut dhe perëndimit (Ferizaj, Rahovec, Suharekë). Në këto zona, përmbytjet prekin zonat urbane, zonat industriale dhe tokat bujqësore, duke shkaktuar dëmtime të konsiderueshme në ndërtesa, rrjete elektrike, ura dhe infrastrukturë rrugore. Nga aspekti ekonomik, ky skenar tregon humbje që arrijnë në qindra milionë deri në mbi 2 miliardë euro në total, sipas shkallës së dëmeve të modeluara.</w:t>
      </w:r>
    </w:p>
    <w:p w14:paraId="38097D67" w14:textId="5B6723CF" w:rsidR="006B1742" w:rsidRPr="00705B56" w:rsidRDefault="006B1742" w:rsidP="002B3DEC">
      <w:pPr>
        <w:jc w:val="both"/>
        <w:rPr>
          <w:rFonts w:ascii="Arial" w:hAnsi="Arial" w:cs="Arial"/>
          <w:lang w:val="sq-AL"/>
        </w:rPr>
      </w:pPr>
      <w:r w:rsidRPr="00705B56">
        <w:rPr>
          <w:rFonts w:ascii="Arial" w:hAnsi="Arial" w:cs="Arial"/>
          <w:lang w:val="sq-AL"/>
        </w:rPr>
        <w:t>Krahasimi midis skenarëve SCCA dhe SCCB tregon një rritje të ndjeshme të kostove ekonomike dhe ndikimit në popullatë me rritjen e intensitetit të përmbytjeve. Ndërsa SCCA përfaqëson një ngjarje të përsëritur me humbje të menaxhueshme, SCCB tregon një skenar katastrofik që do të kërkonte mobilizim të gjerë të burimeve shtetërore dhe ndërkombëtare për rikuperim.</w:t>
      </w:r>
    </w:p>
    <w:p w14:paraId="12698113" w14:textId="56A682D8" w:rsidR="001D4FA1" w:rsidRPr="00705B56" w:rsidRDefault="00EF6CCF" w:rsidP="008E17FD">
      <w:pPr>
        <w:pStyle w:val="Heading3"/>
        <w:rPr>
          <w:rFonts w:ascii="Arial" w:hAnsi="Arial" w:cs="Arial"/>
          <w:lang w:val="sq-AL"/>
        </w:rPr>
      </w:pPr>
      <w:bookmarkStart w:id="51" w:name="_Toc211532695"/>
      <w:r w:rsidRPr="00705B56">
        <w:rPr>
          <w:rFonts w:ascii="Arial" w:hAnsi="Arial" w:cs="Arial"/>
          <w:lang w:val="sq-AL"/>
        </w:rPr>
        <w:t>Ngjarjet e motit ekstrem</w:t>
      </w:r>
      <w:bookmarkEnd w:id="51"/>
    </w:p>
    <w:p w14:paraId="5EF05124" w14:textId="1E2C9332" w:rsidR="00936765" w:rsidRPr="00705B56" w:rsidRDefault="00936765" w:rsidP="001D4FA1">
      <w:pPr>
        <w:spacing w:before="100" w:beforeAutospacing="1" w:after="100" w:afterAutospacing="1" w:line="240" w:lineRule="auto"/>
        <w:jc w:val="both"/>
        <w:rPr>
          <w:rFonts w:ascii="Arial" w:hAnsi="Arial" w:cs="Arial"/>
          <w:lang w:val="sq-AL"/>
        </w:rPr>
      </w:pPr>
      <w:r w:rsidRPr="00705B56">
        <w:rPr>
          <w:rFonts w:ascii="Arial" w:hAnsi="Arial" w:cs="Arial"/>
          <w:lang w:val="sq-AL"/>
        </w:rPr>
        <w:t xml:space="preserve">Kosova ka parë një rritje të ngjarjeve ekstreme të motit në dekadat e fundit, në përputhje me modelet më të gjera të ndryshueshmërisë së klimës. </w:t>
      </w:r>
    </w:p>
    <w:p w14:paraId="464B054D" w14:textId="30AC9E9F" w:rsidR="00936765" w:rsidRPr="00705B56" w:rsidRDefault="00936765" w:rsidP="001D4FA1">
      <w:pPr>
        <w:spacing w:before="100" w:beforeAutospacing="1" w:after="100" w:afterAutospacing="1" w:line="240" w:lineRule="auto"/>
        <w:jc w:val="both"/>
        <w:rPr>
          <w:rFonts w:ascii="Arial" w:hAnsi="Arial" w:cs="Arial"/>
          <w:lang w:val="sq-AL"/>
        </w:rPr>
      </w:pPr>
      <w:r w:rsidRPr="00705B56">
        <w:rPr>
          <w:rFonts w:ascii="Arial" w:hAnsi="Arial" w:cs="Arial"/>
          <w:lang w:val="sq-AL"/>
        </w:rPr>
        <w:t xml:space="preserve">Përmbytjet janë bërë një nga rreziqet më të përsëritura dhe dëmtuese. Vendi preket si nga përmbytjet e lumenjve (fluviale) ashtu edhe nga përmbytjet e menjëhershme të shkaktuara nga reshjet intensive të shiut. Zonat malore, veçanërisht në pellgje ujëmbledhës si pellgu i Drinit të Bardhë (Drini i Bardhë), përjetojnë përmbytje të menjëhershme mesatarisht çdo 2-3 vjet. Ngjarje të mëdha përmbytjesh u regjistruan në vitet 2013, 2014 dhe 2016, secila duke shkaktuar dëme të përhapura - në total mbi 4 milionë euro humbje. Trendi vazhdoi në vitet 2020: në janar 2023, përmbytje të rënda goditën disa komuna (Skenderaj, Mitrovica, Istog, Klinë, ndër të tjera), duke përmbytur qytete dhe duke detyruar evakuime. Vetëm në Skenderaj, përmbytjet e janarit 2023 dëmtuan rreth 300 shtëpi dhe shkaktuan një dëm prej rreth 12 milionë eurosh. Tragjikisht, egërsia në rritje e përmbytjeve u theksua në qershor të vitit 2023, kur stuhitë intensive çuan në përmbytje të menjëhershme në Pejë - një grua dhe fëmija i saj i vogël u rrëmbyen dhe u vranë në ujërat e përmbytjes. Këto incidente ilustrojnë se si reshjet e dendura të shiut që tejkalojnë kapacitetin e infrastrukturës po i zënë në befasi komunitetet. </w:t>
      </w:r>
    </w:p>
    <w:p w14:paraId="6C0CBE27" w14:textId="4F86F209" w:rsidR="00936765" w:rsidRPr="00705B56" w:rsidRDefault="00936765" w:rsidP="00936765">
      <w:pPr>
        <w:spacing w:before="100" w:beforeAutospacing="1" w:after="100" w:afterAutospacing="1" w:line="240" w:lineRule="auto"/>
        <w:jc w:val="both"/>
        <w:rPr>
          <w:rFonts w:ascii="Arial" w:hAnsi="Arial" w:cs="Arial"/>
          <w:lang w:val="sq-AL"/>
        </w:rPr>
      </w:pPr>
      <w:r w:rsidRPr="00705B56">
        <w:rPr>
          <w:rFonts w:ascii="Arial" w:hAnsi="Arial" w:cs="Arial"/>
          <w:lang w:val="sq-AL"/>
        </w:rPr>
        <w:t>Përveç përmbytjeve, zjarret në pyje dhe zjarret në pyje janë shfaqur gjithashtu si një rrezik i rëndësishëm ekstrem, veçanërisht gjatë verave më të nxehta dhe më të thata. Me rreth 43% të tokës së Kosovës të mbuluar nga pyjet, nxehtësia dhe thatësira e zgjatur kanë bërë që sipërfaqe të mëdha bimësie të jenë të ndjeshme ndaj djegies. Që nga viti 2000, frekuenca e zjarreve në verë është rritur. Vetëm në vitin 2021, për shembull, u regjistruan 92 zjarre në pyje, duke djegur mbi 7,580 hektarë tokë</w:t>
      </w:r>
      <w:r w:rsidR="00232DC8" w:rsidRPr="00705B56">
        <w:rPr>
          <w:rFonts w:ascii="Arial" w:hAnsi="Arial" w:cs="Arial"/>
          <w:lang w:val="sq-AL"/>
        </w:rPr>
        <w:t>.</w:t>
      </w:r>
      <w:r w:rsidR="001D4FA1" w:rsidRPr="00705B56">
        <w:rPr>
          <w:rStyle w:val="FootnoteReference"/>
          <w:rFonts w:ascii="Arial" w:hAnsi="Arial" w:cs="Arial"/>
          <w:lang w:val="sq-AL"/>
        </w:rPr>
        <w:footnoteReference w:id="23"/>
      </w:r>
      <w:r w:rsidR="001D4FA1" w:rsidRPr="00705B56">
        <w:rPr>
          <w:rFonts w:ascii="Arial" w:hAnsi="Arial" w:cs="Arial"/>
          <w:lang w:val="sq-AL"/>
        </w:rPr>
        <w:t xml:space="preserve"> </w:t>
      </w:r>
      <w:r w:rsidRPr="00705B56">
        <w:rPr>
          <w:rFonts w:ascii="Arial" w:hAnsi="Arial" w:cs="Arial"/>
          <w:lang w:val="sq-AL"/>
        </w:rPr>
        <w:t xml:space="preserve">Shumica e zjarreve ndodhin në fund të verës pas valëve të nxehtësisë, dhe rritja e shfaqjes së tyre është në përputhje me rritjen e temperaturave dhe tendencat e tharjes. </w:t>
      </w:r>
    </w:p>
    <w:p w14:paraId="7489603C" w14:textId="2FCD1EE7" w:rsidR="001D4FA1" w:rsidRPr="00705B56" w:rsidRDefault="00936765" w:rsidP="00936765">
      <w:pPr>
        <w:spacing w:before="100" w:beforeAutospacing="1" w:after="100" w:afterAutospacing="1" w:line="240" w:lineRule="auto"/>
        <w:jc w:val="both"/>
        <w:rPr>
          <w:rFonts w:ascii="Arial" w:hAnsi="Arial" w:cs="Arial"/>
          <w:lang w:val="sq-AL"/>
        </w:rPr>
      </w:pPr>
      <w:r w:rsidRPr="00705B56">
        <w:rPr>
          <w:rFonts w:ascii="Arial" w:hAnsi="Arial" w:cs="Arial"/>
          <w:lang w:val="sq-AL"/>
        </w:rPr>
        <w:t xml:space="preserve">Janë vërejtur edhe anomali të tjera ekstreme të motit: stuhi intensive me erë dhe reshje dëbore të rastësishme jashtë sezonit. Për shembull, ka pasur raste të rënies së borës së madhe në prill - një ngjarje e pazakontë që mund të dëmtojë të korrat dhe infrastrukturën në lulëzim. Në një pranverë të kohëve të fundit, një valë e papritur e të ftohtit me reshje dëbore goditi rajonin pas një periudhe të hershme të ngrohtë, duke nxjerrë në pah ndryshueshmëri të madhe të motit. Ndërsa ekstremet e të ftohtit në përgjithësi po bëhen më pak të zakonshme, paparashikueshmëria e ngricës dhe borës jashtë sezonit mund të paraqesë ende rreziqe për bujqësinë. </w:t>
      </w:r>
    </w:p>
    <w:p w14:paraId="4902D018" w14:textId="77777777" w:rsidR="00936765" w:rsidRPr="00705B56" w:rsidRDefault="00936765" w:rsidP="00936765">
      <w:pPr>
        <w:spacing w:before="100" w:beforeAutospacing="1" w:after="100" w:afterAutospacing="1" w:line="240" w:lineRule="auto"/>
        <w:jc w:val="both"/>
        <w:rPr>
          <w:rFonts w:ascii="Arial" w:hAnsi="Arial" w:cs="Arial"/>
          <w:lang w:val="sq-AL"/>
        </w:rPr>
      </w:pPr>
      <w:r w:rsidRPr="00705B56">
        <w:rPr>
          <w:rFonts w:ascii="Arial" w:hAnsi="Arial" w:cs="Arial"/>
          <w:lang w:val="sq-AL"/>
        </w:rPr>
        <w:t>Për të ilustruar më tej shpërndarjen hapësinore të rreziqeve klimatike të vëzhguara, figura e radhës paraqet një vizualizim të përbërë që tregon ekspozimin në nivel komunal ndaj zjarreve në pyje, përmbytjeve dhe rrëshqitjeve të dheut, së bashku me një hartë përmbledhëse të vulnerabilitetit mesatar në të gjithë Kosovën. Ky evidencim forcon modelet e përshkruara më sipër, duke treguar grumbullime të qarta gjeografike të zonave me rrezik të lartë. Si shtesë,</w:t>
      </w:r>
      <w:r w:rsidRPr="00705B56">
        <w:rPr>
          <w:rFonts w:ascii="Arial" w:hAnsi="Arial" w:cs="Arial"/>
          <w:b/>
          <w:bCs/>
          <w:lang w:val="sq-AL"/>
        </w:rPr>
        <w:t xml:space="preserve"> Tabela 2</w:t>
      </w:r>
      <w:r w:rsidRPr="00705B56">
        <w:rPr>
          <w:rFonts w:ascii="Arial" w:hAnsi="Arial" w:cs="Arial"/>
          <w:lang w:val="sq-AL"/>
        </w:rPr>
        <w:t xml:space="preserve"> identifikon komunat më të ekspozuara për secilin lloj rreziku. Këto renditje, të nxjerra nga të dhëna të harmonizuara gjeohapësinore dhe rrjeta të rreziqeve, shërbejnë për të theksuar zonat prioritare për planifikimin e adaptimit.</w:t>
      </w:r>
    </w:p>
    <w:p w14:paraId="0080B1C3" w14:textId="02FFB43E" w:rsidR="00E12391" w:rsidRPr="00705B56" w:rsidRDefault="00681279" w:rsidP="00936765">
      <w:pPr>
        <w:spacing w:before="100" w:beforeAutospacing="1" w:after="100" w:afterAutospacing="1" w:line="240" w:lineRule="auto"/>
        <w:jc w:val="both"/>
        <w:rPr>
          <w:rFonts w:ascii="Arial" w:hAnsi="Arial" w:cs="Arial"/>
          <w:lang w:val="sq-AL"/>
        </w:rPr>
      </w:pPr>
      <w:r w:rsidRPr="00705B56">
        <w:rPr>
          <w:rFonts w:ascii="Arial" w:hAnsi="Arial" w:cs="Arial"/>
          <w:noProof/>
        </w:rPr>
        <w:lastRenderedPageBreak/>
        <mc:AlternateContent>
          <mc:Choice Requires="wps">
            <w:drawing>
              <wp:anchor distT="0" distB="0" distL="114300" distR="114300" simplePos="0" relativeHeight="251828224" behindDoc="0" locked="0" layoutInCell="1" allowOverlap="1" wp14:anchorId="26B27050" wp14:editId="5B121D0A">
                <wp:simplePos x="0" y="0"/>
                <wp:positionH relativeFrom="margin">
                  <wp:align>left</wp:align>
                </wp:positionH>
                <wp:positionV relativeFrom="paragraph">
                  <wp:posOffset>5029835</wp:posOffset>
                </wp:positionV>
                <wp:extent cx="6480810" cy="327660"/>
                <wp:effectExtent l="0" t="0" r="0" b="0"/>
                <wp:wrapSquare wrapText="bothSides"/>
                <wp:docPr id="931301110" name="Text Box 1"/>
                <wp:cNvGraphicFramePr/>
                <a:graphic xmlns:a="http://schemas.openxmlformats.org/drawingml/2006/main">
                  <a:graphicData uri="http://schemas.microsoft.com/office/word/2010/wordprocessingShape">
                    <wps:wsp>
                      <wps:cNvSpPr txBox="1"/>
                      <wps:spPr>
                        <a:xfrm>
                          <a:off x="0" y="0"/>
                          <a:ext cx="6480810" cy="327660"/>
                        </a:xfrm>
                        <a:prstGeom prst="rect">
                          <a:avLst/>
                        </a:prstGeom>
                        <a:solidFill>
                          <a:prstClr val="white"/>
                        </a:solidFill>
                        <a:ln>
                          <a:noFill/>
                        </a:ln>
                      </wps:spPr>
                      <wps:txbx>
                        <w:txbxContent>
                          <w:p w14:paraId="62AE88C2" w14:textId="4F69337F" w:rsidR="00681279" w:rsidRPr="00C61440" w:rsidRDefault="00681279" w:rsidP="00681279">
                            <w:pPr>
                              <w:pStyle w:val="Caption"/>
                              <w:rPr>
                                <w:rFonts w:ascii="Arial" w:hAnsi="Arial" w:cs="Arial"/>
                                <w:noProof/>
                                <w:sz w:val="22"/>
                                <w:szCs w:val="22"/>
                                <w:lang w:val="sq-AL" w:eastAsia="sq-AL"/>
                              </w:rPr>
                            </w:pPr>
                            <w:bookmarkStart w:id="52" w:name="_Toc211532621"/>
                            <w:r w:rsidRPr="00C61440">
                              <w:rPr>
                                <w:rFonts w:ascii="Arial" w:hAnsi="Arial" w:cs="Arial"/>
                              </w:rPr>
                              <w:t xml:space="preserve">Figura </w:t>
                            </w:r>
                            <w:r w:rsidR="0005579F" w:rsidRPr="00C61440">
                              <w:rPr>
                                <w:rFonts w:ascii="Arial" w:hAnsi="Arial" w:cs="Arial"/>
                              </w:rPr>
                              <w:fldChar w:fldCharType="begin"/>
                            </w:r>
                            <w:r w:rsidR="0005579F" w:rsidRPr="00C61440">
                              <w:rPr>
                                <w:rFonts w:ascii="Arial" w:hAnsi="Arial" w:cs="Arial"/>
                              </w:rPr>
                              <w:instrText xml:space="preserve"> SEQ Figura \* ARABIC </w:instrText>
                            </w:r>
                            <w:r w:rsidR="0005579F" w:rsidRPr="00C61440">
                              <w:rPr>
                                <w:rFonts w:ascii="Arial" w:hAnsi="Arial" w:cs="Arial"/>
                              </w:rPr>
                              <w:fldChar w:fldCharType="separate"/>
                            </w:r>
                            <w:r w:rsidR="0005579F" w:rsidRPr="00C61440">
                              <w:rPr>
                                <w:rFonts w:ascii="Arial" w:hAnsi="Arial" w:cs="Arial"/>
                                <w:noProof/>
                              </w:rPr>
                              <w:t>20</w:t>
                            </w:r>
                            <w:r w:rsidR="0005579F" w:rsidRPr="00C61440">
                              <w:rPr>
                                <w:rFonts w:ascii="Arial" w:hAnsi="Arial" w:cs="Arial"/>
                                <w:noProof/>
                              </w:rPr>
                              <w:fldChar w:fldCharType="end"/>
                            </w:r>
                            <w:r w:rsidRPr="00C61440">
                              <w:rPr>
                                <w:rFonts w:ascii="Arial" w:hAnsi="Arial" w:cs="Arial"/>
                              </w:rPr>
                              <w:t>. Dobësitë e mbivendosura në komunat e Kosovës.</w:t>
                            </w:r>
                            <w:r w:rsidR="00D23BB3" w:rsidRPr="00C61440">
                              <w:rPr>
                                <w:rFonts w:ascii="Arial" w:hAnsi="Arial" w:cs="Arial"/>
                              </w:rPr>
                              <w:t xml:space="preserve"> Burimi: Banka Botërore, GHS-POP R2023A, OpenStreetMap, JBA, CIMA, ELSUS v2</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B27050" id="_x0000_s1042" type="#_x0000_t202" style="position:absolute;left:0;text-align:left;margin-left:0;margin-top:396.05pt;width:510.3pt;height:25.8pt;z-index:251828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" stroked="f">
                <v:textbox inset="0,0,0,0">
                  <w:txbxContent>
                    <w:p w14:paraId="62AE88C2" w14:textId="4F69337F" w:rsidR="00681279" w:rsidRPr="00C61440" w:rsidRDefault="00681279" w:rsidP="00681279">
                      <w:pPr>
                        <w:pStyle w:val="Caption"/>
                        <w:rPr>
                          <w:rFonts w:ascii="Arial" w:hAnsi="Arial" w:cs="Arial"/>
                          <w:noProof/>
                          <w:sz w:val="22"/>
                          <w:szCs w:val="22"/>
                          <w:lang w:val="sq-AL" w:eastAsia="sq-AL"/>
                        </w:rPr>
                      </w:pPr>
                      <w:bookmarkStart w:id="64" w:name="_Toc211532621"/>
                      <w:r w:rsidRPr="00C61440">
                        <w:rPr>
                          <w:rFonts w:ascii="Arial" w:hAnsi="Arial" w:cs="Arial"/>
                        </w:rPr>
                        <w:t xml:space="preserve">Figura </w:t>
                      </w:r>
                      <w:r w:rsidR="0005579F" w:rsidRPr="00C61440">
                        <w:rPr>
                          <w:rFonts w:ascii="Arial" w:hAnsi="Arial" w:cs="Arial"/>
                        </w:rPr>
                        <w:fldChar w:fldCharType="begin"/>
                      </w:r>
                      <w:r w:rsidR="0005579F" w:rsidRPr="00C61440">
                        <w:rPr>
                          <w:rFonts w:ascii="Arial" w:hAnsi="Arial" w:cs="Arial"/>
                        </w:rPr>
                        <w:instrText xml:space="preserve"> SEQ Figura \* ARABIC </w:instrText>
                      </w:r>
                      <w:r w:rsidR="0005579F" w:rsidRPr="00C61440">
                        <w:rPr>
                          <w:rFonts w:ascii="Arial" w:hAnsi="Arial" w:cs="Arial"/>
                        </w:rPr>
                        <w:fldChar w:fldCharType="separate"/>
                      </w:r>
                      <w:r w:rsidR="0005579F" w:rsidRPr="00C61440">
                        <w:rPr>
                          <w:rFonts w:ascii="Arial" w:hAnsi="Arial" w:cs="Arial"/>
                          <w:noProof/>
                        </w:rPr>
                        <w:t>20</w:t>
                      </w:r>
                      <w:r w:rsidR="0005579F" w:rsidRPr="00C61440">
                        <w:rPr>
                          <w:rFonts w:ascii="Arial" w:hAnsi="Arial" w:cs="Arial"/>
                          <w:noProof/>
                        </w:rPr>
                        <w:fldChar w:fldCharType="end"/>
                      </w:r>
                      <w:r w:rsidRPr="00C61440">
                        <w:rPr>
                          <w:rFonts w:ascii="Arial" w:hAnsi="Arial" w:cs="Arial"/>
                        </w:rPr>
                        <w:t xml:space="preserve">. </w:t>
                      </w:r>
                      <w:r w:rsidRPr="00C61440">
                        <w:rPr>
                          <w:rFonts w:ascii="Arial" w:hAnsi="Arial" w:cs="Arial"/>
                        </w:rPr>
                        <w:t>Dobësitë e mbivendosura në komunat e Kosovës.</w:t>
                      </w:r>
                      <w:r w:rsidR="00D23BB3" w:rsidRPr="00C61440">
                        <w:rPr>
                          <w:rFonts w:ascii="Arial" w:hAnsi="Arial" w:cs="Arial"/>
                        </w:rPr>
                        <w:t xml:space="preserve"> Burimi: Banka Botërore, GHS-POP R2023A, OpenStreetMap, JBA, CIMA, ELSUS v2</w:t>
                      </w:r>
                      <w:bookmarkEnd w:id="64"/>
                    </w:p>
                  </w:txbxContent>
                </v:textbox>
                <w10:wrap type="square" anchorx="margin"/>
              </v:shape>
            </w:pict>
          </mc:Fallback>
        </mc:AlternateContent>
      </w:r>
      <w:r w:rsidR="00E12391" w:rsidRPr="00705B56">
        <w:rPr>
          <w:rFonts w:ascii="Arial" w:hAnsi="Arial" w:cs="Arial"/>
          <w:noProof/>
        </w:rPr>
        <w:drawing>
          <wp:anchor distT="0" distB="0" distL="114300" distR="114300" simplePos="0" relativeHeight="251780096" behindDoc="0" locked="0" layoutInCell="1" allowOverlap="1" wp14:anchorId="26D09B3D" wp14:editId="77969F53">
            <wp:simplePos x="0" y="0"/>
            <wp:positionH relativeFrom="column">
              <wp:posOffset>528</wp:posOffset>
            </wp:positionH>
            <wp:positionV relativeFrom="paragraph">
              <wp:posOffset>528</wp:posOffset>
            </wp:positionV>
            <wp:extent cx="6480810" cy="4975860"/>
            <wp:effectExtent l="0" t="0" r="0" b="0"/>
            <wp:wrapSquare wrapText="bothSides"/>
            <wp:docPr id="1433177464"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77464" name="Imagen 1" descr="Mapa&#10;&#10;El contenido generado por IA puede ser incorrecto."/>
                    <pic:cNvPicPr/>
                  </pic:nvPicPr>
                  <pic:blipFill>
                    <a:blip r:embed="rId41">
                      <a:extLst>
                        <a:ext uri="{28A0092B-C50C-407E-A947-70E740481C1C}">
                          <a14:useLocalDpi xmlns:a14="http://schemas.microsoft.com/office/drawing/2010/main" val="0"/>
                        </a:ext>
                      </a:extLst>
                    </a:blip>
                    <a:stretch>
                      <a:fillRect/>
                    </a:stretch>
                  </pic:blipFill>
                  <pic:spPr>
                    <a:xfrm>
                      <a:off x="0" y="0"/>
                      <a:ext cx="6480810" cy="4975860"/>
                    </a:xfrm>
                    <a:prstGeom prst="rect">
                      <a:avLst/>
                    </a:prstGeom>
                  </pic:spPr>
                </pic:pic>
              </a:graphicData>
            </a:graphic>
          </wp:anchor>
        </w:drawing>
      </w:r>
    </w:p>
    <w:p w14:paraId="5B1EACD3" w14:textId="7B96BC3A" w:rsidR="00E12391" w:rsidRPr="00705B56" w:rsidRDefault="006D1316" w:rsidP="006D1316">
      <w:pPr>
        <w:pStyle w:val="Caption"/>
        <w:rPr>
          <w:rFonts w:ascii="Arial" w:hAnsi="Arial" w:cs="Arial"/>
          <w:b/>
          <w:bCs/>
          <w:i w:val="0"/>
          <w:iCs w:val="0"/>
          <w:sz w:val="20"/>
          <w:szCs w:val="20"/>
          <w:lang w:val="sq-AL"/>
        </w:rPr>
      </w:pPr>
      <w:bookmarkStart w:id="53" w:name="_Toc211532730"/>
      <w:r w:rsidRPr="00705B56">
        <w:rPr>
          <w:rFonts w:ascii="Arial" w:hAnsi="Arial" w:cs="Arial"/>
        </w:rPr>
        <w:t xml:space="preserve">Tabela </w:t>
      </w:r>
      <w:r w:rsidR="0097040B" w:rsidRPr="00705B56">
        <w:rPr>
          <w:rFonts w:ascii="Arial" w:hAnsi="Arial" w:cs="Arial"/>
        </w:rPr>
        <w:fldChar w:fldCharType="begin"/>
      </w:r>
      <w:r w:rsidR="0097040B" w:rsidRPr="00705B56">
        <w:rPr>
          <w:rFonts w:ascii="Arial" w:hAnsi="Arial" w:cs="Arial"/>
        </w:rPr>
        <w:instrText xml:space="preserve"> SEQ Tabela \* ARABIC </w:instrText>
      </w:r>
      <w:r w:rsidR="0097040B" w:rsidRPr="00705B56">
        <w:rPr>
          <w:rFonts w:ascii="Arial" w:hAnsi="Arial" w:cs="Arial"/>
        </w:rPr>
        <w:fldChar w:fldCharType="separate"/>
      </w:r>
      <w:r w:rsidR="00C62DE9">
        <w:rPr>
          <w:rFonts w:ascii="Arial" w:hAnsi="Arial" w:cs="Arial"/>
          <w:noProof/>
        </w:rPr>
        <w:t>3</w:t>
      </w:r>
      <w:r w:rsidR="0097040B" w:rsidRPr="00705B56">
        <w:rPr>
          <w:rFonts w:ascii="Arial" w:hAnsi="Arial" w:cs="Arial"/>
          <w:noProof/>
        </w:rPr>
        <w:fldChar w:fldCharType="end"/>
      </w:r>
      <w:r w:rsidRPr="00705B56">
        <w:rPr>
          <w:rFonts w:ascii="Arial" w:hAnsi="Arial" w:cs="Arial"/>
        </w:rPr>
        <w:t>. Komunat më të ekspozuara, të renditura nga ekspozimi më i lartë në atë më të ulët, sipas llojit të rrezikut. Burimi: Banka Botërore, GHS-POP R2023A, OpenStreetMap, JBA, CIMA, ELSUS v2</w:t>
      </w:r>
      <w:r w:rsidR="002D7131" w:rsidRPr="00705B56">
        <w:rPr>
          <w:rStyle w:val="FootnoteReference"/>
          <w:rFonts w:ascii="Arial" w:hAnsi="Arial" w:cs="Arial"/>
          <w:sz w:val="20"/>
          <w:szCs w:val="20"/>
          <w:lang w:val="sq-AL"/>
        </w:rPr>
        <w:footnoteReference w:id="24"/>
      </w:r>
      <w:bookmarkEnd w:id="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5"/>
        <w:gridCol w:w="8611"/>
      </w:tblGrid>
      <w:tr w:rsidR="00D810F6" w:rsidRPr="00705B56" w14:paraId="145AB10C" w14:textId="77777777" w:rsidTr="00905BF3">
        <w:tc>
          <w:tcPr>
            <w:tcW w:w="1555" w:type="dxa"/>
            <w:shd w:val="clear" w:color="auto" w:fill="ACE2DD"/>
            <w:vAlign w:val="center"/>
          </w:tcPr>
          <w:p w14:paraId="56AAC91C" w14:textId="116EB965" w:rsidR="00D810F6" w:rsidRPr="00705B56" w:rsidRDefault="00667762" w:rsidP="00905BF3">
            <w:pPr>
              <w:spacing w:after="120"/>
              <w:jc w:val="right"/>
              <w:rPr>
                <w:rFonts w:ascii="Arial" w:hAnsi="Arial" w:cs="Arial"/>
                <w:b/>
                <w:bCs/>
                <w:i/>
                <w:iCs/>
                <w:color w:val="246D5D"/>
                <w:sz w:val="20"/>
                <w:szCs w:val="20"/>
                <w:lang w:val="sq-AL"/>
              </w:rPr>
            </w:pPr>
            <w:r w:rsidRPr="00705B56">
              <w:rPr>
                <w:rFonts w:ascii="Arial" w:hAnsi="Arial" w:cs="Arial"/>
                <w:b/>
                <w:bCs/>
                <w:i/>
                <w:iCs/>
                <w:color w:val="246D5D"/>
                <w:sz w:val="20"/>
                <w:szCs w:val="20"/>
                <w:lang w:val="sq-AL"/>
              </w:rPr>
              <w:t>Cenueshmëria</w:t>
            </w:r>
          </w:p>
        </w:tc>
        <w:tc>
          <w:tcPr>
            <w:tcW w:w="8641" w:type="dxa"/>
            <w:shd w:val="clear" w:color="auto" w:fill="ACE2DD"/>
            <w:vAlign w:val="center"/>
          </w:tcPr>
          <w:p w14:paraId="70F223F7" w14:textId="795C10F7" w:rsidR="00D810F6" w:rsidRPr="00705B56" w:rsidRDefault="00D75BD2" w:rsidP="00905BF3">
            <w:pPr>
              <w:spacing w:after="120"/>
              <w:rPr>
                <w:rFonts w:ascii="Arial" w:hAnsi="Arial" w:cs="Arial"/>
                <w:sz w:val="20"/>
                <w:szCs w:val="20"/>
                <w:lang w:val="sq-AL"/>
              </w:rPr>
            </w:pPr>
            <w:r w:rsidRPr="00705B56">
              <w:rPr>
                <w:rFonts w:ascii="Arial" w:hAnsi="Arial" w:cs="Arial"/>
                <w:sz w:val="20"/>
                <w:szCs w:val="20"/>
                <w:lang w:val="sq-AL"/>
              </w:rPr>
              <w:t>Kamenica, Ranilug / Ranillug, Zubin Potok, Leposavić / Leposaviq, Štrpce / Shterpce, Dragash / Dragaš, Zvečan / Zveçan, Partes / Partesh, Hani i Elezit / Elez Han</w:t>
            </w:r>
          </w:p>
        </w:tc>
      </w:tr>
      <w:tr w:rsidR="00D810F6" w:rsidRPr="00705B56" w14:paraId="1FE7A98C" w14:textId="77777777" w:rsidTr="00905BF3">
        <w:tc>
          <w:tcPr>
            <w:tcW w:w="1555" w:type="dxa"/>
            <w:vAlign w:val="center"/>
          </w:tcPr>
          <w:p w14:paraId="7646C5A4" w14:textId="7BF0D2B3" w:rsidR="00D810F6" w:rsidRPr="00705B56" w:rsidRDefault="00667762" w:rsidP="00905BF3">
            <w:pPr>
              <w:spacing w:after="120"/>
              <w:jc w:val="right"/>
              <w:rPr>
                <w:rFonts w:ascii="Arial" w:hAnsi="Arial" w:cs="Arial"/>
                <w:b/>
                <w:bCs/>
                <w:i/>
                <w:iCs/>
                <w:color w:val="246D5D"/>
                <w:sz w:val="20"/>
                <w:szCs w:val="20"/>
                <w:lang w:val="sq-AL"/>
              </w:rPr>
            </w:pPr>
            <w:r w:rsidRPr="00705B56">
              <w:rPr>
                <w:rFonts w:ascii="Arial" w:hAnsi="Arial" w:cs="Arial"/>
                <w:b/>
                <w:bCs/>
                <w:i/>
                <w:iCs/>
                <w:color w:val="246D5D"/>
                <w:sz w:val="20"/>
                <w:szCs w:val="20"/>
                <w:lang w:val="sq-AL"/>
              </w:rPr>
              <w:t>Përmbytjet</w:t>
            </w:r>
          </w:p>
        </w:tc>
        <w:tc>
          <w:tcPr>
            <w:tcW w:w="8641" w:type="dxa"/>
            <w:vAlign w:val="center"/>
          </w:tcPr>
          <w:p w14:paraId="14190BD5" w14:textId="75E06617" w:rsidR="00D810F6" w:rsidRPr="00705B56" w:rsidRDefault="00D75BD2" w:rsidP="00905BF3">
            <w:pPr>
              <w:spacing w:after="120"/>
              <w:rPr>
                <w:rFonts w:ascii="Arial" w:hAnsi="Arial" w:cs="Arial"/>
                <w:sz w:val="20"/>
                <w:szCs w:val="20"/>
                <w:lang w:val="sq-AL"/>
              </w:rPr>
            </w:pPr>
            <w:r w:rsidRPr="00705B56">
              <w:rPr>
                <w:rFonts w:ascii="Arial" w:hAnsi="Arial" w:cs="Arial"/>
                <w:sz w:val="20"/>
                <w:szCs w:val="20"/>
                <w:lang w:val="sq-AL"/>
              </w:rPr>
              <w:t>Partes / Partesh, Ranilug / Ranillug, North Mitrovica, Rahovec / Orahovac, Obiliq / Obilić, Zvečan / Zveçan, Klina, Gjakova, Klokot / Kllokot, Fushë Kosovë / Fushe Kosova, Kosovo Polje</w:t>
            </w:r>
          </w:p>
        </w:tc>
      </w:tr>
      <w:tr w:rsidR="00D810F6" w:rsidRPr="00705B56" w14:paraId="4B084882" w14:textId="77777777" w:rsidTr="00905BF3">
        <w:tc>
          <w:tcPr>
            <w:tcW w:w="1555" w:type="dxa"/>
            <w:shd w:val="clear" w:color="auto" w:fill="ACE2DD"/>
            <w:vAlign w:val="center"/>
          </w:tcPr>
          <w:p w14:paraId="1560180F" w14:textId="7F585E34" w:rsidR="00D810F6" w:rsidRPr="00705B56" w:rsidRDefault="00667762" w:rsidP="00905BF3">
            <w:pPr>
              <w:spacing w:after="120"/>
              <w:jc w:val="right"/>
              <w:rPr>
                <w:rFonts w:ascii="Arial" w:hAnsi="Arial" w:cs="Arial"/>
                <w:b/>
                <w:bCs/>
                <w:i/>
                <w:iCs/>
                <w:color w:val="246D5D"/>
                <w:sz w:val="20"/>
                <w:szCs w:val="20"/>
                <w:lang w:val="sq-AL"/>
              </w:rPr>
            </w:pPr>
            <w:r w:rsidRPr="00705B56">
              <w:rPr>
                <w:rFonts w:ascii="Arial" w:hAnsi="Arial" w:cs="Arial"/>
                <w:b/>
                <w:bCs/>
                <w:i/>
                <w:iCs/>
                <w:color w:val="246D5D"/>
                <w:sz w:val="20"/>
                <w:szCs w:val="20"/>
                <w:lang w:val="sq-AL"/>
              </w:rPr>
              <w:t>Zjarret</w:t>
            </w:r>
          </w:p>
        </w:tc>
        <w:tc>
          <w:tcPr>
            <w:tcW w:w="8641" w:type="dxa"/>
            <w:shd w:val="clear" w:color="auto" w:fill="ACE2DD"/>
            <w:vAlign w:val="center"/>
          </w:tcPr>
          <w:p w14:paraId="2287B3C5" w14:textId="318044A3" w:rsidR="00D810F6" w:rsidRPr="00705B56" w:rsidRDefault="00D75BD2" w:rsidP="00905BF3">
            <w:pPr>
              <w:spacing w:after="120"/>
              <w:rPr>
                <w:rFonts w:ascii="Arial" w:hAnsi="Arial" w:cs="Arial"/>
                <w:sz w:val="20"/>
                <w:szCs w:val="20"/>
                <w:lang w:val="sq-AL"/>
              </w:rPr>
            </w:pPr>
            <w:r w:rsidRPr="00705B56">
              <w:rPr>
                <w:rFonts w:ascii="Arial" w:hAnsi="Arial" w:cs="Arial"/>
                <w:sz w:val="20"/>
                <w:szCs w:val="20"/>
                <w:lang w:val="sq-AL"/>
              </w:rPr>
              <w:t>Hani i Elezit / Elez Han, Štrpce / Shterpce, Zubin Potok, Kaçanik, Zvečan / Zveçan, Dragash / Dragaš, Mitrovica, Kamenica, Peja, Deçan / Dečane</w:t>
            </w:r>
          </w:p>
        </w:tc>
      </w:tr>
      <w:tr w:rsidR="00D810F6" w:rsidRPr="00705B56" w14:paraId="011F7ABB" w14:textId="77777777" w:rsidTr="00905BF3">
        <w:tc>
          <w:tcPr>
            <w:tcW w:w="1555" w:type="dxa"/>
            <w:vAlign w:val="center"/>
          </w:tcPr>
          <w:p w14:paraId="17D2890F" w14:textId="34E824AB" w:rsidR="00D810F6" w:rsidRPr="00705B56" w:rsidRDefault="00667762" w:rsidP="00905BF3">
            <w:pPr>
              <w:spacing w:after="120"/>
              <w:jc w:val="right"/>
              <w:rPr>
                <w:rFonts w:ascii="Arial" w:hAnsi="Arial" w:cs="Arial"/>
                <w:b/>
                <w:bCs/>
                <w:i/>
                <w:iCs/>
                <w:color w:val="246D5D"/>
                <w:sz w:val="20"/>
                <w:szCs w:val="20"/>
                <w:lang w:val="sq-AL"/>
              </w:rPr>
            </w:pPr>
            <w:r w:rsidRPr="00705B56">
              <w:rPr>
                <w:rFonts w:ascii="Arial" w:hAnsi="Arial" w:cs="Arial"/>
                <w:b/>
                <w:bCs/>
                <w:i/>
                <w:iCs/>
                <w:color w:val="246D5D"/>
                <w:sz w:val="20"/>
                <w:szCs w:val="20"/>
                <w:lang w:val="sq-AL"/>
              </w:rPr>
              <w:t>Rrëshqitjet e tokës</w:t>
            </w:r>
          </w:p>
        </w:tc>
        <w:tc>
          <w:tcPr>
            <w:tcW w:w="8641" w:type="dxa"/>
            <w:vAlign w:val="center"/>
          </w:tcPr>
          <w:p w14:paraId="02E0B229" w14:textId="130BAAB6" w:rsidR="00D810F6" w:rsidRPr="00705B56" w:rsidRDefault="00D75BD2" w:rsidP="00905BF3">
            <w:pPr>
              <w:spacing w:after="120"/>
              <w:rPr>
                <w:rFonts w:ascii="Arial" w:hAnsi="Arial" w:cs="Arial"/>
                <w:sz w:val="20"/>
                <w:szCs w:val="20"/>
                <w:lang w:val="sq-AL"/>
              </w:rPr>
            </w:pPr>
            <w:r w:rsidRPr="00705B56">
              <w:rPr>
                <w:rFonts w:ascii="Arial" w:hAnsi="Arial" w:cs="Arial"/>
                <w:sz w:val="20"/>
                <w:szCs w:val="20"/>
                <w:lang w:val="sq-AL"/>
              </w:rPr>
              <w:t>Štrpce / Shterpce, Dragash / Dragaš, Leposavić / Leposaviq, Zubin Potok, Junik, Prizren, Mitrovica, Zvečan / Zveçan, Kaçanik, Prishtina</w:t>
            </w:r>
          </w:p>
        </w:tc>
      </w:tr>
    </w:tbl>
    <w:p w14:paraId="7BE73B82" w14:textId="264267FC" w:rsidR="00F2442C" w:rsidRPr="00705B56" w:rsidRDefault="00D23BB3" w:rsidP="00F2442C">
      <w:pPr>
        <w:jc w:val="both"/>
        <w:rPr>
          <w:rFonts w:ascii="Arial" w:hAnsi="Arial" w:cs="Arial"/>
          <w:lang w:val="sq-AL"/>
        </w:rPr>
      </w:pPr>
      <w:r w:rsidRPr="00705B56">
        <w:rPr>
          <w:rFonts w:ascii="Arial" w:hAnsi="Arial" w:cs="Arial"/>
          <w:noProof/>
        </w:rPr>
        <w:lastRenderedPageBreak/>
        <mc:AlternateContent>
          <mc:Choice Requires="wps">
            <w:drawing>
              <wp:anchor distT="0" distB="0" distL="114300" distR="114300" simplePos="0" relativeHeight="251830272" behindDoc="0" locked="0" layoutInCell="1" allowOverlap="1" wp14:anchorId="178326F2" wp14:editId="6AF91D80">
                <wp:simplePos x="0" y="0"/>
                <wp:positionH relativeFrom="column">
                  <wp:posOffset>0</wp:posOffset>
                </wp:positionH>
                <wp:positionV relativeFrom="paragraph">
                  <wp:posOffset>4065270</wp:posOffset>
                </wp:positionV>
                <wp:extent cx="3323590" cy="635"/>
                <wp:effectExtent l="0" t="0" r="0" b="0"/>
                <wp:wrapTopAndBottom/>
                <wp:docPr id="1407646579" name="Text Box 1"/>
                <wp:cNvGraphicFramePr/>
                <a:graphic xmlns:a="http://schemas.openxmlformats.org/drawingml/2006/main">
                  <a:graphicData uri="http://schemas.microsoft.com/office/word/2010/wordprocessingShape">
                    <wps:wsp>
                      <wps:cNvSpPr txBox="1"/>
                      <wps:spPr>
                        <a:xfrm>
                          <a:off x="0" y="0"/>
                          <a:ext cx="3323590" cy="635"/>
                        </a:xfrm>
                        <a:prstGeom prst="rect">
                          <a:avLst/>
                        </a:prstGeom>
                        <a:solidFill>
                          <a:prstClr val="white"/>
                        </a:solidFill>
                        <a:ln>
                          <a:noFill/>
                        </a:ln>
                      </wps:spPr>
                      <wps:txbx>
                        <w:txbxContent>
                          <w:p w14:paraId="69080698" w14:textId="639BC295" w:rsidR="00D23BB3" w:rsidRPr="003F1EF1" w:rsidRDefault="00D23BB3" w:rsidP="004C6E93">
                            <w:pPr>
                              <w:pStyle w:val="Caption"/>
                              <w:rPr>
                                <w:rFonts w:ascii="Arial" w:hAnsi="Arial" w:cs="Arial"/>
                                <w:noProof/>
                                <w:lang w:val="sq-AL" w:eastAsia="sq-AL"/>
                              </w:rPr>
                            </w:pPr>
                            <w:bookmarkStart w:id="54" w:name="_Toc211532622"/>
                            <w:r w:rsidRPr="003F1EF1">
                              <w:rPr>
                                <w:rFonts w:ascii="Arial" w:hAnsi="Arial" w:cs="Arial"/>
                              </w:rPr>
                              <w:t xml:space="preserve">Figura </w:t>
                            </w:r>
                            <w:r w:rsidRPr="003F1EF1">
                              <w:rPr>
                                <w:rFonts w:ascii="Arial" w:hAnsi="Arial" w:cs="Arial"/>
                              </w:rPr>
                              <w:fldChar w:fldCharType="begin"/>
                            </w:r>
                            <w:r w:rsidRPr="003F1EF1">
                              <w:rPr>
                                <w:rFonts w:ascii="Arial" w:hAnsi="Arial" w:cs="Arial"/>
                              </w:rPr>
                              <w:instrText xml:space="preserve"> SEQ Figura \* ARABIC </w:instrText>
                            </w:r>
                            <w:r w:rsidRPr="003F1EF1">
                              <w:rPr>
                                <w:rFonts w:ascii="Arial" w:hAnsi="Arial" w:cs="Arial"/>
                              </w:rPr>
                              <w:fldChar w:fldCharType="separate"/>
                            </w:r>
                            <w:r w:rsidR="0005579F" w:rsidRPr="003F1EF1">
                              <w:rPr>
                                <w:rFonts w:ascii="Arial" w:hAnsi="Arial" w:cs="Arial"/>
                                <w:noProof/>
                              </w:rPr>
                              <w:t>21</w:t>
                            </w:r>
                            <w:r w:rsidRPr="003F1EF1">
                              <w:rPr>
                                <w:rFonts w:ascii="Arial" w:hAnsi="Arial" w:cs="Arial"/>
                              </w:rPr>
                              <w:fldChar w:fldCharType="end"/>
                            </w:r>
                            <w:r w:rsidRPr="003F1EF1">
                              <w:rPr>
                                <w:rFonts w:ascii="Arial" w:hAnsi="Arial" w:cs="Arial"/>
                              </w:rPr>
                              <w:t>. Shkalla e urbanizimit të komunave të Kosovës. Burimi: Banka Botërore, GHS-POP R2023A.</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8326F2" id="_x0000_s1043" type="#_x0000_t202" style="position:absolute;left:0;text-align:left;margin-left:0;margin-top:320.1pt;width:261.7pt;height:.0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" stroked="f">
                <v:textbox style="mso-fit-shape-to-text:t" inset="0,0,0,0">
                  <w:txbxContent>
                    <w:p w14:paraId="69080698" w14:textId="639BC295" w:rsidR="00D23BB3" w:rsidRPr="003F1EF1" w:rsidRDefault="00D23BB3" w:rsidP="004C6E93">
                      <w:pPr>
                        <w:pStyle w:val="Caption"/>
                        <w:rPr>
                          <w:rFonts w:ascii="Arial" w:hAnsi="Arial" w:cs="Arial"/>
                          <w:noProof/>
                          <w:lang w:val="sq-AL" w:eastAsia="sq-AL"/>
                        </w:rPr>
                      </w:pPr>
                      <w:bookmarkStart w:id="67" w:name="_Toc211532622"/>
                      <w:r w:rsidRPr="003F1EF1">
                        <w:rPr>
                          <w:rFonts w:ascii="Arial" w:hAnsi="Arial" w:cs="Arial"/>
                        </w:rPr>
                        <w:t xml:space="preserve">Figura </w:t>
                      </w:r>
                      <w:r w:rsidRPr="003F1EF1">
                        <w:rPr>
                          <w:rFonts w:ascii="Arial" w:hAnsi="Arial" w:cs="Arial"/>
                        </w:rPr>
                        <w:fldChar w:fldCharType="begin"/>
                      </w:r>
                      <w:r w:rsidRPr="003F1EF1">
                        <w:rPr>
                          <w:rFonts w:ascii="Arial" w:hAnsi="Arial" w:cs="Arial"/>
                        </w:rPr>
                        <w:instrText xml:space="preserve"> SEQ Figura \* ARABIC </w:instrText>
                      </w:r>
                      <w:r w:rsidRPr="003F1EF1">
                        <w:rPr>
                          <w:rFonts w:ascii="Arial" w:hAnsi="Arial" w:cs="Arial"/>
                        </w:rPr>
                        <w:fldChar w:fldCharType="separate"/>
                      </w:r>
                      <w:r w:rsidR="0005579F" w:rsidRPr="003F1EF1">
                        <w:rPr>
                          <w:rFonts w:ascii="Arial" w:hAnsi="Arial" w:cs="Arial"/>
                          <w:noProof/>
                        </w:rPr>
                        <w:t>21</w:t>
                      </w:r>
                      <w:r w:rsidRPr="003F1EF1">
                        <w:rPr>
                          <w:rFonts w:ascii="Arial" w:hAnsi="Arial" w:cs="Arial"/>
                        </w:rPr>
                        <w:fldChar w:fldCharType="end"/>
                      </w:r>
                      <w:r w:rsidRPr="003F1EF1">
                        <w:rPr>
                          <w:rFonts w:ascii="Arial" w:hAnsi="Arial" w:cs="Arial"/>
                        </w:rPr>
                        <w:t xml:space="preserve">. </w:t>
                      </w:r>
                      <w:r w:rsidRPr="003F1EF1">
                        <w:rPr>
                          <w:rFonts w:ascii="Arial" w:hAnsi="Arial" w:cs="Arial"/>
                        </w:rPr>
                        <w:t>Shkalla e urbanizimit të komunave të Kosovës. Burimi: Banka Botërore, GHS-POP R2023A.</w:t>
                      </w:r>
                      <w:bookmarkEnd w:id="67"/>
                    </w:p>
                  </w:txbxContent>
                </v:textbox>
                <w10:wrap type="topAndBottom"/>
              </v:shape>
            </w:pict>
          </mc:Fallback>
        </mc:AlternateContent>
      </w:r>
      <w:r w:rsidR="00F2442C" w:rsidRPr="00705B56">
        <w:rPr>
          <w:rFonts w:ascii="Arial" w:hAnsi="Arial" w:cs="Arial"/>
          <w:noProof/>
        </w:rPr>
        <w:drawing>
          <wp:anchor distT="0" distB="0" distL="114300" distR="114300" simplePos="0" relativeHeight="251755520" behindDoc="0" locked="0" layoutInCell="1" allowOverlap="1" wp14:anchorId="0F34B6E2" wp14:editId="5A0EB76E">
            <wp:simplePos x="0" y="0"/>
            <wp:positionH relativeFrom="margin">
              <wp:align>left</wp:align>
            </wp:positionH>
            <wp:positionV relativeFrom="paragraph">
              <wp:posOffset>1480185</wp:posOffset>
            </wp:positionV>
            <wp:extent cx="3323645" cy="2528091"/>
            <wp:effectExtent l="0" t="0" r="0" b="5715"/>
            <wp:wrapTopAndBottom/>
            <wp:docPr id="834179658"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79658" name="Imagen 1" descr="Mapa&#10;&#10;El contenido generado por IA puede ser incorrecto."/>
                    <pic:cNvPicPr/>
                  </pic:nvPicPr>
                  <pic:blipFill>
                    <a:blip r:embed="rId42">
                      <a:extLst>
                        <a:ext uri="{28A0092B-C50C-407E-A947-70E740481C1C}">
                          <a14:useLocalDpi xmlns:a14="http://schemas.microsoft.com/office/drawing/2010/main" val="0"/>
                        </a:ext>
                      </a:extLst>
                    </a:blip>
                    <a:stretch>
                      <a:fillRect/>
                    </a:stretch>
                  </pic:blipFill>
                  <pic:spPr>
                    <a:xfrm>
                      <a:off x="0" y="0"/>
                      <a:ext cx="3323645" cy="2528091"/>
                    </a:xfrm>
                    <a:prstGeom prst="rect">
                      <a:avLst/>
                    </a:prstGeom>
                  </pic:spPr>
                </pic:pic>
              </a:graphicData>
            </a:graphic>
            <wp14:sizeRelH relativeFrom="page">
              <wp14:pctWidth>0</wp14:pctWidth>
            </wp14:sizeRelH>
            <wp14:sizeRelV relativeFrom="page">
              <wp14:pctHeight>0</wp14:pctHeight>
            </wp14:sizeRelV>
          </wp:anchor>
        </w:drawing>
      </w:r>
      <w:r w:rsidR="00606EED" w:rsidRPr="00705B56">
        <w:rPr>
          <w:rFonts w:ascii="Arial" w:hAnsi="Arial" w:cs="Arial"/>
          <w:lang w:val="sq-AL"/>
        </w:rPr>
        <w:t xml:space="preserve">Për të kontekstualizuar të dhënat e ekspozimit brenda modeleve më të gjera të cenueshmërisë strukturore, figurat e mëposhtme paraqesin përcaktuesit kryesorë të cenueshmërisë socioekonomike në të gjithë Kosovën. </w:t>
      </w:r>
      <w:r w:rsidR="00606EED" w:rsidRPr="00705B56">
        <w:rPr>
          <w:rFonts w:ascii="Arial" w:hAnsi="Arial" w:cs="Arial"/>
          <w:b/>
          <w:bCs/>
          <w:i/>
          <w:iCs/>
          <w:lang w:val="sq-AL"/>
        </w:rPr>
        <w:t xml:space="preserve">Figura </w:t>
      </w:r>
      <w:r w:rsidR="005A005C" w:rsidRPr="00705B56">
        <w:rPr>
          <w:rFonts w:ascii="Arial" w:hAnsi="Arial" w:cs="Arial"/>
          <w:b/>
          <w:bCs/>
          <w:i/>
          <w:iCs/>
          <w:lang w:val="sq-AL"/>
        </w:rPr>
        <w:t>2</w:t>
      </w:r>
      <w:r w:rsidR="00606EED" w:rsidRPr="00705B56">
        <w:rPr>
          <w:rFonts w:ascii="Arial" w:hAnsi="Arial" w:cs="Arial"/>
          <w:b/>
          <w:bCs/>
          <w:i/>
          <w:iCs/>
          <w:lang w:val="sq-AL"/>
        </w:rPr>
        <w:t>1</w:t>
      </w:r>
      <w:r w:rsidRPr="00705B56">
        <w:rPr>
          <w:rStyle w:val="FootnoteReference"/>
          <w:rFonts w:ascii="Arial" w:hAnsi="Arial" w:cs="Arial"/>
          <w:b/>
          <w:bCs/>
          <w:i/>
          <w:iCs/>
          <w:lang w:val="sq-AL"/>
        </w:rPr>
        <w:footnoteReference w:id="25"/>
      </w:r>
      <w:r w:rsidR="00606EED" w:rsidRPr="00705B56">
        <w:rPr>
          <w:rFonts w:ascii="Arial" w:hAnsi="Arial" w:cs="Arial"/>
          <w:lang w:val="sq-AL"/>
        </w:rPr>
        <w:t xml:space="preserve"> hartëzon shkallën e urbanizimit, ndërsa </w:t>
      </w:r>
      <w:r w:rsidR="00606EED" w:rsidRPr="00705B56">
        <w:rPr>
          <w:rFonts w:ascii="Arial" w:hAnsi="Arial" w:cs="Arial"/>
          <w:b/>
          <w:bCs/>
          <w:i/>
          <w:iCs/>
          <w:lang w:val="sq-AL"/>
        </w:rPr>
        <w:t xml:space="preserve">Figura </w:t>
      </w:r>
      <w:r w:rsidR="005A005C" w:rsidRPr="00705B56">
        <w:rPr>
          <w:rFonts w:ascii="Arial" w:hAnsi="Arial" w:cs="Arial"/>
          <w:b/>
          <w:bCs/>
          <w:i/>
          <w:iCs/>
          <w:lang w:val="sq-AL"/>
        </w:rPr>
        <w:t>2</w:t>
      </w:r>
      <w:r w:rsidR="00606EED" w:rsidRPr="00705B56">
        <w:rPr>
          <w:rFonts w:ascii="Arial" w:hAnsi="Arial" w:cs="Arial"/>
          <w:b/>
          <w:bCs/>
          <w:i/>
          <w:iCs/>
          <w:lang w:val="sq-AL"/>
        </w:rPr>
        <w:t>2</w:t>
      </w:r>
      <w:r w:rsidRPr="00705B56">
        <w:rPr>
          <w:rStyle w:val="FootnoteReference"/>
          <w:rFonts w:ascii="Arial" w:hAnsi="Arial" w:cs="Arial"/>
          <w:b/>
          <w:bCs/>
          <w:i/>
          <w:iCs/>
          <w:lang w:val="sq-AL"/>
        </w:rPr>
        <w:footnoteReference w:id="26"/>
      </w:r>
      <w:r w:rsidR="00606EED" w:rsidRPr="00705B56">
        <w:rPr>
          <w:rFonts w:ascii="Arial" w:hAnsi="Arial" w:cs="Arial"/>
          <w:lang w:val="sq-AL"/>
        </w:rPr>
        <w:t xml:space="preserve"> tregon trendet demografike (2000–2020) dhe aksesin në tregje, të cilat të dyja janë komponentë kryesorë në llogaritjen e indeksit mesatar të cenueshmërisë të paraqitur në </w:t>
      </w:r>
      <w:r w:rsidR="00606EED" w:rsidRPr="00705B56">
        <w:rPr>
          <w:rFonts w:ascii="Arial" w:hAnsi="Arial" w:cs="Arial"/>
          <w:b/>
          <w:bCs/>
          <w:i/>
          <w:iCs/>
          <w:lang w:val="sq-AL"/>
        </w:rPr>
        <w:t xml:space="preserve">Figurën </w:t>
      </w:r>
      <w:r w:rsidR="005A005C" w:rsidRPr="00705B56">
        <w:rPr>
          <w:rFonts w:ascii="Arial" w:hAnsi="Arial" w:cs="Arial"/>
          <w:b/>
          <w:bCs/>
          <w:i/>
          <w:iCs/>
          <w:lang w:val="sq-AL"/>
        </w:rPr>
        <w:t>20</w:t>
      </w:r>
      <w:r w:rsidRPr="00705B56">
        <w:rPr>
          <w:rStyle w:val="FootnoteReference"/>
          <w:rFonts w:ascii="Arial" w:hAnsi="Arial" w:cs="Arial"/>
          <w:b/>
          <w:bCs/>
          <w:i/>
          <w:iCs/>
          <w:lang w:val="sq-AL"/>
        </w:rPr>
        <w:footnoteReference w:id="27"/>
      </w:r>
      <w:r w:rsidR="00606EED" w:rsidRPr="00705B56">
        <w:rPr>
          <w:rFonts w:ascii="Arial" w:hAnsi="Arial" w:cs="Arial"/>
          <w:lang w:val="sq-AL"/>
        </w:rPr>
        <w:t>. Këta faktorë themelorë - veçanërisht rënia e popullsisë dhe lidhja e kufizuar - ndihmojnë në shpjegimin pse disa komuna mbeten më të ekspozuara dhe më pak rezistente ndaj rreziqeve klimatike</w:t>
      </w:r>
      <w:r w:rsidR="00F2442C" w:rsidRPr="00705B56">
        <w:rPr>
          <w:rFonts w:ascii="Arial" w:hAnsi="Arial" w:cs="Arial"/>
          <w:lang w:val="sq-AL"/>
        </w:rPr>
        <w:t>.</w:t>
      </w:r>
    </w:p>
    <w:p w14:paraId="3861DDCC" w14:textId="1FC91CE0" w:rsidR="00F2442C" w:rsidRPr="00705B56" w:rsidRDefault="00D23BB3" w:rsidP="00C65386">
      <w:pPr>
        <w:keepNext/>
        <w:spacing w:before="0" w:after="0"/>
        <w:rPr>
          <w:rFonts w:ascii="Arial" w:hAnsi="Arial" w:cs="Arial"/>
          <w:lang w:val="sq-AL"/>
        </w:rPr>
      </w:pPr>
      <w:r w:rsidRPr="00705B56">
        <w:rPr>
          <w:rFonts w:ascii="Arial" w:hAnsi="Arial" w:cs="Arial"/>
          <w:noProof/>
        </w:rPr>
        <w:lastRenderedPageBreak/>
        <mc:AlternateContent>
          <mc:Choice Requires="wps">
            <w:drawing>
              <wp:anchor distT="0" distB="0" distL="114300" distR="114300" simplePos="0" relativeHeight="251807744" behindDoc="0" locked="0" layoutInCell="1" allowOverlap="1" wp14:anchorId="3C2B76A9" wp14:editId="1E5B0CB1">
                <wp:simplePos x="0" y="0"/>
                <wp:positionH relativeFrom="margin">
                  <wp:align>left</wp:align>
                </wp:positionH>
                <wp:positionV relativeFrom="paragraph">
                  <wp:posOffset>3001645</wp:posOffset>
                </wp:positionV>
                <wp:extent cx="6499860" cy="335280"/>
                <wp:effectExtent l="0" t="0" r="0" b="7620"/>
                <wp:wrapTopAndBottom/>
                <wp:docPr id="961654538" name="Text Box 1"/>
                <wp:cNvGraphicFramePr/>
                <a:graphic xmlns:a="http://schemas.openxmlformats.org/drawingml/2006/main">
                  <a:graphicData uri="http://schemas.microsoft.com/office/word/2010/wordprocessingShape">
                    <wps:wsp>
                      <wps:cNvSpPr txBox="1"/>
                      <wps:spPr>
                        <a:xfrm>
                          <a:off x="0" y="0"/>
                          <a:ext cx="6499860" cy="335280"/>
                        </a:xfrm>
                        <a:prstGeom prst="rect">
                          <a:avLst/>
                        </a:prstGeom>
                        <a:solidFill>
                          <a:prstClr val="white"/>
                        </a:solidFill>
                        <a:ln>
                          <a:noFill/>
                        </a:ln>
                      </wps:spPr>
                      <wps:txbx>
                        <w:txbxContent>
                          <w:p w14:paraId="5A4B285D" w14:textId="35DDFC38" w:rsidR="007A6AE2" w:rsidRPr="003F1EF1" w:rsidRDefault="007A6AE2" w:rsidP="004C6E93">
                            <w:pPr>
                              <w:pStyle w:val="Caption"/>
                              <w:rPr>
                                <w:rFonts w:ascii="Arial" w:hAnsi="Arial" w:cs="Arial"/>
                                <w:i w:val="0"/>
                                <w:iCs w:val="0"/>
                              </w:rPr>
                            </w:pPr>
                            <w:bookmarkStart w:id="55" w:name="_Toc211532623"/>
                            <w:r w:rsidRPr="003F1EF1">
                              <w:rPr>
                                <w:rFonts w:ascii="Arial" w:hAnsi="Arial" w:cs="Arial"/>
                              </w:rPr>
                              <w:t xml:space="preserve">Figura </w:t>
                            </w:r>
                            <w:r w:rsidRPr="003F1EF1">
                              <w:rPr>
                                <w:rFonts w:ascii="Arial" w:hAnsi="Arial" w:cs="Arial"/>
                              </w:rPr>
                              <w:fldChar w:fldCharType="begin"/>
                            </w:r>
                            <w:r w:rsidRPr="003F1EF1">
                              <w:rPr>
                                <w:rFonts w:ascii="Arial" w:hAnsi="Arial" w:cs="Arial"/>
                              </w:rPr>
                              <w:instrText xml:space="preserve"> SEQ Figura \* ARABIC </w:instrText>
                            </w:r>
                            <w:r w:rsidRPr="003F1EF1">
                              <w:rPr>
                                <w:rFonts w:ascii="Arial" w:hAnsi="Arial" w:cs="Arial"/>
                              </w:rPr>
                              <w:fldChar w:fldCharType="separate"/>
                            </w:r>
                            <w:r w:rsidR="0005579F" w:rsidRPr="003F1EF1">
                              <w:rPr>
                                <w:rFonts w:ascii="Arial" w:hAnsi="Arial" w:cs="Arial"/>
                                <w:noProof/>
                              </w:rPr>
                              <w:t>22</w:t>
                            </w:r>
                            <w:r w:rsidRPr="003F1EF1">
                              <w:rPr>
                                <w:rFonts w:ascii="Arial" w:hAnsi="Arial" w:cs="Arial"/>
                              </w:rPr>
                              <w:fldChar w:fldCharType="end"/>
                            </w:r>
                            <w:r w:rsidRPr="003F1EF1">
                              <w:rPr>
                                <w:rFonts w:ascii="Arial" w:hAnsi="Arial" w:cs="Arial"/>
                              </w:rPr>
                              <w:t xml:space="preserve">. Faktorët përcaktues të cenueshmërisë socioekonomike. </w:t>
                            </w:r>
                            <w:r w:rsidR="00AD6702" w:rsidRPr="003F1EF1">
                              <w:rPr>
                                <w:rFonts w:ascii="Arial" w:hAnsi="Arial" w:cs="Arial"/>
                              </w:rPr>
                              <w:t xml:space="preserve"> </w:t>
                            </w:r>
                            <w:r w:rsidRPr="003F1EF1">
                              <w:rPr>
                                <w:rFonts w:ascii="Arial" w:hAnsi="Arial" w:cs="Arial"/>
                              </w:rPr>
                              <w:t>Burimi: Banka Botërore, MONSTAT, GHS-POP R2023A, OpenStreetMap.</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2B76A9" id="_x0000_s1044" type="#_x0000_t202" style="position:absolute;margin-left:0;margin-top:236.35pt;width:511.8pt;height:26.4pt;z-index:251807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" stroked="f">
                <v:textbox inset="0,0,0,0">
                  <w:txbxContent>
                    <w:p w14:paraId="5A4B285D" w14:textId="35DDFC38" w:rsidR="007A6AE2" w:rsidRPr="003F1EF1" w:rsidRDefault="007A6AE2" w:rsidP="004C6E93">
                      <w:pPr>
                        <w:pStyle w:val="Caption"/>
                        <w:rPr>
                          <w:rFonts w:ascii="Arial" w:hAnsi="Arial" w:cs="Arial"/>
                          <w:i w:val="0"/>
                          <w:iCs w:val="0"/>
                        </w:rPr>
                      </w:pPr>
                      <w:bookmarkStart w:id="69" w:name="_Toc211532623"/>
                      <w:r w:rsidRPr="003F1EF1">
                        <w:rPr>
                          <w:rFonts w:ascii="Arial" w:hAnsi="Arial" w:cs="Arial"/>
                        </w:rPr>
                        <w:t xml:space="preserve">Figura </w:t>
                      </w:r>
                      <w:r w:rsidRPr="003F1EF1">
                        <w:rPr>
                          <w:rFonts w:ascii="Arial" w:hAnsi="Arial" w:cs="Arial"/>
                        </w:rPr>
                        <w:fldChar w:fldCharType="begin"/>
                      </w:r>
                      <w:r w:rsidRPr="003F1EF1">
                        <w:rPr>
                          <w:rFonts w:ascii="Arial" w:hAnsi="Arial" w:cs="Arial"/>
                        </w:rPr>
                        <w:instrText xml:space="preserve"> SEQ Figura \* ARABIC </w:instrText>
                      </w:r>
                      <w:r w:rsidRPr="003F1EF1">
                        <w:rPr>
                          <w:rFonts w:ascii="Arial" w:hAnsi="Arial" w:cs="Arial"/>
                        </w:rPr>
                        <w:fldChar w:fldCharType="separate"/>
                      </w:r>
                      <w:r w:rsidR="0005579F" w:rsidRPr="003F1EF1">
                        <w:rPr>
                          <w:rFonts w:ascii="Arial" w:hAnsi="Arial" w:cs="Arial"/>
                          <w:noProof/>
                        </w:rPr>
                        <w:t>22</w:t>
                      </w:r>
                      <w:r w:rsidRPr="003F1EF1">
                        <w:rPr>
                          <w:rFonts w:ascii="Arial" w:hAnsi="Arial" w:cs="Arial"/>
                        </w:rPr>
                        <w:fldChar w:fldCharType="end"/>
                      </w:r>
                      <w:r w:rsidRPr="003F1EF1">
                        <w:rPr>
                          <w:rFonts w:ascii="Arial" w:hAnsi="Arial" w:cs="Arial"/>
                        </w:rPr>
                        <w:t xml:space="preserve">. </w:t>
                      </w:r>
                      <w:r w:rsidRPr="003F1EF1">
                        <w:rPr>
                          <w:rFonts w:ascii="Arial" w:hAnsi="Arial" w:cs="Arial"/>
                        </w:rPr>
                        <w:t xml:space="preserve">Faktorët përcaktues të cenueshmërisë socioekonomike. </w:t>
                      </w:r>
                      <w:r w:rsidR="00AD6702" w:rsidRPr="003F1EF1">
                        <w:rPr>
                          <w:rFonts w:ascii="Arial" w:hAnsi="Arial" w:cs="Arial"/>
                        </w:rPr>
                        <w:t xml:space="preserve"> </w:t>
                      </w:r>
                      <w:r w:rsidRPr="003F1EF1">
                        <w:rPr>
                          <w:rFonts w:ascii="Arial" w:hAnsi="Arial" w:cs="Arial"/>
                        </w:rPr>
                        <w:t>Burimi: Banka Botërore, MONSTAT, GHS-POP R2023A, OpenStreetMap.</w:t>
                      </w:r>
                      <w:bookmarkEnd w:id="69"/>
                    </w:p>
                  </w:txbxContent>
                </v:textbox>
                <w10:wrap type="topAndBottom" anchorx="margin"/>
              </v:shape>
            </w:pict>
          </mc:Fallback>
        </mc:AlternateContent>
      </w:r>
    </w:p>
    <w:p w14:paraId="1F7CE27D" w14:textId="4D9C4095" w:rsidR="00907FA0" w:rsidRPr="00705B56" w:rsidRDefault="00F2442C" w:rsidP="004C6E93">
      <w:pPr>
        <w:spacing w:before="0" w:after="0"/>
        <w:jc w:val="center"/>
        <w:rPr>
          <w:rFonts w:ascii="Arial" w:hAnsi="Arial" w:cs="Arial"/>
          <w:i/>
          <w:iCs/>
          <w:sz w:val="20"/>
          <w:szCs w:val="20"/>
          <w:lang w:val="sq-AL"/>
        </w:rPr>
      </w:pPr>
      <w:r w:rsidRPr="00705B56">
        <w:rPr>
          <w:rFonts w:ascii="Arial" w:hAnsi="Arial" w:cs="Arial"/>
          <w:b/>
          <w:bCs/>
          <w:i/>
          <w:iCs/>
          <w:noProof/>
          <w:sz w:val="20"/>
          <w:szCs w:val="20"/>
        </w:rPr>
        <w:drawing>
          <wp:anchor distT="0" distB="0" distL="114300" distR="114300" simplePos="0" relativeHeight="251756544" behindDoc="0" locked="0" layoutInCell="1" allowOverlap="1" wp14:anchorId="587EDEC6" wp14:editId="21BE4D37">
            <wp:simplePos x="0" y="0"/>
            <wp:positionH relativeFrom="column">
              <wp:posOffset>304</wp:posOffset>
            </wp:positionH>
            <wp:positionV relativeFrom="paragraph">
              <wp:posOffset>304</wp:posOffset>
            </wp:positionV>
            <wp:extent cx="6500011" cy="2608028"/>
            <wp:effectExtent l="0" t="0" r="0" b="1905"/>
            <wp:wrapTopAndBottom/>
            <wp:docPr id="1899795326"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95326" name="Imagen 1" descr="Mapa&#10;&#10;El contenido generado por IA puede ser incorrecto."/>
                    <pic:cNvPicPr/>
                  </pic:nvPicPr>
                  <pic:blipFill>
                    <a:blip r:embed="rId43">
                      <a:extLst>
                        <a:ext uri="{28A0092B-C50C-407E-A947-70E740481C1C}">
                          <a14:useLocalDpi xmlns:a14="http://schemas.microsoft.com/office/drawing/2010/main" val="0"/>
                        </a:ext>
                      </a:extLst>
                    </a:blip>
                    <a:stretch>
                      <a:fillRect/>
                    </a:stretch>
                  </pic:blipFill>
                  <pic:spPr>
                    <a:xfrm>
                      <a:off x="0" y="0"/>
                      <a:ext cx="6500011" cy="2608028"/>
                    </a:xfrm>
                    <a:prstGeom prst="rect">
                      <a:avLst/>
                    </a:prstGeom>
                  </pic:spPr>
                </pic:pic>
              </a:graphicData>
            </a:graphic>
            <wp14:sizeRelH relativeFrom="page">
              <wp14:pctWidth>0</wp14:pctWidth>
            </wp14:sizeRelH>
            <wp14:sizeRelV relativeFrom="page">
              <wp14:pctHeight>0</wp14:pctHeight>
            </wp14:sizeRelV>
          </wp:anchor>
        </w:drawing>
      </w:r>
    </w:p>
    <w:p w14:paraId="6B60D996" w14:textId="4BC8FDA0" w:rsidR="009E00F5" w:rsidRPr="00705B56" w:rsidRDefault="00907FA0" w:rsidP="00115935">
      <w:pPr>
        <w:jc w:val="both"/>
        <w:rPr>
          <w:rFonts w:ascii="Arial" w:hAnsi="Arial" w:cs="Arial"/>
          <w:lang w:val="sq-AL"/>
        </w:rPr>
      </w:pPr>
      <w:r w:rsidRPr="00705B56">
        <w:rPr>
          <w:rFonts w:ascii="Arial" w:hAnsi="Arial" w:cs="Arial"/>
          <w:lang w:val="sq-AL"/>
        </w:rPr>
        <w:t>Si përmbledhje, ngjarjet e rënda të motit në Kosovë - qofshin përmbytje, thatësira, zjarre në pyje, stuhi apo reshje anormale të borës - janë intensifikuar në frekuencë dhe ndikim. Shumë nga fatkeqësitë natyrore më të këqija në historinë e regjistruar të vendit kanë ndodhur në 10-15 vitet e fundit, duke sugjeruar që ndryshimet klimatike tashmë po i amplifikojnë ekstremet. Shpërndarja hapësinore e këtyre rreziqeve, e kombinuar me faktorët strukturorë, nënvizon rëndësinë e strategjive të përshtatjes bazuar në vend</w:t>
      </w:r>
      <w:r w:rsidR="009E00F5" w:rsidRPr="00705B56">
        <w:rPr>
          <w:rFonts w:ascii="Arial" w:hAnsi="Arial" w:cs="Arial"/>
          <w:lang w:val="sq-AL"/>
        </w:rPr>
        <w:t xml:space="preserve">. </w:t>
      </w:r>
    </w:p>
    <w:p w14:paraId="1EE901B4" w14:textId="0C58D48B" w:rsidR="00A5158A" w:rsidRPr="00705B56" w:rsidRDefault="009E257D" w:rsidP="008E17FD">
      <w:pPr>
        <w:pStyle w:val="Heading2"/>
        <w:spacing w:before="0" w:after="0"/>
        <w:rPr>
          <w:rFonts w:ascii="Arial" w:hAnsi="Arial" w:cs="Arial"/>
          <w:lang w:val="sq-AL"/>
        </w:rPr>
      </w:pPr>
      <w:bookmarkStart w:id="56" w:name="_Toc211532696"/>
      <w:r w:rsidRPr="00705B56">
        <w:rPr>
          <w:rFonts w:ascii="Arial" w:hAnsi="Arial" w:cs="Arial"/>
          <w:lang w:val="sq-AL"/>
        </w:rPr>
        <w:t>Tendencat e Parashikuara të Ndryshimeve Klimatike</w:t>
      </w:r>
      <w:bookmarkEnd w:id="56"/>
    </w:p>
    <w:p w14:paraId="13827EFF" w14:textId="05BD8E81" w:rsidR="009E257D" w:rsidRPr="00705B56" w:rsidRDefault="009E257D" w:rsidP="009E257D">
      <w:pPr>
        <w:jc w:val="both"/>
        <w:rPr>
          <w:rFonts w:ascii="Arial" w:hAnsi="Arial" w:cs="Arial"/>
          <w:lang w:val="sq-AL"/>
        </w:rPr>
      </w:pPr>
      <w:r w:rsidRPr="00705B56">
        <w:rPr>
          <w:rFonts w:ascii="Arial" w:hAnsi="Arial" w:cs="Arial"/>
          <w:lang w:val="sq-AL"/>
        </w:rPr>
        <w:t>Projekcionet për ndryshimet klimatike në Kosovë bazohen kryesisht në Skenarët e Rrugëve të Përqendrimit të Rrezatimit (RCP) dhe Skenarët e Përafrimeve Shoqërore dhe Ekonomike (SSP), të zhvilluara në kuadër të Vlerësimit të Gjashtë (AR6) të IPCC-së</w:t>
      </w:r>
      <w:r w:rsidR="00656FAA" w:rsidRPr="00705B56">
        <w:rPr>
          <w:rFonts w:ascii="Arial" w:hAnsi="Arial" w:cs="Arial"/>
          <w:lang w:val="sq-AL"/>
        </w:rPr>
        <w:t>.</w:t>
      </w:r>
      <w:r w:rsidR="009E00F5" w:rsidRPr="00705B56">
        <w:rPr>
          <w:rStyle w:val="FootnoteReference"/>
          <w:rFonts w:ascii="Arial" w:hAnsi="Arial" w:cs="Arial"/>
          <w:lang w:val="sq-AL"/>
        </w:rPr>
        <w:footnoteReference w:id="28"/>
      </w:r>
      <w:r w:rsidR="00A5158A" w:rsidRPr="00705B56">
        <w:rPr>
          <w:rFonts w:ascii="Arial" w:hAnsi="Arial" w:cs="Arial"/>
          <w:lang w:val="sq-AL"/>
        </w:rPr>
        <w:t xml:space="preserve"> </w:t>
      </w:r>
      <w:bookmarkStart w:id="57" w:name="_Ref201652301"/>
      <w:r w:rsidRPr="00705B56">
        <w:rPr>
          <w:rFonts w:ascii="Arial" w:hAnsi="Arial" w:cs="Arial"/>
          <w:lang w:val="sq-AL"/>
        </w:rPr>
        <w:t>Këto skenarë ofrojnë një kornizë për vlerësimin e kushteve të mundshme të ardhshme klimatike, si dhe implikimet socio-ekonomike që vijnë si pasojë e ndryshimeve klimatike.</w:t>
      </w:r>
    </w:p>
    <w:p w14:paraId="06946E8F" w14:textId="4FBA8E29" w:rsidR="009E257D" w:rsidRPr="00705B56" w:rsidRDefault="009E257D" w:rsidP="009E257D">
      <w:pPr>
        <w:jc w:val="both"/>
        <w:rPr>
          <w:rFonts w:ascii="Arial" w:hAnsi="Arial" w:cs="Arial"/>
          <w:lang w:val="sq-AL"/>
        </w:rPr>
      </w:pPr>
      <w:r w:rsidRPr="00705B56">
        <w:rPr>
          <w:rFonts w:ascii="Arial" w:hAnsi="Arial" w:cs="Arial"/>
          <w:lang w:val="sq-AL"/>
        </w:rPr>
        <w:t>Ndryshime të rëndësishme në balancën ujore dhe në temperaturat e sipërfaqes tokësore janë tashmë të dukshme në Kosovë. Edhe në një skenar ku temperaturat mesatare globale tejkalojnë lehtë objektivat e Marrëveshjes së Parisit (shih Figurën 13, SSP1-2.6), temperaturat mesatare në Kosovë pritet të rriten me rreth 2°C krahasuar me nivelet e shekullit të kaluar</w:t>
      </w:r>
      <w:r w:rsidR="00656FAA" w:rsidRPr="00705B56">
        <w:rPr>
          <w:rFonts w:ascii="Arial" w:hAnsi="Arial" w:cs="Arial"/>
          <w:lang w:val="sq-AL"/>
        </w:rPr>
        <w:t>.</w:t>
      </w:r>
      <w:r w:rsidR="009E00F5" w:rsidRPr="00705B56">
        <w:rPr>
          <w:rStyle w:val="FootnoteReference"/>
          <w:rFonts w:ascii="Arial" w:hAnsi="Arial" w:cs="Arial"/>
          <w:lang w:val="sq-AL"/>
        </w:rPr>
        <w:footnoteReference w:id="29"/>
      </w:r>
      <w:bookmarkEnd w:id="57"/>
      <w:r w:rsidR="00A5158A" w:rsidRPr="00705B56">
        <w:rPr>
          <w:rFonts w:ascii="Arial" w:hAnsi="Arial" w:cs="Arial"/>
          <w:lang w:val="sq-AL"/>
        </w:rPr>
        <w:fldChar w:fldCharType="begin" w:fldLock="1"/>
      </w:r>
      <w:r w:rsidR="00A5158A" w:rsidRPr="00705B56">
        <w:rPr>
          <w:rFonts w:ascii="Arial" w:hAnsi="Arial" w:cs="Arial"/>
          <w:lang w:val="sq-AL"/>
        </w:rPr>
        <w:instrText>ADDIN CSL_CITATION {"citationItems":[{"id":"ITEM-1","itemData":{"author":[{"dropping-particle":"","family":"Ministry of Environment Spatial Planning and Infrastructure","given":"","non-dropping-particle":"","parse-names":false,"suffix":""}],"id":"ITEM-1","issued":{"date-parts":[["0"]]},"title":"First and voluntary NDC","type":"report"},"uris":["http://www.mendeley.com/documents/?uuid=3a646f04-2778-4689-96ae-0fc5de63d2cd"]}],"mendeley":{"formattedCitation":"(Ministry of Environment Spatial Planning and Infrastructure, n.d.)","plainTextFormattedCitation":"(Ministry of Environment Spatial Planning and Infrastructure, n.d.)","previouslyFormattedCitation":"(Ministry of Environment Spatial Planning and Infrastructure, n.d.)"},"properties":{"noteIndex":0},"schema":"https://github.com/citation-style-language/schema/raw/master/csl-citation.json"}</w:instrText>
      </w:r>
      <w:r w:rsidR="00A5158A" w:rsidRPr="00705B56">
        <w:rPr>
          <w:rFonts w:ascii="Arial" w:hAnsi="Arial" w:cs="Arial"/>
          <w:lang w:val="sq-AL"/>
        </w:rPr>
        <w:fldChar w:fldCharType="end"/>
      </w:r>
      <w:r w:rsidR="00A5158A" w:rsidRPr="00705B56">
        <w:rPr>
          <w:rFonts w:ascii="Arial" w:hAnsi="Arial" w:cs="Arial"/>
          <w:lang w:val="sq-AL"/>
        </w:rPr>
        <w:t xml:space="preserve"> </w:t>
      </w:r>
      <w:r w:rsidRPr="00705B56">
        <w:rPr>
          <w:rFonts w:ascii="Arial" w:hAnsi="Arial" w:cs="Arial"/>
          <w:lang w:val="sq-AL"/>
        </w:rPr>
        <w:t>Në një skenar më të rëndë (SSP5-8.5), parashikimet aktuale sugjerojnë një rritje potenciale të temperaturës deri në rreth 6.5°C deri në fund të shekullit. Kjo ngrohje mund të çojë në pasoja të ndryshme negative për rajonin, përfshirë: shfaqjen e ditëve të nxehta edhe në zonat me lartësi të madhe mbi nivelin e detit; një shtesë prej 20–30 ditë të nxehta në zonat me lartësi më të ulët; shfaqjen e 2 deri në 5 valë të nxehti në vit, secila duke zgjatur nga 5 deri në 15 ditë.</w:t>
      </w:r>
    </w:p>
    <w:p w14:paraId="4176ECDE" w14:textId="1DEE8A60" w:rsidR="00A5158A" w:rsidRPr="00705B56" w:rsidRDefault="009E257D" w:rsidP="009E257D">
      <w:pPr>
        <w:jc w:val="both"/>
        <w:rPr>
          <w:rFonts w:ascii="Arial" w:hAnsi="Arial" w:cs="Arial"/>
          <w:lang w:val="sq-AL"/>
        </w:rPr>
      </w:pPr>
      <w:r w:rsidRPr="00705B56">
        <w:rPr>
          <w:rFonts w:ascii="Arial" w:hAnsi="Arial" w:cs="Arial"/>
          <w:lang w:val="sq-AL"/>
        </w:rPr>
        <w:t>Këto zhvillime do të kenë ndikime të drejtpërdrejta në shëndetin publik, bujqësinë, burimet ujore, biodiversitetin, si dhe funksionalitetin e infrastrukturës kritike në vend</w:t>
      </w:r>
      <w:r w:rsidR="000450F8" w:rsidRPr="00705B56">
        <w:rPr>
          <w:rFonts w:ascii="Arial" w:hAnsi="Arial" w:cs="Arial"/>
          <w:lang w:val="sq-AL"/>
        </w:rPr>
        <w:t>.</w:t>
      </w:r>
    </w:p>
    <w:p w14:paraId="762D4F47" w14:textId="77777777" w:rsidR="007A6AE2" w:rsidRPr="00705B56" w:rsidRDefault="00A5158A" w:rsidP="004C6E93">
      <w:pPr>
        <w:keepNext/>
        <w:jc w:val="center"/>
        <w:rPr>
          <w:rFonts w:ascii="Arial" w:hAnsi="Arial" w:cs="Arial"/>
        </w:rPr>
      </w:pPr>
      <w:r w:rsidRPr="00705B56">
        <w:rPr>
          <w:rFonts w:ascii="Arial" w:hAnsi="Arial" w:cs="Arial"/>
          <w:noProof/>
        </w:rPr>
        <w:lastRenderedPageBreak/>
        <w:drawing>
          <wp:inline distT="0" distB="0" distL="0" distR="0" wp14:anchorId="6A47A2AC" wp14:editId="182BDF10">
            <wp:extent cx="5137785" cy="2481580"/>
            <wp:effectExtent l="0" t="0" r="5715" b="13970"/>
            <wp:docPr id="1477615074" name="Gráfico 1">
              <a:extLst xmlns:a="http://schemas.openxmlformats.org/drawingml/2006/main">
                <a:ext uri="{FF2B5EF4-FFF2-40B4-BE49-F238E27FC236}">
                  <a16:creationId xmlns:a16="http://schemas.microsoft.com/office/drawing/2014/main" id="{89157403-1910-E379-289E-270E7D9282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A69DB51" w14:textId="3ECC9F38" w:rsidR="00A5158A" w:rsidRPr="00705B56" w:rsidRDefault="007A6AE2" w:rsidP="004C6E93">
      <w:pPr>
        <w:pStyle w:val="Caption"/>
        <w:rPr>
          <w:rFonts w:ascii="Arial" w:hAnsi="Arial" w:cs="Arial"/>
          <w:lang w:val="sq-AL"/>
        </w:rPr>
      </w:pPr>
      <w:bookmarkStart w:id="58" w:name="_Toc211532624"/>
      <w:r w:rsidRPr="00705B56">
        <w:rPr>
          <w:rFonts w:ascii="Arial" w:hAnsi="Arial" w:cs="Arial"/>
        </w:rPr>
        <w:t xml:space="preserve">Figura </w:t>
      </w:r>
      <w:r w:rsidRPr="00705B56">
        <w:rPr>
          <w:rFonts w:ascii="Arial" w:hAnsi="Arial" w:cs="Arial"/>
        </w:rPr>
        <w:fldChar w:fldCharType="begin"/>
      </w:r>
      <w:r w:rsidRPr="00705B56">
        <w:rPr>
          <w:rFonts w:ascii="Arial" w:hAnsi="Arial" w:cs="Arial"/>
        </w:rPr>
        <w:instrText xml:space="preserve"> SEQ Figura \* ARABIC </w:instrText>
      </w:r>
      <w:r w:rsidRPr="00705B56">
        <w:rPr>
          <w:rFonts w:ascii="Arial" w:hAnsi="Arial" w:cs="Arial"/>
        </w:rPr>
        <w:fldChar w:fldCharType="separate"/>
      </w:r>
      <w:r w:rsidR="0005579F" w:rsidRPr="00705B56">
        <w:rPr>
          <w:rFonts w:ascii="Arial" w:hAnsi="Arial" w:cs="Arial"/>
          <w:noProof/>
        </w:rPr>
        <w:t>23</w:t>
      </w:r>
      <w:r w:rsidRPr="00705B56">
        <w:rPr>
          <w:rFonts w:ascii="Arial" w:hAnsi="Arial" w:cs="Arial"/>
        </w:rPr>
        <w:fldChar w:fldCharType="end"/>
      </w:r>
      <w:r w:rsidRPr="00705B56">
        <w:rPr>
          <w:rFonts w:ascii="Arial" w:hAnsi="Arial" w:cs="Arial"/>
        </w:rPr>
        <w:t>. Temperatura mesatare e parashikuar e sipërfaqes në Kosovë (periudha referuese 1995 – 2014). Burimi: MMPHI (2025) bazuar në NDC-në e Parë dhe Vullnetare të Kosovës - Banka Botërore. Portali i Njohurive për Ndryshimet Klimatike.</w:t>
      </w:r>
      <w:bookmarkEnd w:id="58"/>
    </w:p>
    <w:p w14:paraId="1A0F5DA9" w14:textId="638FA8C6" w:rsidR="00A5158A" w:rsidRPr="00705B56" w:rsidRDefault="00A5158A" w:rsidP="009E257D">
      <w:pPr>
        <w:spacing w:before="0" w:after="0"/>
        <w:jc w:val="right"/>
        <w:rPr>
          <w:rFonts w:ascii="Arial" w:hAnsi="Arial" w:cs="Arial"/>
          <w:b/>
          <w:bCs/>
          <w:sz w:val="20"/>
          <w:szCs w:val="20"/>
          <w:lang w:val="sq-AL"/>
        </w:rPr>
      </w:pPr>
    </w:p>
    <w:p w14:paraId="0133B567" w14:textId="77777777" w:rsidR="007A6AE2" w:rsidRPr="00705B56" w:rsidRDefault="00A5158A" w:rsidP="004C6E93">
      <w:pPr>
        <w:keepNext/>
        <w:jc w:val="center"/>
        <w:rPr>
          <w:rFonts w:ascii="Arial" w:hAnsi="Arial" w:cs="Arial"/>
        </w:rPr>
      </w:pPr>
      <w:r w:rsidRPr="00705B56">
        <w:rPr>
          <w:rFonts w:ascii="Arial" w:hAnsi="Arial" w:cs="Arial"/>
          <w:noProof/>
        </w:rPr>
        <w:drawing>
          <wp:inline distT="0" distB="0" distL="0" distR="0" wp14:anchorId="6851C175" wp14:editId="66193576">
            <wp:extent cx="4965065" cy="2051758"/>
            <wp:effectExtent l="0" t="0" r="6985" b="5715"/>
            <wp:docPr id="2103502944" name="Gráfico 1">
              <a:extLst xmlns:a="http://schemas.openxmlformats.org/drawingml/2006/main">
                <a:ext uri="{FF2B5EF4-FFF2-40B4-BE49-F238E27FC236}">
                  <a16:creationId xmlns:a16="http://schemas.microsoft.com/office/drawing/2014/main" id="{6726F705-8C2A-E821-9DDD-B89E71A56E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23E9A45" w14:textId="0EB97DE8" w:rsidR="00A5158A" w:rsidRPr="00A40FCE" w:rsidRDefault="007A6AE2" w:rsidP="00A40FCE">
      <w:pPr>
        <w:pStyle w:val="Caption"/>
        <w:rPr>
          <w:rFonts w:ascii="Arial" w:hAnsi="Arial" w:cs="Arial"/>
          <w:lang w:val="sq-AL"/>
        </w:rPr>
      </w:pPr>
      <w:bookmarkStart w:id="59" w:name="_Toc211532625"/>
      <w:r w:rsidRPr="00705B56">
        <w:rPr>
          <w:rFonts w:ascii="Arial" w:hAnsi="Arial" w:cs="Arial"/>
        </w:rPr>
        <w:t xml:space="preserve">Figura </w:t>
      </w:r>
      <w:r w:rsidRPr="00705B56">
        <w:rPr>
          <w:rFonts w:ascii="Arial" w:hAnsi="Arial" w:cs="Arial"/>
        </w:rPr>
        <w:fldChar w:fldCharType="begin"/>
      </w:r>
      <w:r w:rsidRPr="00705B56">
        <w:rPr>
          <w:rFonts w:ascii="Arial" w:hAnsi="Arial" w:cs="Arial"/>
        </w:rPr>
        <w:instrText xml:space="preserve"> SEQ Figura \* ARABIC </w:instrText>
      </w:r>
      <w:r w:rsidRPr="00705B56">
        <w:rPr>
          <w:rFonts w:ascii="Arial" w:hAnsi="Arial" w:cs="Arial"/>
        </w:rPr>
        <w:fldChar w:fldCharType="separate"/>
      </w:r>
      <w:r w:rsidR="0005579F" w:rsidRPr="00705B56">
        <w:rPr>
          <w:rFonts w:ascii="Arial" w:hAnsi="Arial" w:cs="Arial"/>
          <w:noProof/>
        </w:rPr>
        <w:t>24</w:t>
      </w:r>
      <w:r w:rsidRPr="00705B56">
        <w:rPr>
          <w:rFonts w:ascii="Arial" w:hAnsi="Arial" w:cs="Arial"/>
        </w:rPr>
        <w:fldChar w:fldCharType="end"/>
      </w:r>
      <w:r w:rsidRPr="00705B56">
        <w:rPr>
          <w:rFonts w:ascii="Arial" w:hAnsi="Arial" w:cs="Arial"/>
        </w:rPr>
        <w:t>. Anomalia e ndryshimit të përqindjes së reshjeve të parashikuara për vitet 2080-2099 në Kosovë (periudha referuese 1950-2014). Burimi: MMPHI (2025) bazuar në NDC-në e Parë dhe Vullnetare të Kosovës - Banka Botërore. Portali i Njohurive për Ndryshimet Klimatike.</w:t>
      </w:r>
      <w:bookmarkEnd w:id="59"/>
      <w:r w:rsidR="00A5158A" w:rsidRPr="00705B56">
        <w:rPr>
          <w:rFonts w:ascii="Arial" w:hAnsi="Arial" w:cs="Arial"/>
          <w:b/>
          <w:bCs/>
          <w:sz w:val="20"/>
          <w:szCs w:val="20"/>
          <w:lang w:val="sq-AL"/>
        </w:rPr>
        <w:t xml:space="preserve"> </w:t>
      </w:r>
    </w:p>
    <w:p w14:paraId="46B13ACF" w14:textId="001CA84E" w:rsidR="00A5158A" w:rsidRPr="00705B56" w:rsidRDefault="002E3727" w:rsidP="008E17FD">
      <w:pPr>
        <w:jc w:val="both"/>
        <w:rPr>
          <w:rFonts w:ascii="Arial" w:hAnsi="Arial" w:cs="Arial"/>
          <w:lang w:val="sq-AL"/>
        </w:rPr>
      </w:pPr>
      <w:r w:rsidRPr="00705B56">
        <w:rPr>
          <w:rFonts w:ascii="Arial" w:hAnsi="Arial" w:cs="Arial"/>
          <w:lang w:val="sq-AL"/>
        </w:rPr>
        <w:t xml:space="preserve">Përveç rritjes së parashikuar të temperaturave, ndryshimet klimatike po ndikojnë gjithashtu në modelet e reshjeve. Sipas Portalit të Njohurive për Ndryshimet Klimatike të Bankës Botërore, periudha më e ndjeshme ndaj ndryshimeve të reshjeve është qershor–shtator. Projekcionet tregojnë një rënie të nivelit të reshjeve nga -6% deri në -23% deri në fund të shekullit, në varësi të skenarit të ndjekur (shih Figurën </w:t>
      </w:r>
      <w:r w:rsidR="005A005C" w:rsidRPr="00705B56">
        <w:rPr>
          <w:rFonts w:ascii="Arial" w:hAnsi="Arial" w:cs="Arial"/>
          <w:lang w:val="sq-AL"/>
        </w:rPr>
        <w:t>2</w:t>
      </w:r>
      <w:r w:rsidRPr="00705B56">
        <w:rPr>
          <w:rFonts w:ascii="Arial" w:hAnsi="Arial" w:cs="Arial"/>
          <w:lang w:val="sq-AL"/>
        </w:rPr>
        <w:t>4). Rajonet jugore të Kosovës pritet të jenë më të prekura nga këto ndryshime</w:t>
      </w:r>
      <w:r w:rsidR="00772917" w:rsidRPr="00705B56">
        <w:rPr>
          <w:rFonts w:ascii="Arial" w:hAnsi="Arial" w:cs="Arial"/>
          <w:lang w:val="sq-AL"/>
        </w:rPr>
        <w:t>.</w:t>
      </w:r>
    </w:p>
    <w:p w14:paraId="1829E6B3" w14:textId="707A0720" w:rsidR="00A5158A" w:rsidRPr="00705B56" w:rsidRDefault="002E3727" w:rsidP="008E17FD">
      <w:pPr>
        <w:jc w:val="both"/>
        <w:rPr>
          <w:rFonts w:ascii="Arial" w:hAnsi="Arial" w:cs="Arial"/>
          <w:lang w:val="sq-AL"/>
        </w:rPr>
      </w:pPr>
      <w:r w:rsidRPr="00705B56">
        <w:rPr>
          <w:rFonts w:ascii="Arial" w:hAnsi="Arial" w:cs="Arial"/>
          <w:lang w:val="sq-AL"/>
        </w:rPr>
        <w:t>Katër skenarët kryesorë të RCP-ve dhe ndikimet e tyre të mundshme për Kosovën janë</w:t>
      </w:r>
      <w:r w:rsidR="00650CA4" w:rsidRPr="00705B56">
        <w:rPr>
          <w:rFonts w:ascii="Arial" w:hAnsi="Arial" w:cs="Arial"/>
          <w:lang w:val="sq-AL"/>
        </w:rPr>
        <w:t xml:space="preserve"> </w:t>
      </w:r>
      <w:r w:rsidR="00650CA4" w:rsidRPr="00705B56">
        <w:rPr>
          <w:rStyle w:val="FootnoteReference"/>
          <w:rFonts w:ascii="Arial" w:hAnsi="Arial" w:cs="Arial"/>
          <w:lang w:val="sq-AL"/>
        </w:rPr>
        <w:footnoteReference w:id="30"/>
      </w:r>
      <w:r w:rsidR="00A5158A" w:rsidRPr="00705B56">
        <w:rPr>
          <w:rFonts w:ascii="Arial" w:hAnsi="Arial" w:cs="Arial"/>
          <w:lang w:val="sq-AL"/>
        </w:rPr>
        <w:t>:</w:t>
      </w:r>
    </w:p>
    <w:p w14:paraId="1A843027" w14:textId="667174CD" w:rsidR="00A5158A" w:rsidRPr="00705B56" w:rsidRDefault="002E3727" w:rsidP="00F36447">
      <w:pPr>
        <w:numPr>
          <w:ilvl w:val="0"/>
          <w:numId w:val="16"/>
        </w:numPr>
        <w:jc w:val="both"/>
        <w:rPr>
          <w:rFonts w:ascii="Arial" w:hAnsi="Arial" w:cs="Arial"/>
          <w:lang w:val="sq-AL"/>
        </w:rPr>
      </w:pPr>
      <w:r w:rsidRPr="00705B56">
        <w:rPr>
          <w:rFonts w:ascii="Arial" w:hAnsi="Arial" w:cs="Arial"/>
          <w:b/>
          <w:bCs/>
          <w:lang w:val="sq-AL"/>
        </w:rPr>
        <w:t>RCP</w:t>
      </w:r>
      <w:r w:rsidR="00E5062C" w:rsidRPr="00705B56">
        <w:rPr>
          <w:rFonts w:ascii="Arial" w:hAnsi="Arial" w:cs="Arial"/>
          <w:b/>
          <w:bCs/>
          <w:lang w:val="sq-AL"/>
        </w:rPr>
        <w:t xml:space="preserve"> </w:t>
      </w:r>
      <w:r w:rsidRPr="00705B56">
        <w:rPr>
          <w:rFonts w:ascii="Arial" w:hAnsi="Arial" w:cs="Arial"/>
          <w:b/>
          <w:bCs/>
          <w:lang w:val="sq-AL"/>
        </w:rPr>
        <w:t xml:space="preserve">2.6 (Skenar me emetime të ulëta): </w:t>
      </w:r>
      <w:r w:rsidRPr="00705B56">
        <w:rPr>
          <w:rFonts w:ascii="Arial" w:hAnsi="Arial" w:cs="Arial"/>
          <w:lang w:val="sq-AL"/>
        </w:rPr>
        <w:t>Ky skenar parashikon masa të shpejta dhe të fuqishme për zbutjen e ndryshimeve klimatike, duke çuar në ngrohje të kufizuar globale (nën 2°C). Për Kosovën, kjo do të nënkuptonte redukt</w:t>
      </w:r>
      <w:r w:rsidR="00D701F2" w:rsidRPr="00705B56">
        <w:rPr>
          <w:rFonts w:ascii="Arial" w:hAnsi="Arial" w:cs="Arial"/>
          <w:lang w:val="sq-AL"/>
        </w:rPr>
        <w:t>i</w:t>
      </w:r>
      <w:r w:rsidRPr="00705B56">
        <w:rPr>
          <w:rFonts w:ascii="Arial" w:hAnsi="Arial" w:cs="Arial"/>
          <w:lang w:val="sq-AL"/>
        </w:rPr>
        <w:t>m të ndikimeve klimatike, rritje të menaxhueshme të temperaturave, rrezik më të ulët nga fenomenet ekstreme të motit, dhe humbje më të ngadalta të biodiversitetit. Megjithatë, realizimi i këtij skenari do të kërkonte një tranzicion të madh të sektorit energjetik, duke larguar Kosovën nga varësia aktuale nga qymyri, i cili ende përbën burimin dominues të energjisë</w:t>
      </w:r>
      <w:r w:rsidR="00EF62C2" w:rsidRPr="00705B56">
        <w:rPr>
          <w:rFonts w:ascii="Arial" w:hAnsi="Arial" w:cs="Arial"/>
          <w:lang w:val="sq-AL"/>
        </w:rPr>
        <w:t xml:space="preserve">. </w:t>
      </w:r>
      <w:r w:rsidR="00A5158A" w:rsidRPr="00705B56">
        <w:rPr>
          <w:rFonts w:ascii="Arial" w:hAnsi="Arial" w:cs="Arial"/>
          <w:lang w:val="sq-AL"/>
        </w:rPr>
        <w:t xml:space="preserve"> </w:t>
      </w:r>
    </w:p>
    <w:p w14:paraId="5C381AD0" w14:textId="44E540D2" w:rsidR="00A5158A" w:rsidRPr="00705B56" w:rsidRDefault="002E3727" w:rsidP="00F36447">
      <w:pPr>
        <w:numPr>
          <w:ilvl w:val="0"/>
          <w:numId w:val="16"/>
        </w:numPr>
        <w:jc w:val="both"/>
        <w:rPr>
          <w:rFonts w:ascii="Arial" w:hAnsi="Arial" w:cs="Arial"/>
          <w:lang w:val="sq-AL"/>
        </w:rPr>
      </w:pPr>
      <w:r w:rsidRPr="00705B56">
        <w:rPr>
          <w:rFonts w:ascii="Arial" w:hAnsi="Arial" w:cs="Arial"/>
          <w:b/>
          <w:bCs/>
          <w:lang w:val="sq-AL"/>
        </w:rPr>
        <w:t>RCP</w:t>
      </w:r>
      <w:r w:rsidR="00E5062C" w:rsidRPr="00705B56">
        <w:rPr>
          <w:rFonts w:ascii="Arial" w:hAnsi="Arial" w:cs="Arial"/>
          <w:b/>
          <w:bCs/>
          <w:lang w:val="sq-AL"/>
        </w:rPr>
        <w:t xml:space="preserve"> </w:t>
      </w:r>
      <w:r w:rsidRPr="00705B56">
        <w:rPr>
          <w:rFonts w:ascii="Arial" w:hAnsi="Arial" w:cs="Arial"/>
          <w:b/>
          <w:bCs/>
          <w:lang w:val="sq-AL"/>
        </w:rPr>
        <w:t>4.5 dhe RCP</w:t>
      </w:r>
      <w:r w:rsidR="00E5062C" w:rsidRPr="00705B56">
        <w:rPr>
          <w:rFonts w:ascii="Arial" w:hAnsi="Arial" w:cs="Arial"/>
          <w:b/>
          <w:bCs/>
          <w:lang w:val="sq-AL"/>
        </w:rPr>
        <w:t xml:space="preserve"> </w:t>
      </w:r>
      <w:r w:rsidRPr="00705B56">
        <w:rPr>
          <w:rFonts w:ascii="Arial" w:hAnsi="Arial" w:cs="Arial"/>
          <w:b/>
          <w:bCs/>
          <w:lang w:val="sq-AL"/>
        </w:rPr>
        <w:t xml:space="preserve">6.0 (Skenarë të ndërmjetëm): </w:t>
      </w:r>
      <w:r w:rsidRPr="00705B56">
        <w:rPr>
          <w:rFonts w:ascii="Arial" w:hAnsi="Arial" w:cs="Arial"/>
          <w:lang w:val="sq-AL"/>
        </w:rPr>
        <w:t xml:space="preserve">Këta skenarë parashikojnë përpjekje të moderuara për zbutje, me emetime që arrijnë kulmin rreth mesit të shekullit dhe fillojnë të bien më </w:t>
      </w:r>
      <w:r w:rsidRPr="00705B56">
        <w:rPr>
          <w:rFonts w:ascii="Arial" w:hAnsi="Arial" w:cs="Arial"/>
          <w:lang w:val="sq-AL"/>
        </w:rPr>
        <w:lastRenderedPageBreak/>
        <w:t>pas. Për Kosovën, ndikimet klimatike në këto rrugë do të ishin ende të rëndësishme, por më pak ekstreme sesa në skenarin me emetime të larta</w:t>
      </w:r>
      <w:r w:rsidR="008B47E2" w:rsidRPr="00705B56">
        <w:rPr>
          <w:rFonts w:ascii="Arial" w:hAnsi="Arial" w:cs="Arial"/>
          <w:lang w:val="sq-AL"/>
        </w:rPr>
        <w:t>.</w:t>
      </w:r>
      <w:r w:rsidR="00A5158A" w:rsidRPr="00705B56">
        <w:rPr>
          <w:rFonts w:ascii="Arial" w:hAnsi="Arial" w:cs="Arial"/>
          <w:lang w:val="sq-AL"/>
        </w:rPr>
        <w:t xml:space="preserve"> </w:t>
      </w:r>
      <w:r w:rsidRPr="00705B56">
        <w:rPr>
          <w:rFonts w:ascii="Arial" w:hAnsi="Arial" w:cs="Arial"/>
          <w:lang w:val="sq-AL"/>
        </w:rPr>
        <w:t>Pritet që vendi të përjetojë valë të të nxehtit më të gjata dhe më intensive, shtim të reshjeve ekstreme, dhe rreziqe në rritje për bujqësinë dhe burimet ujore. Këto skenarë nënvizojnë rëndësinë e investimeve në infrastrukturë të qëndrueshme ndaj klimës dhe menaxhim të qëndrueshëm të ujit.</w:t>
      </w:r>
    </w:p>
    <w:p w14:paraId="6F6984D0" w14:textId="244C680B" w:rsidR="00A5158A" w:rsidRPr="00705B56" w:rsidRDefault="002E3727" w:rsidP="00F36447">
      <w:pPr>
        <w:numPr>
          <w:ilvl w:val="0"/>
          <w:numId w:val="16"/>
        </w:numPr>
        <w:jc w:val="both"/>
        <w:rPr>
          <w:rFonts w:ascii="Arial" w:hAnsi="Arial" w:cs="Arial"/>
          <w:lang w:val="sq-AL"/>
        </w:rPr>
      </w:pPr>
      <w:r w:rsidRPr="00705B56">
        <w:rPr>
          <w:rFonts w:ascii="Arial" w:hAnsi="Arial" w:cs="Arial"/>
          <w:b/>
          <w:bCs/>
          <w:lang w:val="sq-AL"/>
        </w:rPr>
        <w:t>RCP</w:t>
      </w:r>
      <w:r w:rsidR="00E5062C" w:rsidRPr="00705B56">
        <w:rPr>
          <w:rFonts w:ascii="Arial" w:hAnsi="Arial" w:cs="Arial"/>
          <w:b/>
          <w:bCs/>
          <w:lang w:val="sq-AL"/>
        </w:rPr>
        <w:t xml:space="preserve"> </w:t>
      </w:r>
      <w:r w:rsidRPr="00705B56">
        <w:rPr>
          <w:rFonts w:ascii="Arial" w:hAnsi="Arial" w:cs="Arial"/>
          <w:b/>
          <w:bCs/>
          <w:lang w:val="sq-AL"/>
        </w:rPr>
        <w:t xml:space="preserve">8.5 (Skenari me emetime të larta): </w:t>
      </w:r>
      <w:r w:rsidRPr="00705B56">
        <w:rPr>
          <w:rFonts w:ascii="Arial" w:hAnsi="Arial" w:cs="Arial"/>
          <w:lang w:val="sq-AL"/>
        </w:rPr>
        <w:t>Ky skenar përfaqëson rritje të pakontrolluar të emetimeve, që çon në ndikime të rënda klimatike. Në këtë rast, Kosova mund të përjetojë rritje temperaturash përtej 4°C deri në fund të shekullit, duke përkeqësuar thatësirat, përmbytjet ekstreme, degradimin e ekosistemeve dhe paqëndrueshmërinë socio-ekonomike</w:t>
      </w:r>
      <w:r w:rsidR="008B47E2" w:rsidRPr="00705B56">
        <w:rPr>
          <w:rFonts w:ascii="Arial" w:hAnsi="Arial" w:cs="Arial"/>
          <w:lang w:val="sq-AL"/>
        </w:rPr>
        <w:t>.</w:t>
      </w:r>
      <w:r w:rsidR="00A5158A" w:rsidRPr="00705B56">
        <w:rPr>
          <w:rFonts w:ascii="Arial" w:hAnsi="Arial" w:cs="Arial"/>
          <w:lang w:val="sq-AL"/>
        </w:rPr>
        <w:t xml:space="preserve"> </w:t>
      </w:r>
      <w:r w:rsidRPr="00705B56">
        <w:rPr>
          <w:rFonts w:ascii="Arial" w:hAnsi="Arial" w:cs="Arial"/>
          <w:lang w:val="sq-AL"/>
        </w:rPr>
        <w:t>Duke pasur parasysh varësinë ekzistuese të vendit nga lëndët djegëse fosile dhe kapacitetin e kufizuar përshtatës, moszbatimi i strategjive për zbutje mund të ketë pasoja serioze për shëndetin publik, sigurinë ushqimore dhe zhvillimin ekonomik.</w:t>
      </w:r>
    </w:p>
    <w:p w14:paraId="3E1904F1" w14:textId="3EDC3906" w:rsidR="00A5158A" w:rsidRPr="00705B56" w:rsidRDefault="0029093B" w:rsidP="008E17FD">
      <w:pPr>
        <w:jc w:val="both"/>
        <w:rPr>
          <w:rFonts w:ascii="Arial" w:hAnsi="Arial" w:cs="Arial"/>
          <w:lang w:val="sq-AL"/>
        </w:rPr>
      </w:pPr>
      <w:r w:rsidRPr="00705B56">
        <w:rPr>
          <w:rFonts w:ascii="Arial" w:hAnsi="Arial" w:cs="Arial"/>
          <w:lang w:val="sq-AL"/>
        </w:rPr>
        <w:t xml:space="preserve">IPCC përshkruan </w:t>
      </w:r>
      <w:r w:rsidRPr="00705B56">
        <w:rPr>
          <w:rFonts w:ascii="Arial" w:hAnsi="Arial" w:cs="Arial"/>
          <w:b/>
          <w:bCs/>
          <w:lang w:val="sq-AL"/>
        </w:rPr>
        <w:t>pesë Skenarë Socio-Ekonomikë të Përbashkët (SSP)</w:t>
      </w:r>
      <w:r w:rsidRPr="00705B56">
        <w:rPr>
          <w:rFonts w:ascii="Arial" w:hAnsi="Arial" w:cs="Arial"/>
          <w:lang w:val="sq-AL"/>
        </w:rPr>
        <w:t xml:space="preserve"> që janë të rëndësishëm për trajektoret e zhvillimit të Kosovës</w:t>
      </w:r>
      <w:r w:rsidR="00A5158A" w:rsidRPr="00705B56">
        <w:rPr>
          <w:rFonts w:ascii="Arial" w:hAnsi="Arial" w:cs="Arial"/>
          <w:lang w:val="sq-AL"/>
        </w:rPr>
        <w:t>:</w:t>
      </w:r>
    </w:p>
    <w:p w14:paraId="60DF623F" w14:textId="1680F4E2" w:rsidR="00A5158A" w:rsidRPr="00705B56" w:rsidRDefault="0029093B" w:rsidP="00F36447">
      <w:pPr>
        <w:numPr>
          <w:ilvl w:val="0"/>
          <w:numId w:val="17"/>
        </w:numPr>
        <w:jc w:val="both"/>
        <w:rPr>
          <w:rFonts w:ascii="Arial" w:hAnsi="Arial" w:cs="Arial"/>
          <w:lang w:val="sq-AL"/>
        </w:rPr>
      </w:pPr>
      <w:r w:rsidRPr="00705B56">
        <w:rPr>
          <w:rFonts w:ascii="Arial" w:hAnsi="Arial" w:cs="Arial"/>
          <w:b/>
          <w:bCs/>
          <w:lang w:val="sq-AL"/>
        </w:rPr>
        <w:t>SSP1 (Qëndrueshmëria – Rritje e gjelbër dhe bashkëpunim global):</w:t>
      </w:r>
      <w:r w:rsidRPr="00705B56">
        <w:rPr>
          <w:rFonts w:ascii="Arial" w:hAnsi="Arial" w:cs="Arial"/>
          <w:lang w:val="sq-AL"/>
        </w:rPr>
        <w:t xml:space="preserve"> Ky skenar parashikon një botë me bashkëpunim të fuqishëm ndërkombëtar, ulje të pabarazive dhe zhvillim ekonomik të qëndrueshëm. Për Kosovën, kjo do të nënkuptonte tranzicion drejt energjisë së rinovueshme, qeverisje të përmirësuar dhe investime në teknologji të gjelbra. I kombinuar me RCP2.6 ose RCP4.5, Kosova do të përfitonte nga infrastrukturë miqësore me klimën, shëndetësi më e mirë dhe praktika të qëndrueshme bujqësore</w:t>
      </w:r>
      <w:r w:rsidR="00D52031" w:rsidRPr="00705B56">
        <w:rPr>
          <w:rFonts w:ascii="Arial" w:hAnsi="Arial" w:cs="Arial"/>
          <w:lang w:val="sq-AL"/>
        </w:rPr>
        <w:t>.</w:t>
      </w:r>
    </w:p>
    <w:p w14:paraId="74C8FCC6" w14:textId="520828A4" w:rsidR="00A5158A" w:rsidRPr="00705B56" w:rsidRDefault="0029093B" w:rsidP="00F36447">
      <w:pPr>
        <w:numPr>
          <w:ilvl w:val="0"/>
          <w:numId w:val="17"/>
        </w:numPr>
        <w:jc w:val="both"/>
        <w:rPr>
          <w:rFonts w:ascii="Arial" w:hAnsi="Arial" w:cs="Arial"/>
          <w:lang w:val="sq-AL"/>
        </w:rPr>
      </w:pPr>
      <w:r w:rsidRPr="00705B56">
        <w:rPr>
          <w:rFonts w:ascii="Arial" w:hAnsi="Arial" w:cs="Arial"/>
          <w:b/>
          <w:bCs/>
          <w:lang w:val="sq-AL"/>
        </w:rPr>
        <w:t xml:space="preserve">SSP2 (Zhvillimi i moderuar – Biznes si zakonisht): </w:t>
      </w:r>
      <w:r w:rsidRPr="00705B56">
        <w:rPr>
          <w:rFonts w:ascii="Arial" w:hAnsi="Arial" w:cs="Arial"/>
          <w:lang w:val="sq-AL"/>
        </w:rPr>
        <w:t xml:space="preserve">Në këtë skenar, trendët aktualë socio-ekonomikë vazhdojnë, me përparim të moderuar në zhvillim dhe veprime për klimën. Kosova do të shihte përmirësime graduale në politikat mjedisore dhe </w:t>
      </w:r>
      <w:r w:rsidR="00AF6C69" w:rsidRPr="00705B56">
        <w:rPr>
          <w:rFonts w:ascii="Arial" w:hAnsi="Arial" w:cs="Arial"/>
          <w:lang w:val="sq-AL"/>
        </w:rPr>
        <w:t>efiçiencën energjetike</w:t>
      </w:r>
      <w:r w:rsidRPr="00705B56">
        <w:rPr>
          <w:rFonts w:ascii="Arial" w:hAnsi="Arial" w:cs="Arial"/>
          <w:lang w:val="sq-AL"/>
        </w:rPr>
        <w:t>, por varësia nga energjia e bazuar në thëngjill mund të vazhdojë. Përpjekjet për përshtatje ndaj ndryshimeve klimatike mund të jenë reaktive në vend se proaktive, duke e bërë vendin të ndjeshëm ndaj ekstremeve klimatike dhe tronditjeve ekonomike</w:t>
      </w:r>
      <w:r w:rsidR="00EF62C2" w:rsidRPr="00705B56">
        <w:rPr>
          <w:rFonts w:ascii="Arial" w:hAnsi="Arial" w:cs="Arial"/>
          <w:lang w:val="sq-AL"/>
        </w:rPr>
        <w:t>.</w:t>
      </w:r>
      <w:r w:rsidR="00A5158A" w:rsidRPr="00705B56">
        <w:rPr>
          <w:rFonts w:ascii="Arial" w:hAnsi="Arial" w:cs="Arial"/>
          <w:lang w:val="sq-AL"/>
        </w:rPr>
        <w:t xml:space="preserve"> </w:t>
      </w:r>
    </w:p>
    <w:p w14:paraId="5D963BBA" w14:textId="1E0BFDF6" w:rsidR="00A5158A" w:rsidRPr="00705B56" w:rsidRDefault="0029093B" w:rsidP="00F36447">
      <w:pPr>
        <w:numPr>
          <w:ilvl w:val="0"/>
          <w:numId w:val="17"/>
        </w:numPr>
        <w:jc w:val="both"/>
        <w:rPr>
          <w:rFonts w:ascii="Arial" w:hAnsi="Arial" w:cs="Arial"/>
          <w:lang w:val="sq-AL"/>
        </w:rPr>
      </w:pPr>
      <w:r w:rsidRPr="00705B56">
        <w:rPr>
          <w:rFonts w:ascii="Arial" w:hAnsi="Arial" w:cs="Arial"/>
          <w:b/>
          <w:bCs/>
          <w:lang w:val="sq-AL"/>
        </w:rPr>
        <w:t xml:space="preserve">SSP3 (Rivalitet Rajonal – Rritje e fragmentuar dhe pabarazi e lartë): </w:t>
      </w:r>
      <w:r w:rsidRPr="00705B56">
        <w:rPr>
          <w:rFonts w:ascii="Arial" w:hAnsi="Arial" w:cs="Arial"/>
          <w:lang w:val="sq-AL"/>
        </w:rPr>
        <w:t>Ky skenar supozon stagfim ekonomik, bashkëpunim të dobët ndërkombëtar dhe rritje të konflikteve rajonale. Kosova do të përballej me mungesë investimesh në arsim, teknologji dhe përshtatje klimatike, duke e rritur ndjeshmërinë ndaj katastrofave klimatike, pasigurisë ushqimore dhe mungesës së ujit. I kombinuar me RCP8.5, ky skenar mund të çojë në paqëndrueshmëri të thellë socio-ekonomike</w:t>
      </w:r>
      <w:r w:rsidR="00EF62C2" w:rsidRPr="00705B56">
        <w:rPr>
          <w:rFonts w:ascii="Arial" w:hAnsi="Arial" w:cs="Arial"/>
          <w:lang w:val="sq-AL"/>
        </w:rPr>
        <w:t>.</w:t>
      </w:r>
      <w:r w:rsidR="00A5158A" w:rsidRPr="00705B56">
        <w:rPr>
          <w:rFonts w:ascii="Arial" w:hAnsi="Arial" w:cs="Arial"/>
          <w:lang w:val="sq-AL"/>
        </w:rPr>
        <w:t xml:space="preserve"> </w:t>
      </w:r>
    </w:p>
    <w:p w14:paraId="70CC7430" w14:textId="4D1A8CCD" w:rsidR="00A5158A" w:rsidRPr="00705B56" w:rsidRDefault="0029093B" w:rsidP="00F36447">
      <w:pPr>
        <w:numPr>
          <w:ilvl w:val="0"/>
          <w:numId w:val="17"/>
        </w:numPr>
        <w:jc w:val="both"/>
        <w:rPr>
          <w:rFonts w:ascii="Arial" w:hAnsi="Arial" w:cs="Arial"/>
          <w:lang w:val="sq-AL"/>
        </w:rPr>
      </w:pPr>
      <w:r w:rsidRPr="00705B56">
        <w:rPr>
          <w:rFonts w:ascii="Arial" w:hAnsi="Arial" w:cs="Arial"/>
          <w:b/>
          <w:bCs/>
          <w:lang w:val="sq-AL"/>
        </w:rPr>
        <w:t>SSP4 (Pabarazi – Ndasi në rritje ndërmjet vendeve dhe klasave shoqërore):</w:t>
      </w:r>
      <w:r w:rsidRPr="00705B56">
        <w:rPr>
          <w:rFonts w:ascii="Arial" w:hAnsi="Arial" w:cs="Arial"/>
          <w:lang w:val="sq-AL"/>
        </w:rPr>
        <w:t xml:space="preserve"> Ky skenar parasheh që disa rajone zhvillohen shpejt ndërsa të tjerat mbesin pas, duke thelluar pabarazitë globale. Për Kosovën, me një ekonomi në zhvillim, kjo do të nënkuptonte margjinalizim të shtuar, burime të kufizuara për përshtatje ndaj klimës dhe përkeqësim të shërbimeve publike. Varësia nga ndihma ndërkombëtare dhe investimet e huaja do të ishte vendimtare për kapacitetin për të përballuar sfidat klimatike</w:t>
      </w:r>
      <w:r w:rsidR="00EF62C2" w:rsidRPr="00705B56">
        <w:rPr>
          <w:rFonts w:ascii="Arial" w:hAnsi="Arial" w:cs="Arial"/>
          <w:lang w:val="sq-AL"/>
        </w:rPr>
        <w:t>.</w:t>
      </w:r>
    </w:p>
    <w:p w14:paraId="7F428271" w14:textId="0E98646D" w:rsidR="00A5158A" w:rsidRPr="00705B56" w:rsidRDefault="0029093B" w:rsidP="00F36447">
      <w:pPr>
        <w:numPr>
          <w:ilvl w:val="0"/>
          <w:numId w:val="17"/>
        </w:numPr>
        <w:jc w:val="both"/>
        <w:rPr>
          <w:rFonts w:ascii="Arial" w:hAnsi="Arial" w:cs="Arial"/>
          <w:lang w:val="sq-AL"/>
        </w:rPr>
      </w:pPr>
      <w:r w:rsidRPr="00705B56">
        <w:rPr>
          <w:rFonts w:ascii="Arial" w:hAnsi="Arial" w:cs="Arial"/>
          <w:b/>
          <w:bCs/>
          <w:lang w:val="sq-AL"/>
        </w:rPr>
        <w:t xml:space="preserve">SSP5 (Zhvillim i bazuar në lëndë djegëse fosile – Rritje e lartë ekonomike, por degradim mjedisor): </w:t>
      </w:r>
      <w:r w:rsidRPr="00705B56">
        <w:rPr>
          <w:rFonts w:ascii="Arial" w:hAnsi="Arial" w:cs="Arial"/>
          <w:lang w:val="sq-AL"/>
        </w:rPr>
        <w:t>Ky skenar parasheh zgjerim të shpejtë ekonomik të udhëhequr nga përdorimi i vazhdueshëm i lëndëve fosile, duke rezultuar në emetime të larta dhe ndikime të rënda klimatike. Nëse Kosova ndjek këtë trajektore, mund të arrijë rritje ekonomike afatshkurtër, por me kosto të lartë mjedisore dhe sociale afatgjatë. I kombinuar me RCP6.0 ose RCP8.5, ky skenar do të përkeqësonte ndotjen e ajrit, mungesën e ujit dhe katastrofat klimatike, me ndikime më të mëdha mbi komunitetet vulnerabël</w:t>
      </w:r>
      <w:r w:rsidR="00EF62C2" w:rsidRPr="00705B56">
        <w:rPr>
          <w:rFonts w:ascii="Arial" w:hAnsi="Arial" w:cs="Arial"/>
          <w:lang w:val="sq-AL"/>
        </w:rPr>
        <w:t>.</w:t>
      </w:r>
      <w:r w:rsidR="00A5158A" w:rsidRPr="00705B56">
        <w:rPr>
          <w:rFonts w:ascii="Arial" w:hAnsi="Arial" w:cs="Arial"/>
          <w:lang w:val="sq-AL"/>
        </w:rPr>
        <w:t xml:space="preserve"> </w:t>
      </w:r>
    </w:p>
    <w:p w14:paraId="3593274E" w14:textId="5655A01E" w:rsidR="00A5158A" w:rsidRPr="00705B56" w:rsidRDefault="0029093B" w:rsidP="008E17FD">
      <w:pPr>
        <w:jc w:val="both"/>
        <w:rPr>
          <w:rFonts w:ascii="Arial" w:hAnsi="Arial" w:cs="Arial"/>
          <w:lang w:val="sq-AL"/>
        </w:rPr>
      </w:pPr>
      <w:r w:rsidRPr="00705B56">
        <w:rPr>
          <w:rFonts w:ascii="Arial" w:hAnsi="Arial" w:cs="Arial"/>
          <w:lang w:val="sq-AL"/>
        </w:rPr>
        <w:t xml:space="preserve">Në përfundim, kombinimi i skenarëve RCP dhe SSP ofron një kornizë gjithëpërfshirëse për Kosovën për të vlerësuar të ardhmen e saj klimatike. Edhe në një skenar me emetime të ulëta (RCP2.6), pritet që </w:t>
      </w:r>
      <w:r w:rsidRPr="00705B56">
        <w:rPr>
          <w:rFonts w:ascii="Arial" w:hAnsi="Arial" w:cs="Arial"/>
          <w:lang w:val="sq-AL"/>
        </w:rPr>
        <w:lastRenderedPageBreak/>
        <w:t>Kosova të përjetojë ngrohje të ndjeshme, ndërsa skenarët me emetime të larta (RCP8.5) mund të çojnë në rritje ekstreme të temperaturave dhe ndikime të rënda klimatike</w:t>
      </w:r>
      <w:r w:rsidR="00A5158A" w:rsidRPr="00705B56">
        <w:rPr>
          <w:rFonts w:ascii="Arial" w:hAnsi="Arial" w:cs="Arial"/>
          <w:lang w:val="sq-AL"/>
        </w:rPr>
        <w:t xml:space="preserve">. </w:t>
      </w:r>
      <w:r w:rsidRPr="00705B56">
        <w:rPr>
          <w:rFonts w:ascii="Arial" w:hAnsi="Arial" w:cs="Arial"/>
          <w:lang w:val="sq-AL"/>
        </w:rPr>
        <w:t>Varësia e vendit nga lëndët djegëse fosile, kufizimet ekonomike dhe sfidat socio-politike e bëjnë Kosovën veçanërisht të ndjeshme ndaj skenarëve me emetime të larta, si RCP8.5 dhe SSP3/SSP4. Megjithatë, strategjitë proaktive për zbutjen dhe përshtatjen ndaj ndryshimeve klimatike mund ta zhvendosin Kosovën drejt një trajektoreje më të qëndrueshme, të përputhshme me RCP2.6 ose RCP4.5 dhe SSP1 ose SSP2</w:t>
      </w:r>
      <w:r w:rsidR="00B01886" w:rsidRPr="00705B56">
        <w:rPr>
          <w:rFonts w:ascii="Arial" w:hAnsi="Arial" w:cs="Arial"/>
          <w:lang w:val="sq-AL"/>
        </w:rPr>
        <w:t>.</w:t>
      </w:r>
      <w:r w:rsidR="00EF62C2" w:rsidRPr="00705B56">
        <w:rPr>
          <w:rStyle w:val="FootnoteReference"/>
          <w:rFonts w:ascii="Arial" w:hAnsi="Arial" w:cs="Arial"/>
          <w:lang w:val="sq-AL"/>
        </w:rPr>
        <w:footnoteReference w:id="31"/>
      </w:r>
      <w:r w:rsidR="00A5158A" w:rsidRPr="00705B56">
        <w:rPr>
          <w:rFonts w:ascii="Arial" w:hAnsi="Arial" w:cs="Arial"/>
          <w:lang w:val="sq-AL"/>
        </w:rPr>
        <w:t xml:space="preserve"> </w:t>
      </w:r>
    </w:p>
    <w:p w14:paraId="70E24508" w14:textId="2DEC8866" w:rsidR="00C0794B" w:rsidRPr="00705B56" w:rsidRDefault="00B01886" w:rsidP="008E17FD">
      <w:pPr>
        <w:pStyle w:val="Heading2"/>
        <w:rPr>
          <w:rFonts w:ascii="Arial" w:hAnsi="Arial" w:cs="Arial"/>
          <w:lang w:val="sq-AL"/>
        </w:rPr>
      </w:pPr>
      <w:bookmarkStart w:id="60" w:name="_Toc211532697"/>
      <w:bookmarkStart w:id="61" w:name="_Ref201313687"/>
      <w:r w:rsidRPr="00705B56">
        <w:rPr>
          <w:rFonts w:ascii="Arial" w:hAnsi="Arial" w:cs="Arial"/>
          <w:lang w:val="sq-AL"/>
        </w:rPr>
        <w:t xml:space="preserve">Prova </w:t>
      </w:r>
      <w:r w:rsidR="0029093B" w:rsidRPr="00705B56">
        <w:rPr>
          <w:rFonts w:ascii="Arial" w:hAnsi="Arial" w:cs="Arial"/>
          <w:lang w:val="sq-AL"/>
        </w:rPr>
        <w:t>shkencore</w:t>
      </w:r>
      <w:bookmarkEnd w:id="60"/>
    </w:p>
    <w:p w14:paraId="271EB783" w14:textId="41EB28F1" w:rsidR="00C0794B" w:rsidRPr="00705B56" w:rsidRDefault="0029093B" w:rsidP="00C0794B">
      <w:pPr>
        <w:spacing w:before="0" w:line="240" w:lineRule="auto"/>
        <w:jc w:val="both"/>
        <w:rPr>
          <w:rFonts w:ascii="Arial" w:hAnsi="Arial" w:cs="Arial"/>
          <w:lang w:val="sq-AL"/>
        </w:rPr>
      </w:pPr>
      <w:r w:rsidRPr="00705B56">
        <w:rPr>
          <w:rFonts w:ascii="Arial" w:hAnsi="Arial" w:cs="Arial"/>
          <w:lang w:val="sq-AL"/>
        </w:rPr>
        <w:t xml:space="preserve">Gjetjet shkencore të paraqitura gjatë këtij kapitulli mbështeten në një bazë të fuqishme të të dhënave të bazuara në vëzhgime meteorologjike, studime rajonale dhe ndërkombëtare, si dhe në baza të dhënash për katastrofat. Kjo bazë e të dhënave siguron që vlerësimi i rrezikut klimatik të jetë i bazuar në të dhëna të besueshme dhe të ofrojë një themel të fortë për planifikimin e përshtatjes brenda Strategjisë </w:t>
      </w:r>
    </w:p>
    <w:p w14:paraId="352B0EEC" w14:textId="4722556B" w:rsidR="00C0794B" w:rsidRPr="00705B56" w:rsidRDefault="0029093B" w:rsidP="00C0794B">
      <w:pPr>
        <w:pStyle w:val="NormalWeb"/>
        <w:spacing w:before="160" w:beforeAutospacing="0"/>
        <w:jc w:val="both"/>
        <w:rPr>
          <w:rFonts w:ascii="Arial" w:eastAsiaTheme="minorHAnsi" w:hAnsi="Arial" w:cs="Arial"/>
          <w:kern w:val="2"/>
          <w:sz w:val="22"/>
          <w:szCs w:val="22"/>
          <w:lang w:val="sq-AL" w:eastAsia="en-US"/>
          <w14:ligatures w14:val="standardContextual"/>
        </w:rPr>
      </w:pPr>
      <w:r w:rsidRPr="00705B56">
        <w:rPr>
          <w:rFonts w:ascii="Arial" w:eastAsiaTheme="minorHAnsi" w:hAnsi="Arial" w:cs="Arial"/>
          <w:kern w:val="2"/>
          <w:sz w:val="22"/>
          <w:szCs w:val="22"/>
          <w:lang w:val="sq-AL" w:eastAsia="en-US"/>
          <w14:ligatures w14:val="standardContextual"/>
        </w:rPr>
        <w:t>Të dhënat afatgjata klimatike nga Instituti Hidrometeorologjik i Kosovës (IHMK) konfirmojnë në mënyrë kuantitative rritjen e temperaturave mesatare, duke dokumentuar një trend ngrohjeje prej rreth 1.2°C gjatë pesë dekadave të fundit, së bashku me rritje të ekstremeve të nxehtësisë</w:t>
      </w:r>
      <w:r w:rsidR="00C61CCB" w:rsidRPr="00705B56">
        <w:rPr>
          <w:rFonts w:ascii="Arial" w:eastAsiaTheme="minorHAnsi" w:hAnsi="Arial" w:cs="Arial"/>
          <w:kern w:val="2"/>
          <w:sz w:val="22"/>
          <w:szCs w:val="22"/>
          <w:lang w:val="sq-AL" w:eastAsia="en-US"/>
          <w14:ligatures w14:val="standardContextual"/>
        </w:rPr>
        <w:t>.</w:t>
      </w:r>
      <w:r w:rsidR="00C0794B" w:rsidRPr="00705B56">
        <w:rPr>
          <w:rStyle w:val="FootnoteReference"/>
          <w:rFonts w:ascii="Arial" w:eastAsiaTheme="minorHAnsi" w:hAnsi="Arial" w:cs="Arial"/>
          <w:kern w:val="2"/>
          <w:sz w:val="22"/>
          <w:szCs w:val="22"/>
          <w:lang w:val="sq-AL" w:eastAsia="en-US"/>
          <w14:ligatures w14:val="standardContextual"/>
        </w:rPr>
        <w:footnoteReference w:id="32"/>
      </w:r>
      <w:r w:rsidR="00C0794B" w:rsidRPr="00705B56">
        <w:rPr>
          <w:rFonts w:ascii="Arial" w:eastAsiaTheme="minorHAnsi" w:hAnsi="Arial" w:cs="Arial"/>
          <w:kern w:val="2"/>
          <w:sz w:val="22"/>
          <w:szCs w:val="22"/>
          <w:lang w:val="sq-AL" w:eastAsia="en-US"/>
          <w14:ligatures w14:val="standardContextual"/>
        </w:rPr>
        <w:t xml:space="preserve"> </w:t>
      </w:r>
      <w:r w:rsidRPr="00705B56">
        <w:rPr>
          <w:rFonts w:ascii="Arial" w:eastAsiaTheme="minorHAnsi" w:hAnsi="Arial" w:cs="Arial"/>
          <w:kern w:val="2"/>
          <w:sz w:val="22"/>
          <w:szCs w:val="22"/>
          <w:lang w:val="sq-AL" w:eastAsia="en-US"/>
          <w14:ligatures w14:val="standardContextual"/>
        </w:rPr>
        <w:t>Kjo dëshmi lokale përputhet me trendet rajonale më të gjera të raportuara nga Shërbimi i Monitorimit të Atmosferës Copernicus, i cili gjithashtu tregon për ngrohje të ndjeshme dhe shtim të valëve të të nxehtit në gjithë Evropën Juglindore</w:t>
      </w:r>
      <w:r w:rsidR="00C61CCB" w:rsidRPr="00705B56">
        <w:rPr>
          <w:rFonts w:ascii="Arial" w:eastAsiaTheme="minorHAnsi" w:hAnsi="Arial" w:cs="Arial"/>
          <w:kern w:val="2"/>
          <w:sz w:val="22"/>
          <w:szCs w:val="22"/>
          <w:lang w:val="sq-AL" w:eastAsia="en-US"/>
          <w14:ligatures w14:val="standardContextual"/>
        </w:rPr>
        <w:t>.</w:t>
      </w:r>
      <w:r w:rsidR="00C0794B" w:rsidRPr="00705B56">
        <w:rPr>
          <w:rStyle w:val="FootnoteReference"/>
          <w:rFonts w:ascii="Arial" w:eastAsiaTheme="minorHAnsi" w:hAnsi="Arial" w:cs="Arial"/>
          <w:kern w:val="2"/>
          <w:sz w:val="22"/>
          <w:szCs w:val="22"/>
          <w:lang w:val="sq-AL" w:eastAsia="en-US"/>
          <w14:ligatures w14:val="standardContextual"/>
        </w:rPr>
        <w:footnoteReference w:id="33"/>
      </w:r>
    </w:p>
    <w:p w14:paraId="4FE83D50" w14:textId="0B33B9AC" w:rsidR="00C0794B" w:rsidRPr="00705B56" w:rsidRDefault="0029093B" w:rsidP="00C0794B">
      <w:pPr>
        <w:pStyle w:val="NormalWeb"/>
        <w:jc w:val="both"/>
        <w:rPr>
          <w:rFonts w:ascii="Arial" w:eastAsiaTheme="minorHAnsi" w:hAnsi="Arial" w:cs="Arial"/>
          <w:kern w:val="2"/>
          <w:sz w:val="22"/>
          <w:szCs w:val="22"/>
          <w:lang w:val="sq-AL" w:eastAsia="en-US"/>
          <w14:ligatures w14:val="standardContextual"/>
        </w:rPr>
      </w:pPr>
      <w:r w:rsidRPr="00705B56">
        <w:rPr>
          <w:rFonts w:ascii="Arial" w:eastAsiaTheme="minorHAnsi" w:hAnsi="Arial" w:cs="Arial"/>
          <w:kern w:val="2"/>
          <w:sz w:val="22"/>
          <w:szCs w:val="22"/>
          <w:lang w:val="sq-AL" w:eastAsia="en-US"/>
          <w14:ligatures w14:val="standardContextual"/>
        </w:rPr>
        <w:t>Variabiliteti i reshjeve dhe ndryshimet në modelet hidrologjike janë vërtetuar përmes të dhënave vëzhguese të IHMK-së, duke treguar shpërndarje më të paqëndrueshme të reshjeve, shtim të periudhave të thatësisë dhe ngjarje më intensive të reshjeve. Kjo paqëndrueshmëri në rritje e reshjeve përforcohet edhe nga analizat e Klein Tank et al. (2002), të cilat theksojnë ndryshime të ndjeshme sezonale dhe intensifikim të reshjeve të dendura me kohëzgjatje të shkurtër</w:t>
      </w:r>
      <w:r w:rsidR="00C61CCB" w:rsidRPr="00705B56">
        <w:rPr>
          <w:rFonts w:ascii="Arial" w:eastAsiaTheme="minorHAnsi" w:hAnsi="Arial" w:cs="Arial"/>
          <w:kern w:val="2"/>
          <w:sz w:val="22"/>
          <w:szCs w:val="22"/>
          <w:lang w:val="sq-AL" w:eastAsia="en-US"/>
          <w14:ligatures w14:val="standardContextual"/>
        </w:rPr>
        <w:t>.</w:t>
      </w:r>
      <w:r w:rsidR="00C0794B" w:rsidRPr="00705B56">
        <w:rPr>
          <w:rStyle w:val="FootnoteReference"/>
          <w:rFonts w:ascii="Arial" w:eastAsiaTheme="minorHAnsi" w:hAnsi="Arial" w:cs="Arial"/>
          <w:kern w:val="2"/>
          <w:sz w:val="22"/>
          <w:szCs w:val="22"/>
          <w:lang w:val="sq-AL" w:eastAsia="en-US"/>
          <w14:ligatures w14:val="standardContextual"/>
        </w:rPr>
        <w:footnoteReference w:id="34"/>
      </w:r>
      <w:r w:rsidR="00C0794B" w:rsidRPr="00705B56">
        <w:rPr>
          <w:rFonts w:ascii="Arial" w:eastAsiaTheme="minorHAnsi" w:hAnsi="Arial" w:cs="Arial"/>
          <w:kern w:val="2"/>
          <w:sz w:val="22"/>
          <w:szCs w:val="22"/>
          <w:lang w:val="sq-AL" w:eastAsia="en-US"/>
          <w14:ligatures w14:val="standardContextual"/>
        </w:rPr>
        <w:t xml:space="preserve"> </w:t>
      </w:r>
    </w:p>
    <w:p w14:paraId="1B850E24" w14:textId="5A66C01E" w:rsidR="00C0794B" w:rsidRPr="00705B56" w:rsidRDefault="0029093B" w:rsidP="00C0794B">
      <w:pPr>
        <w:pStyle w:val="NormalWeb"/>
        <w:jc w:val="both"/>
        <w:rPr>
          <w:rFonts w:ascii="Arial" w:eastAsiaTheme="minorHAnsi" w:hAnsi="Arial" w:cs="Arial"/>
          <w:kern w:val="2"/>
          <w:sz w:val="22"/>
          <w:szCs w:val="22"/>
          <w:lang w:val="sq-AL" w:eastAsia="en-US"/>
          <w14:ligatures w14:val="standardContextual"/>
        </w:rPr>
      </w:pPr>
      <w:r w:rsidRPr="00705B56">
        <w:rPr>
          <w:rFonts w:ascii="Arial" w:eastAsiaTheme="minorHAnsi" w:hAnsi="Arial" w:cs="Arial"/>
          <w:kern w:val="2"/>
          <w:sz w:val="22"/>
          <w:szCs w:val="22"/>
          <w:lang w:val="sq-AL" w:eastAsia="en-US"/>
          <w14:ligatures w14:val="standardContextual"/>
        </w:rPr>
        <w:t>Baza të dhënash të detajuara për katastrofat, veçanërisht DesInventar Sendai, dokumentojnë në mënyrë të gjerë rreziqet klimatike në Kosovë, duke regjistruar mbi 1,000 raste të zjarreve në natyrë, afër 300 ngjarje të mëdha përmbytjesh, dhe shumë rrëshqitje dheu me pasoja të mëdha.</w:t>
      </w:r>
      <w:r w:rsidR="00B22DD8" w:rsidRPr="00705B56">
        <w:rPr>
          <w:rStyle w:val="FootnoteReference"/>
          <w:rFonts w:ascii="Arial" w:eastAsiaTheme="minorHAnsi" w:hAnsi="Arial" w:cs="Arial"/>
          <w:kern w:val="2"/>
          <w:sz w:val="22"/>
          <w:szCs w:val="22"/>
          <w:lang w:val="sq-AL" w:eastAsia="en-US"/>
          <w14:ligatures w14:val="standardContextual"/>
        </w:rPr>
        <w:footnoteReference w:id="35"/>
      </w:r>
      <w:r w:rsidRPr="00705B56">
        <w:rPr>
          <w:rFonts w:ascii="Arial" w:eastAsiaTheme="minorHAnsi" w:hAnsi="Arial" w:cs="Arial"/>
          <w:kern w:val="2"/>
          <w:sz w:val="22"/>
          <w:szCs w:val="22"/>
          <w:lang w:val="sq-AL" w:eastAsia="en-US"/>
          <w14:ligatures w14:val="standardContextual"/>
        </w:rPr>
        <w:t xml:space="preserve"> Këto të dhëna konfirmojnë rritjen e dukshme të shpeshtësisë dhe ashpërsisë së ngjarjeve ekstreme, si dhe ndikimin e tyre socio-ekonomik. Për shembull, përmbytjet në Skenderaj në janar 2023 shkaktuan rreth 12 milionë euro dëme, ndërsa zjarret në pyje rrezikojnë gati gjysmën e sipërfaqes pyjore të Kosovës, të përkeqësuara nga thatësirat e shkaktuara nga ngrohja klimatike</w:t>
      </w:r>
      <w:r w:rsidR="00C61CCB" w:rsidRPr="00705B56">
        <w:rPr>
          <w:rFonts w:ascii="Arial" w:eastAsiaTheme="minorHAnsi" w:hAnsi="Arial" w:cs="Arial"/>
          <w:kern w:val="2"/>
          <w:sz w:val="22"/>
          <w:szCs w:val="22"/>
          <w:lang w:val="sq-AL" w:eastAsia="en-US"/>
          <w14:ligatures w14:val="standardContextual"/>
        </w:rPr>
        <w:t>.</w:t>
      </w:r>
      <w:r w:rsidR="00C0794B" w:rsidRPr="00705B56">
        <w:rPr>
          <w:rStyle w:val="FootnoteReference"/>
          <w:rFonts w:ascii="Arial" w:eastAsiaTheme="minorHAnsi" w:hAnsi="Arial" w:cs="Arial"/>
          <w:kern w:val="2"/>
          <w:sz w:val="22"/>
          <w:szCs w:val="22"/>
          <w:lang w:val="sq-AL" w:eastAsia="en-US"/>
          <w14:ligatures w14:val="standardContextual"/>
        </w:rPr>
        <w:footnoteReference w:id="36"/>
      </w:r>
      <w:r w:rsidR="00C0794B" w:rsidRPr="00705B56">
        <w:rPr>
          <w:rFonts w:ascii="Arial" w:eastAsiaTheme="minorHAnsi" w:hAnsi="Arial" w:cs="Arial"/>
          <w:kern w:val="2"/>
          <w:sz w:val="22"/>
          <w:szCs w:val="22"/>
          <w:lang w:val="sq-AL" w:eastAsia="en-US"/>
          <w14:ligatures w14:val="standardContextual"/>
        </w:rPr>
        <w:t xml:space="preserve"> </w:t>
      </w:r>
    </w:p>
    <w:p w14:paraId="5A7C3A04" w14:textId="1C2642FD" w:rsidR="00C0794B" w:rsidRPr="00705B56" w:rsidRDefault="0029093B" w:rsidP="00C0794B">
      <w:pPr>
        <w:pStyle w:val="NormalWeb"/>
        <w:jc w:val="both"/>
        <w:rPr>
          <w:rFonts w:ascii="Arial" w:eastAsiaTheme="minorHAnsi" w:hAnsi="Arial" w:cs="Arial"/>
          <w:kern w:val="2"/>
          <w:sz w:val="22"/>
          <w:szCs w:val="22"/>
          <w:lang w:val="sq-AL" w:eastAsia="en-US"/>
          <w14:ligatures w14:val="standardContextual"/>
        </w:rPr>
      </w:pPr>
      <w:r w:rsidRPr="00705B56">
        <w:rPr>
          <w:rFonts w:ascii="Arial" w:eastAsiaTheme="minorHAnsi" w:hAnsi="Arial" w:cs="Arial"/>
          <w:kern w:val="2"/>
          <w:sz w:val="22"/>
          <w:szCs w:val="22"/>
          <w:lang w:val="sq-AL" w:eastAsia="en-US"/>
          <w14:ligatures w14:val="standardContextual"/>
        </w:rPr>
        <w:t>Studime shkencore të rishikuara nga kolegët e fushës mbështesin më tej këto gjetje. Analizat historike të Kostopoulou dhe Jones (2005) ofrojnë verifikim afatgjatë duke dokumentuar shfaqjen më të hershme dhe shtimin e shpeshtësisë së valëve të të nxehtit në Ballkan që nga fundi i shekullit XX</w:t>
      </w:r>
      <w:r w:rsidR="00C0794B" w:rsidRPr="00705B56">
        <w:rPr>
          <w:rStyle w:val="FootnoteReference"/>
          <w:rFonts w:ascii="Arial" w:eastAsiaTheme="minorHAnsi" w:hAnsi="Arial" w:cs="Arial"/>
          <w:kern w:val="2"/>
          <w:sz w:val="22"/>
          <w:szCs w:val="22"/>
          <w:lang w:val="sq-AL" w:eastAsia="en-US"/>
          <w14:ligatures w14:val="standardContextual"/>
        </w:rPr>
        <w:footnoteReference w:id="37"/>
      </w:r>
      <w:r w:rsidR="00C0794B" w:rsidRPr="00705B56">
        <w:rPr>
          <w:rFonts w:ascii="Arial" w:eastAsiaTheme="minorHAnsi" w:hAnsi="Arial" w:cs="Arial"/>
          <w:kern w:val="2"/>
          <w:sz w:val="22"/>
          <w:szCs w:val="22"/>
          <w:lang w:val="sq-AL" w:eastAsia="en-US"/>
          <w14:ligatures w14:val="standardContextual"/>
        </w:rPr>
        <w:t xml:space="preserve">. </w:t>
      </w:r>
      <w:r w:rsidRPr="00705B56">
        <w:rPr>
          <w:rFonts w:ascii="Arial" w:eastAsiaTheme="minorHAnsi" w:hAnsi="Arial" w:cs="Arial"/>
          <w:kern w:val="2"/>
          <w:sz w:val="22"/>
          <w:szCs w:val="22"/>
          <w:lang w:val="sq-AL" w:eastAsia="en-US"/>
          <w14:ligatures w14:val="standardContextual"/>
        </w:rPr>
        <w:t>Po ashtu, hulumtimet bashkëkohore nga Hertig et al. (2020) lidhin rritjen e fundit të ekstremeve të nxehtësisë dhe periudhave të gjata të nxehtësisë me rreziqe në rritje për shëndetin publik, përfshirë sëmundjet dhe vdekshmërinë e lidhur me të nxehtin</w:t>
      </w:r>
      <w:r w:rsidR="00C61CCB" w:rsidRPr="00705B56">
        <w:rPr>
          <w:rFonts w:ascii="Arial" w:eastAsiaTheme="minorHAnsi" w:hAnsi="Arial" w:cs="Arial"/>
          <w:kern w:val="2"/>
          <w:sz w:val="22"/>
          <w:szCs w:val="22"/>
          <w:lang w:val="sq-AL" w:eastAsia="en-US"/>
          <w14:ligatures w14:val="standardContextual"/>
        </w:rPr>
        <w:t>.</w:t>
      </w:r>
      <w:r w:rsidR="00C0794B" w:rsidRPr="00705B56">
        <w:rPr>
          <w:rStyle w:val="FootnoteReference"/>
          <w:rFonts w:ascii="Arial" w:eastAsiaTheme="minorHAnsi" w:hAnsi="Arial" w:cs="Arial"/>
          <w:kern w:val="2"/>
          <w:sz w:val="22"/>
          <w:szCs w:val="22"/>
          <w:lang w:val="sq-AL" w:eastAsia="en-US"/>
          <w14:ligatures w14:val="standardContextual"/>
        </w:rPr>
        <w:footnoteReference w:id="38"/>
      </w:r>
      <w:r w:rsidR="00C0794B" w:rsidRPr="00705B56">
        <w:rPr>
          <w:rFonts w:ascii="Arial" w:eastAsiaTheme="minorHAnsi" w:hAnsi="Arial" w:cs="Arial"/>
          <w:kern w:val="2"/>
          <w:sz w:val="22"/>
          <w:szCs w:val="22"/>
          <w:lang w:val="sq-AL" w:eastAsia="en-US"/>
          <w14:ligatures w14:val="standardContextual"/>
        </w:rPr>
        <w:t xml:space="preserve"> </w:t>
      </w:r>
      <w:r w:rsidRPr="00705B56">
        <w:rPr>
          <w:rFonts w:ascii="Arial" w:eastAsiaTheme="minorHAnsi" w:hAnsi="Arial" w:cs="Arial"/>
          <w:kern w:val="2"/>
          <w:sz w:val="22"/>
          <w:szCs w:val="22"/>
          <w:lang w:val="sq-AL" w:eastAsia="en-US"/>
          <w14:ligatures w14:val="standardContextual"/>
        </w:rPr>
        <w:t xml:space="preserve">Për më tepër, studimet mbi thatësirat hidrologjike të realizuara nga van Lanen et al. </w:t>
      </w:r>
      <w:r w:rsidRPr="00705B56">
        <w:rPr>
          <w:rFonts w:ascii="Arial" w:eastAsiaTheme="minorHAnsi" w:hAnsi="Arial" w:cs="Arial"/>
          <w:kern w:val="2"/>
          <w:sz w:val="22"/>
          <w:szCs w:val="22"/>
          <w:lang w:val="sq-AL" w:eastAsia="en-US"/>
          <w14:ligatures w14:val="standardContextual"/>
        </w:rPr>
        <w:lastRenderedPageBreak/>
        <w:t>(2014) demonstrojnë shtim të shpeshtësisë dhe ashpërsisë së thatësirave, duke nxjerrë në pah pasoja të drejtpërdrejta për sigurinë e ujit, produktivitetin bujqësor dhe shëndetin e ekosistemeve në Kosovë</w:t>
      </w:r>
      <w:r w:rsidR="00C61CCB" w:rsidRPr="00705B56">
        <w:rPr>
          <w:rFonts w:ascii="Arial" w:eastAsiaTheme="minorHAnsi" w:hAnsi="Arial" w:cs="Arial"/>
          <w:kern w:val="2"/>
          <w:sz w:val="22"/>
          <w:szCs w:val="22"/>
          <w:lang w:val="sq-AL" w:eastAsia="en-US"/>
          <w14:ligatures w14:val="standardContextual"/>
        </w:rPr>
        <w:t>.</w:t>
      </w:r>
      <w:r w:rsidR="00C0794B" w:rsidRPr="00705B56">
        <w:rPr>
          <w:rStyle w:val="FootnoteReference"/>
          <w:rFonts w:ascii="Arial" w:eastAsiaTheme="minorHAnsi" w:hAnsi="Arial" w:cs="Arial"/>
          <w:kern w:val="2"/>
          <w:sz w:val="22"/>
          <w:szCs w:val="22"/>
          <w:lang w:val="sq-AL" w:eastAsia="en-US"/>
          <w14:ligatures w14:val="standardContextual"/>
        </w:rPr>
        <w:footnoteReference w:id="39"/>
      </w:r>
      <w:r w:rsidR="00C0794B" w:rsidRPr="00705B56">
        <w:rPr>
          <w:rFonts w:ascii="Arial" w:eastAsiaTheme="minorHAnsi" w:hAnsi="Arial" w:cs="Arial"/>
          <w:kern w:val="2"/>
          <w:sz w:val="22"/>
          <w:szCs w:val="22"/>
          <w:lang w:val="sq-AL" w:eastAsia="en-US"/>
          <w14:ligatures w14:val="standardContextual"/>
        </w:rPr>
        <w:t xml:space="preserve"> </w:t>
      </w:r>
    </w:p>
    <w:p w14:paraId="6ACA9B78" w14:textId="755FF8A4" w:rsidR="00C0794B" w:rsidRPr="00705B56" w:rsidRDefault="00233B03" w:rsidP="00C0794B">
      <w:pPr>
        <w:pStyle w:val="NormalWeb"/>
        <w:jc w:val="both"/>
        <w:rPr>
          <w:rFonts w:ascii="Arial" w:eastAsiaTheme="minorHAnsi" w:hAnsi="Arial" w:cs="Arial"/>
          <w:kern w:val="2"/>
          <w:sz w:val="22"/>
          <w:szCs w:val="22"/>
          <w:lang w:val="sq-AL" w:eastAsia="en-US"/>
          <w14:ligatures w14:val="standardContextual"/>
        </w:rPr>
      </w:pPr>
      <w:r w:rsidRPr="00705B56">
        <w:rPr>
          <w:rFonts w:ascii="Arial" w:eastAsiaTheme="minorHAnsi" w:hAnsi="Arial" w:cs="Arial"/>
          <w:kern w:val="2"/>
          <w:sz w:val="22"/>
          <w:szCs w:val="22"/>
          <w:lang w:val="sq-AL" w:eastAsia="en-US"/>
          <w14:ligatures w14:val="standardContextual"/>
        </w:rPr>
        <w:t>Profilet e rrezikut klimatik, veçanërisht Profili i Rrezikut Klimatik për Kosovën i USAID-it (2017), përmbledhin të dhënat ekzistuese mbi rreziqet klimatike dhe ato nga katastrofat, duke theksuar në mënyrë të qartë se ndryshimet klimatike në vazhdim po përkeqësojnë rreziqet si ekstremet e të nxehtit, thatësirat, përmbytjet dhe zjarret në natyrë</w:t>
      </w:r>
      <w:r w:rsidR="007F2127" w:rsidRPr="00705B56">
        <w:rPr>
          <w:rFonts w:ascii="Arial" w:eastAsiaTheme="minorHAnsi" w:hAnsi="Arial" w:cs="Arial"/>
          <w:kern w:val="2"/>
          <w:sz w:val="22"/>
          <w:szCs w:val="22"/>
          <w:lang w:val="sq-AL" w:eastAsia="en-US"/>
          <w14:ligatures w14:val="standardContextual"/>
        </w:rPr>
        <w:t>.</w:t>
      </w:r>
      <w:r w:rsidR="00C0794B" w:rsidRPr="00705B56">
        <w:rPr>
          <w:rStyle w:val="FootnoteReference"/>
          <w:rFonts w:ascii="Arial" w:eastAsiaTheme="minorHAnsi" w:hAnsi="Arial" w:cs="Arial"/>
          <w:kern w:val="2"/>
          <w:sz w:val="22"/>
          <w:szCs w:val="22"/>
          <w:lang w:val="sq-AL" w:eastAsia="en-US"/>
          <w14:ligatures w14:val="standardContextual"/>
        </w:rPr>
        <w:footnoteReference w:id="40"/>
      </w:r>
      <w:r w:rsidR="00C0794B" w:rsidRPr="00705B56">
        <w:rPr>
          <w:rFonts w:ascii="Arial" w:eastAsiaTheme="minorHAnsi" w:hAnsi="Arial" w:cs="Arial"/>
          <w:kern w:val="2"/>
          <w:sz w:val="22"/>
          <w:szCs w:val="22"/>
          <w:lang w:val="sq-AL" w:eastAsia="en-US"/>
          <w14:ligatures w14:val="standardContextual"/>
        </w:rPr>
        <w:t xml:space="preserve"> </w:t>
      </w:r>
      <w:r w:rsidRPr="00705B56">
        <w:rPr>
          <w:rFonts w:ascii="Arial" w:eastAsiaTheme="minorHAnsi" w:hAnsi="Arial" w:cs="Arial"/>
          <w:kern w:val="2"/>
          <w:sz w:val="22"/>
          <w:szCs w:val="22"/>
          <w:lang w:val="sq-AL" w:eastAsia="en-US"/>
          <w14:ligatures w14:val="standardContextual"/>
        </w:rPr>
        <w:t>Studime institucionale i japin më shumë thellësi këtij kuadri, duke nxjerrë në pah rritjen e ndërgjegjësimit publik mbi ndikimet klimatike. Veçanërisht, Studimi Bazë për Ndryshimet Klimatike (2023) tregoi nivele të larta të ndërgjegjësimit klimatik në mesin e popullsisë së Kosovës, duke theksuar nevojën për veprim klimatik të synuar dhe politika të informuara</w:t>
      </w:r>
      <w:r w:rsidR="007F2127" w:rsidRPr="00705B56">
        <w:rPr>
          <w:rFonts w:ascii="Arial" w:eastAsiaTheme="minorHAnsi" w:hAnsi="Arial" w:cs="Arial"/>
          <w:kern w:val="2"/>
          <w:sz w:val="22"/>
          <w:szCs w:val="22"/>
          <w:lang w:val="sq-AL" w:eastAsia="en-US"/>
          <w14:ligatures w14:val="standardContextual"/>
        </w:rPr>
        <w:t>.</w:t>
      </w:r>
      <w:r w:rsidR="00C0794B" w:rsidRPr="00705B56">
        <w:rPr>
          <w:rStyle w:val="FootnoteReference"/>
          <w:rFonts w:ascii="Arial" w:eastAsiaTheme="minorHAnsi" w:hAnsi="Arial" w:cs="Arial"/>
          <w:kern w:val="2"/>
          <w:sz w:val="22"/>
          <w:szCs w:val="22"/>
          <w:lang w:val="sq-AL" w:eastAsia="en-US"/>
          <w14:ligatures w14:val="standardContextual"/>
        </w:rPr>
        <w:footnoteReference w:id="41"/>
      </w:r>
      <w:r w:rsidRPr="00705B56">
        <w:rPr>
          <w:rFonts w:ascii="Arial" w:eastAsiaTheme="minorHAnsi" w:hAnsi="Arial" w:cs="Arial"/>
          <w:kern w:val="2"/>
          <w:sz w:val="22"/>
          <w:szCs w:val="22"/>
          <w:lang w:val="sq-AL" w:eastAsia="en-US"/>
          <w14:ligatures w14:val="standardContextual"/>
        </w:rPr>
        <w:t>Për më tepër, Raporti “Public Pulse” i UNDP-së (2023) evidentoi perceptim të gjerë publik mbi ndjeshmërinë e Kosovës ndaj ndryshimeve klimatike, duke forcuar domosdoshmërinë për masa të</w:t>
      </w:r>
      <w:r w:rsidR="00264DCD" w:rsidRPr="00705B56">
        <w:rPr>
          <w:rFonts w:ascii="Arial" w:eastAsiaTheme="minorHAnsi" w:hAnsi="Arial" w:cs="Arial"/>
          <w:kern w:val="2"/>
          <w:sz w:val="22"/>
          <w:szCs w:val="22"/>
          <w:lang w:val="sq-AL" w:eastAsia="en-US"/>
          <w14:ligatures w14:val="standardContextual"/>
        </w:rPr>
        <w:t xml:space="preserve"> </w:t>
      </w:r>
      <w:r w:rsidR="00533619" w:rsidRPr="00705B56">
        <w:rPr>
          <w:rFonts w:ascii="Arial" w:eastAsiaTheme="minorHAnsi" w:hAnsi="Arial" w:cs="Arial"/>
          <w:kern w:val="2"/>
          <w:sz w:val="22"/>
          <w:szCs w:val="22"/>
          <w:lang w:val="sq-AL" w:eastAsia="en-US"/>
          <w14:ligatures w14:val="standardContextual"/>
        </w:rPr>
        <w:t xml:space="preserve"> përshtatjes </w:t>
      </w:r>
      <w:r w:rsidRPr="00705B56">
        <w:rPr>
          <w:rFonts w:ascii="Arial" w:eastAsiaTheme="minorHAnsi" w:hAnsi="Arial" w:cs="Arial"/>
          <w:kern w:val="2"/>
          <w:sz w:val="22"/>
          <w:szCs w:val="22"/>
          <w:lang w:val="sq-AL" w:eastAsia="en-US"/>
          <w14:ligatures w14:val="standardContextual"/>
        </w:rPr>
        <w:t>dhe integrimin e tyre në politikat zhvillimore</w:t>
      </w:r>
      <w:r w:rsidR="008229D4" w:rsidRPr="00705B56">
        <w:rPr>
          <w:rFonts w:ascii="Arial" w:eastAsiaTheme="minorHAnsi" w:hAnsi="Arial" w:cs="Arial"/>
          <w:kern w:val="2"/>
          <w:sz w:val="22"/>
          <w:szCs w:val="22"/>
          <w:lang w:val="sq-AL" w:eastAsia="en-US"/>
          <w14:ligatures w14:val="standardContextual"/>
        </w:rPr>
        <w:t>.</w:t>
      </w:r>
      <w:r w:rsidR="00C0794B" w:rsidRPr="00705B56">
        <w:rPr>
          <w:rStyle w:val="FootnoteReference"/>
          <w:rFonts w:ascii="Arial" w:eastAsiaTheme="minorHAnsi" w:hAnsi="Arial" w:cs="Arial"/>
          <w:kern w:val="2"/>
          <w:sz w:val="22"/>
          <w:szCs w:val="22"/>
          <w:lang w:val="sq-AL" w:eastAsia="en-US"/>
          <w14:ligatures w14:val="standardContextual"/>
        </w:rPr>
        <w:footnoteReference w:id="42"/>
      </w:r>
      <w:r w:rsidR="00C0794B" w:rsidRPr="00705B56">
        <w:rPr>
          <w:rFonts w:ascii="Arial" w:eastAsiaTheme="minorHAnsi" w:hAnsi="Arial" w:cs="Arial"/>
          <w:kern w:val="2"/>
          <w:sz w:val="22"/>
          <w:szCs w:val="22"/>
          <w:lang w:val="sq-AL" w:eastAsia="en-US"/>
          <w14:ligatures w14:val="standardContextual"/>
        </w:rPr>
        <w:t xml:space="preserve"> </w:t>
      </w:r>
    </w:p>
    <w:p w14:paraId="411F392D" w14:textId="3A5E5139" w:rsidR="00CB1450" w:rsidRPr="00705B56" w:rsidRDefault="00717517" w:rsidP="00CB1450">
      <w:pPr>
        <w:pStyle w:val="Heading2"/>
        <w:rPr>
          <w:rFonts w:ascii="Arial" w:hAnsi="Arial" w:cs="Arial"/>
          <w:lang w:val="sq-AL"/>
        </w:rPr>
      </w:pPr>
      <w:bookmarkStart w:id="62" w:name="_Toc211532698"/>
      <w:r w:rsidRPr="00705B56">
        <w:rPr>
          <w:rFonts w:ascii="Arial" w:hAnsi="Arial" w:cs="Arial"/>
          <w:lang w:val="sq-AL"/>
        </w:rPr>
        <w:t>Ndikimet makroekonomike të ndryshimeve klimatike dhe përshtatjes</w:t>
      </w:r>
      <w:bookmarkEnd w:id="62"/>
    </w:p>
    <w:p w14:paraId="647C24A4" w14:textId="77777777" w:rsidR="00717517" w:rsidRPr="00705B56" w:rsidRDefault="00717517" w:rsidP="00717517">
      <w:pPr>
        <w:pStyle w:val="NormalWeb"/>
        <w:jc w:val="both"/>
        <w:rPr>
          <w:rFonts w:ascii="Arial" w:eastAsiaTheme="minorHAnsi" w:hAnsi="Arial" w:cs="Arial"/>
          <w:kern w:val="2"/>
          <w:sz w:val="22"/>
          <w:szCs w:val="22"/>
          <w:lang w:val="sq-AL" w:eastAsia="en-US"/>
          <w14:ligatures w14:val="standardContextual"/>
        </w:rPr>
      </w:pPr>
      <w:r w:rsidRPr="00705B56">
        <w:rPr>
          <w:rFonts w:ascii="Arial" w:eastAsiaTheme="minorHAnsi" w:hAnsi="Arial" w:cs="Arial"/>
          <w:kern w:val="2"/>
          <w:sz w:val="22"/>
          <w:szCs w:val="22"/>
          <w:lang w:val="sq-AL" w:eastAsia="en-US"/>
          <w14:ligatures w14:val="standardContextual"/>
        </w:rPr>
        <w:t>Të kuptuarit se si rreziqet që lidhen me klimën, të tilla si përmbytjet, thatësirat dhe stresi nga nxehtësia, përkthehen në humbje ekonomike kombëtare është thelbësore për planifikimin e politikave dhe investimeve të informuara.</w:t>
      </w:r>
    </w:p>
    <w:p w14:paraId="09968D7C" w14:textId="77777777" w:rsidR="00717517" w:rsidRPr="00705B56" w:rsidRDefault="00717517" w:rsidP="00717517">
      <w:pPr>
        <w:pStyle w:val="NormalWeb"/>
        <w:jc w:val="both"/>
        <w:rPr>
          <w:rFonts w:ascii="Arial" w:eastAsiaTheme="minorHAnsi" w:hAnsi="Arial" w:cs="Arial"/>
          <w:kern w:val="2"/>
          <w:sz w:val="22"/>
          <w:szCs w:val="22"/>
          <w:lang w:val="sq-AL" w:eastAsia="en-US"/>
          <w14:ligatures w14:val="standardContextual"/>
        </w:rPr>
      </w:pPr>
      <w:r w:rsidRPr="00705B56">
        <w:rPr>
          <w:rFonts w:ascii="Arial" w:eastAsiaTheme="minorHAnsi" w:hAnsi="Arial" w:cs="Arial"/>
          <w:kern w:val="2"/>
          <w:sz w:val="22"/>
          <w:szCs w:val="22"/>
          <w:lang w:val="sq-AL" w:eastAsia="en-US"/>
          <w14:ligatures w14:val="standardContextual"/>
        </w:rPr>
        <w:t>Në këtë kontekst, modelimi makroekonomik i kryer nga Banka Botërore, me kontribute nga JBA, Instituti Ndërkombëtar për Analizën e Sistemeve të Aplikuara (IIASA) dhe CIMA, ofron parashikime të dëmeve që lidhen me klimën në PBB (niveli i prodhimit) dhe ndikimin e mundshëm të përshtatjes sipas skenarëve të ndryshëm të rritjes së trendit: RCP 2.6, RCP 4.5 dhe RCP 8.5.</w:t>
      </w:r>
    </w:p>
    <w:p w14:paraId="6FBE82B8" w14:textId="77777777" w:rsidR="00717517" w:rsidRPr="00705B56" w:rsidRDefault="00717517" w:rsidP="00717517">
      <w:pPr>
        <w:pStyle w:val="NormalWeb"/>
        <w:jc w:val="both"/>
        <w:rPr>
          <w:rFonts w:ascii="Arial" w:eastAsiaTheme="minorHAnsi" w:hAnsi="Arial" w:cs="Arial"/>
          <w:kern w:val="2"/>
          <w:sz w:val="22"/>
          <w:szCs w:val="22"/>
          <w:lang w:val="sq-AL" w:eastAsia="en-US"/>
          <w14:ligatures w14:val="standardContextual"/>
        </w:rPr>
      </w:pPr>
      <w:r w:rsidRPr="00705B56">
        <w:rPr>
          <w:rFonts w:ascii="Arial" w:eastAsiaTheme="minorHAnsi" w:hAnsi="Arial" w:cs="Arial"/>
          <w:kern w:val="2"/>
          <w:sz w:val="22"/>
          <w:szCs w:val="22"/>
          <w:lang w:val="sq-AL" w:eastAsia="en-US"/>
          <w14:ligatures w14:val="standardContextual"/>
        </w:rPr>
        <w:t>Këto parashikime, të përmbledhura në tabelën më poshtë, vlerësojnë ndryshimin e pritur në nivelin e PBB-së (i cili gjithashtu pasqyron ndryshimet në PBB për frymë, pasi madhësia e popullsisë supozohet konstante si në skenarët e dëmeve klimatike ashtu edhe në ato pa dëme).</w:t>
      </w:r>
    </w:p>
    <w:p w14:paraId="1E9F038D" w14:textId="432896B4" w:rsidR="00C0794B" w:rsidRPr="00705B56" w:rsidRDefault="00717517" w:rsidP="004C6E93">
      <w:pPr>
        <w:pStyle w:val="NormalWeb"/>
        <w:jc w:val="both"/>
        <w:rPr>
          <w:rFonts w:ascii="Arial" w:eastAsiaTheme="minorHAnsi" w:hAnsi="Arial" w:cs="Arial"/>
          <w:kern w:val="2"/>
          <w:sz w:val="22"/>
          <w:szCs w:val="22"/>
          <w:lang w:val="sq-AL" w:eastAsia="en-US"/>
          <w14:ligatures w14:val="standardContextual"/>
        </w:rPr>
      </w:pPr>
      <w:r w:rsidRPr="00705B56">
        <w:rPr>
          <w:rFonts w:ascii="Arial" w:eastAsiaTheme="minorHAnsi" w:hAnsi="Arial" w:cs="Arial"/>
          <w:kern w:val="2"/>
          <w:sz w:val="22"/>
          <w:szCs w:val="22"/>
          <w:lang w:val="sq-AL" w:eastAsia="en-US"/>
          <w14:ligatures w14:val="standardContextual"/>
        </w:rPr>
        <w:t>Analiza merr në konsideratë efektet ekonomike të përmbytjeve lumore, stresit nga nxehtësia dhe thatësirave (veçanërisht përmes ndikimit të tyre në rendimentet e misrit dhe grurit), si dhe efektin e kombinuar të këtyre tre rreziqeve klimatike</w:t>
      </w:r>
      <w:r w:rsidR="00CB1450" w:rsidRPr="00705B56">
        <w:rPr>
          <w:rFonts w:ascii="Arial" w:eastAsiaTheme="minorHAnsi" w:hAnsi="Arial" w:cs="Arial"/>
          <w:kern w:val="2"/>
          <w:sz w:val="22"/>
          <w:szCs w:val="22"/>
          <w:lang w:val="sq-AL" w:eastAsia="en-US"/>
          <w14:ligatures w14:val="standardContextual"/>
        </w:rPr>
        <w:t>.</w:t>
      </w:r>
    </w:p>
    <w:p w14:paraId="37ECA76C" w14:textId="70BA8BE9" w:rsidR="006D1316" w:rsidRPr="00705B56" w:rsidRDefault="006D1316" w:rsidP="006D1316">
      <w:pPr>
        <w:pStyle w:val="Caption"/>
        <w:keepNext/>
        <w:rPr>
          <w:rFonts w:ascii="Arial" w:hAnsi="Arial" w:cs="Arial"/>
        </w:rPr>
      </w:pPr>
      <w:bookmarkStart w:id="63" w:name="_Toc211532731"/>
      <w:r w:rsidRPr="00705B56">
        <w:rPr>
          <w:rFonts w:ascii="Arial" w:hAnsi="Arial" w:cs="Arial"/>
        </w:rPr>
        <w:t xml:space="preserve">Tabela </w:t>
      </w:r>
      <w:r w:rsidR="0097040B" w:rsidRPr="00705B56">
        <w:rPr>
          <w:rFonts w:ascii="Arial" w:hAnsi="Arial" w:cs="Arial"/>
        </w:rPr>
        <w:fldChar w:fldCharType="begin"/>
      </w:r>
      <w:r w:rsidR="0097040B" w:rsidRPr="00705B56">
        <w:rPr>
          <w:rFonts w:ascii="Arial" w:hAnsi="Arial" w:cs="Arial"/>
        </w:rPr>
        <w:instrText xml:space="preserve"> SEQ Tabela \* ARABIC </w:instrText>
      </w:r>
      <w:r w:rsidR="0097040B" w:rsidRPr="00705B56">
        <w:rPr>
          <w:rFonts w:ascii="Arial" w:hAnsi="Arial" w:cs="Arial"/>
        </w:rPr>
        <w:fldChar w:fldCharType="separate"/>
      </w:r>
      <w:r w:rsidR="00C62DE9">
        <w:rPr>
          <w:rFonts w:ascii="Arial" w:hAnsi="Arial" w:cs="Arial"/>
          <w:noProof/>
        </w:rPr>
        <w:t>4</w:t>
      </w:r>
      <w:r w:rsidR="0097040B" w:rsidRPr="00705B56">
        <w:rPr>
          <w:rFonts w:ascii="Arial" w:hAnsi="Arial" w:cs="Arial"/>
          <w:noProof/>
        </w:rPr>
        <w:fldChar w:fldCharType="end"/>
      </w:r>
      <w:r w:rsidRPr="00705B56">
        <w:rPr>
          <w:rFonts w:ascii="Arial" w:hAnsi="Arial" w:cs="Arial"/>
        </w:rPr>
        <w:t>. Humbjet e parashikuara të prodhimit në nivelin e PBB-së dhe ndikimi i përshtatjes sipas skenarëve të rritjes së trendit RCP 2.6, RCP 4.5 dhe RCP 8.5</w:t>
      </w:r>
      <w:bookmarkEnd w:id="63"/>
    </w:p>
    <w:tbl>
      <w:tblPr>
        <w:tblStyle w:val="TableGrid"/>
        <w:tblW w:w="0" w:type="auto"/>
        <w:tblLook w:val="04A0" w:firstRow="1" w:lastRow="0" w:firstColumn="1" w:lastColumn="0" w:noHBand="0" w:noVBand="1"/>
      </w:tblPr>
      <w:tblGrid>
        <w:gridCol w:w="2487"/>
        <w:gridCol w:w="829"/>
        <w:gridCol w:w="829"/>
        <w:gridCol w:w="829"/>
        <w:gridCol w:w="829"/>
        <w:gridCol w:w="829"/>
        <w:gridCol w:w="829"/>
        <w:gridCol w:w="829"/>
        <w:gridCol w:w="829"/>
        <w:gridCol w:w="829"/>
      </w:tblGrid>
      <w:tr w:rsidR="00C0794B" w:rsidRPr="00705B56" w14:paraId="25BC8FFB" w14:textId="77777777" w:rsidTr="00A70686">
        <w:tc>
          <w:tcPr>
            <w:tcW w:w="2487" w:type="dxa"/>
            <w:vAlign w:val="center"/>
          </w:tcPr>
          <w:p w14:paraId="5557E9E6" w14:textId="2A2D137A" w:rsidR="00C0794B" w:rsidRPr="00705B56" w:rsidRDefault="00CD1454" w:rsidP="00A70686">
            <w:pPr>
              <w:pStyle w:val="NormalWeb"/>
              <w:jc w:val="center"/>
              <w:rPr>
                <w:rFonts w:ascii="Arial" w:eastAsiaTheme="minorHAnsi" w:hAnsi="Arial" w:cs="Arial"/>
                <w:b/>
                <w:bCs/>
                <w:kern w:val="2"/>
                <w:sz w:val="20"/>
                <w:szCs w:val="20"/>
                <w:lang w:val="sq-AL" w:eastAsia="en-US"/>
                <w14:ligatures w14:val="standardContextual"/>
              </w:rPr>
            </w:pPr>
            <w:r w:rsidRPr="00705B56">
              <w:rPr>
                <w:rFonts w:ascii="Arial" w:eastAsiaTheme="minorHAnsi" w:hAnsi="Arial" w:cs="Arial"/>
                <w:b/>
                <w:bCs/>
                <w:kern w:val="2"/>
                <w:sz w:val="20"/>
                <w:szCs w:val="20"/>
                <w:lang w:val="sq-AL" w:eastAsia="en-US"/>
                <w14:ligatures w14:val="standardContextual"/>
              </w:rPr>
              <w:t>Devijimi % i PBB-së reale nga niveli bazë</w:t>
            </w:r>
          </w:p>
        </w:tc>
        <w:tc>
          <w:tcPr>
            <w:tcW w:w="2487" w:type="dxa"/>
            <w:gridSpan w:val="3"/>
            <w:vAlign w:val="center"/>
          </w:tcPr>
          <w:p w14:paraId="28B506CE" w14:textId="77777777" w:rsidR="00C0794B" w:rsidRPr="00705B56" w:rsidRDefault="00C0794B" w:rsidP="00A70686">
            <w:pPr>
              <w:pStyle w:val="NormalWeb"/>
              <w:jc w:val="center"/>
              <w:rPr>
                <w:rFonts w:ascii="Arial" w:eastAsiaTheme="minorHAnsi" w:hAnsi="Arial" w:cs="Arial"/>
                <w:b/>
                <w:bCs/>
                <w:kern w:val="2"/>
                <w:sz w:val="20"/>
                <w:szCs w:val="20"/>
                <w:lang w:val="sq-AL" w:eastAsia="en-US"/>
                <w14:ligatures w14:val="standardContextual"/>
              </w:rPr>
            </w:pPr>
            <w:r w:rsidRPr="00705B56">
              <w:rPr>
                <w:rFonts w:ascii="Arial" w:eastAsiaTheme="minorHAnsi" w:hAnsi="Arial" w:cs="Arial"/>
                <w:b/>
                <w:bCs/>
                <w:kern w:val="2"/>
                <w:sz w:val="20"/>
                <w:szCs w:val="20"/>
                <w:lang w:val="sq-AL" w:eastAsia="en-US"/>
                <w14:ligatures w14:val="standardContextual"/>
              </w:rPr>
              <w:t>RCP 2.6</w:t>
            </w:r>
          </w:p>
        </w:tc>
        <w:tc>
          <w:tcPr>
            <w:tcW w:w="2487" w:type="dxa"/>
            <w:gridSpan w:val="3"/>
            <w:vAlign w:val="center"/>
          </w:tcPr>
          <w:p w14:paraId="43D2D60A" w14:textId="77777777" w:rsidR="00C0794B" w:rsidRPr="00705B56" w:rsidRDefault="00C0794B" w:rsidP="00A70686">
            <w:pPr>
              <w:pStyle w:val="NormalWeb"/>
              <w:jc w:val="center"/>
              <w:rPr>
                <w:rFonts w:ascii="Arial" w:eastAsiaTheme="minorHAnsi" w:hAnsi="Arial" w:cs="Arial"/>
                <w:b/>
                <w:bCs/>
                <w:kern w:val="2"/>
                <w:sz w:val="20"/>
                <w:szCs w:val="20"/>
                <w:lang w:val="sq-AL" w:eastAsia="en-US"/>
                <w14:ligatures w14:val="standardContextual"/>
              </w:rPr>
            </w:pPr>
            <w:r w:rsidRPr="00705B56">
              <w:rPr>
                <w:rFonts w:ascii="Arial" w:eastAsiaTheme="minorHAnsi" w:hAnsi="Arial" w:cs="Arial"/>
                <w:b/>
                <w:bCs/>
                <w:kern w:val="2"/>
                <w:sz w:val="20"/>
                <w:szCs w:val="20"/>
                <w:lang w:val="sq-AL" w:eastAsia="en-US"/>
                <w14:ligatures w14:val="standardContextual"/>
              </w:rPr>
              <w:t>RCP 4.5</w:t>
            </w:r>
          </w:p>
        </w:tc>
        <w:tc>
          <w:tcPr>
            <w:tcW w:w="2487" w:type="dxa"/>
            <w:gridSpan w:val="3"/>
            <w:vAlign w:val="center"/>
          </w:tcPr>
          <w:p w14:paraId="0A6A293C" w14:textId="77777777" w:rsidR="00C0794B" w:rsidRPr="00705B56" w:rsidRDefault="00C0794B" w:rsidP="00A70686">
            <w:pPr>
              <w:pStyle w:val="NormalWeb"/>
              <w:jc w:val="center"/>
              <w:rPr>
                <w:rFonts w:ascii="Arial" w:eastAsiaTheme="minorHAnsi" w:hAnsi="Arial" w:cs="Arial"/>
                <w:b/>
                <w:bCs/>
                <w:kern w:val="2"/>
                <w:sz w:val="20"/>
                <w:szCs w:val="20"/>
                <w:lang w:val="sq-AL" w:eastAsia="en-US"/>
                <w14:ligatures w14:val="standardContextual"/>
              </w:rPr>
            </w:pPr>
            <w:r w:rsidRPr="00705B56">
              <w:rPr>
                <w:rFonts w:ascii="Arial" w:eastAsiaTheme="minorHAnsi" w:hAnsi="Arial" w:cs="Arial"/>
                <w:b/>
                <w:bCs/>
                <w:kern w:val="2"/>
                <w:sz w:val="20"/>
                <w:szCs w:val="20"/>
                <w:lang w:val="sq-AL" w:eastAsia="en-US"/>
                <w14:ligatures w14:val="standardContextual"/>
              </w:rPr>
              <w:t>RCP 8.5</w:t>
            </w:r>
          </w:p>
        </w:tc>
      </w:tr>
      <w:tr w:rsidR="00C0794B" w:rsidRPr="00705B56" w14:paraId="7EF77904" w14:textId="77777777" w:rsidTr="00A70686">
        <w:tc>
          <w:tcPr>
            <w:tcW w:w="9948" w:type="dxa"/>
            <w:gridSpan w:val="10"/>
            <w:shd w:val="clear" w:color="auto" w:fill="D9D9D9" w:themeFill="background1" w:themeFillShade="D9"/>
          </w:tcPr>
          <w:p w14:paraId="4DEC57F7" w14:textId="2F87C77A" w:rsidR="00C0794B" w:rsidRPr="00705B56" w:rsidRDefault="00CD1454" w:rsidP="00A70686">
            <w:pPr>
              <w:pStyle w:val="NormalWeb"/>
              <w:jc w:val="both"/>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Pa investime për përshtatje</w:t>
            </w:r>
          </w:p>
        </w:tc>
      </w:tr>
      <w:tr w:rsidR="00C0794B" w:rsidRPr="00705B56" w14:paraId="7CE4C476" w14:textId="77777777" w:rsidTr="00A70686">
        <w:tc>
          <w:tcPr>
            <w:tcW w:w="2487" w:type="dxa"/>
          </w:tcPr>
          <w:p w14:paraId="76EA89EF" w14:textId="77777777" w:rsidR="00C0794B" w:rsidRPr="00705B56" w:rsidRDefault="00C0794B" w:rsidP="00A70686">
            <w:pPr>
              <w:pStyle w:val="NormalWeb"/>
              <w:jc w:val="both"/>
              <w:rPr>
                <w:rFonts w:ascii="Arial" w:eastAsiaTheme="minorHAnsi" w:hAnsi="Arial" w:cs="Arial"/>
                <w:kern w:val="2"/>
                <w:sz w:val="20"/>
                <w:szCs w:val="20"/>
                <w:lang w:val="sq-AL" w:eastAsia="en-US"/>
                <w14:ligatures w14:val="standardContextual"/>
              </w:rPr>
            </w:pPr>
          </w:p>
        </w:tc>
        <w:tc>
          <w:tcPr>
            <w:tcW w:w="829" w:type="dxa"/>
            <w:vAlign w:val="center"/>
          </w:tcPr>
          <w:p w14:paraId="1EBA7CDA"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2030</w:t>
            </w:r>
          </w:p>
        </w:tc>
        <w:tc>
          <w:tcPr>
            <w:tcW w:w="829" w:type="dxa"/>
            <w:vAlign w:val="center"/>
          </w:tcPr>
          <w:p w14:paraId="735487BE"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2040</w:t>
            </w:r>
          </w:p>
        </w:tc>
        <w:tc>
          <w:tcPr>
            <w:tcW w:w="829" w:type="dxa"/>
            <w:vAlign w:val="center"/>
          </w:tcPr>
          <w:p w14:paraId="0CE867FB"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2050</w:t>
            </w:r>
          </w:p>
        </w:tc>
        <w:tc>
          <w:tcPr>
            <w:tcW w:w="829" w:type="dxa"/>
            <w:vAlign w:val="center"/>
          </w:tcPr>
          <w:p w14:paraId="4AE9C7A6"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2030</w:t>
            </w:r>
          </w:p>
        </w:tc>
        <w:tc>
          <w:tcPr>
            <w:tcW w:w="829" w:type="dxa"/>
            <w:vAlign w:val="center"/>
          </w:tcPr>
          <w:p w14:paraId="059CFF61"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2040</w:t>
            </w:r>
          </w:p>
        </w:tc>
        <w:tc>
          <w:tcPr>
            <w:tcW w:w="829" w:type="dxa"/>
            <w:vAlign w:val="center"/>
          </w:tcPr>
          <w:p w14:paraId="72FDD812"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2050</w:t>
            </w:r>
          </w:p>
        </w:tc>
        <w:tc>
          <w:tcPr>
            <w:tcW w:w="829" w:type="dxa"/>
            <w:vAlign w:val="center"/>
          </w:tcPr>
          <w:p w14:paraId="0F570E59"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2030</w:t>
            </w:r>
          </w:p>
        </w:tc>
        <w:tc>
          <w:tcPr>
            <w:tcW w:w="829" w:type="dxa"/>
            <w:vAlign w:val="center"/>
          </w:tcPr>
          <w:p w14:paraId="19CE1DB6"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2040</w:t>
            </w:r>
          </w:p>
        </w:tc>
        <w:tc>
          <w:tcPr>
            <w:tcW w:w="829" w:type="dxa"/>
            <w:vAlign w:val="center"/>
          </w:tcPr>
          <w:p w14:paraId="13569D7F"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2050</w:t>
            </w:r>
          </w:p>
        </w:tc>
      </w:tr>
      <w:tr w:rsidR="00C0794B" w:rsidRPr="00705B56" w14:paraId="5CA7B813" w14:textId="77777777" w:rsidTr="00A70686">
        <w:tc>
          <w:tcPr>
            <w:tcW w:w="2487" w:type="dxa"/>
            <w:vAlign w:val="center"/>
          </w:tcPr>
          <w:p w14:paraId="6F51CCF7" w14:textId="70DFAE19" w:rsidR="00C0794B" w:rsidRPr="00705B56" w:rsidRDefault="00CD1454" w:rsidP="00CD1454">
            <w:pPr>
              <w:pStyle w:val="NormalWeb"/>
              <w:rPr>
                <w:rFonts w:ascii="Arial" w:eastAsiaTheme="minorHAnsi" w:hAnsi="Arial" w:cs="Arial"/>
                <w:b/>
                <w:bCs/>
                <w:kern w:val="2"/>
                <w:sz w:val="20"/>
                <w:szCs w:val="20"/>
                <w:lang w:val="sq-AL" w:eastAsia="en-US"/>
                <w14:ligatures w14:val="standardContextual"/>
              </w:rPr>
            </w:pPr>
            <w:r w:rsidRPr="00705B56">
              <w:rPr>
                <w:rFonts w:ascii="Arial" w:eastAsiaTheme="minorHAnsi" w:hAnsi="Arial" w:cs="Arial"/>
                <w:b/>
                <w:bCs/>
                <w:kern w:val="2"/>
                <w:sz w:val="20"/>
                <w:szCs w:val="20"/>
                <w:lang w:val="sq-AL" w:eastAsia="en-US"/>
                <w14:ligatures w14:val="standardContextual"/>
              </w:rPr>
              <w:t>Përmbytjet lumore</w:t>
            </w:r>
          </w:p>
        </w:tc>
        <w:tc>
          <w:tcPr>
            <w:tcW w:w="829" w:type="dxa"/>
            <w:vAlign w:val="center"/>
          </w:tcPr>
          <w:p w14:paraId="3031015D"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-1,4</w:t>
            </w:r>
          </w:p>
        </w:tc>
        <w:tc>
          <w:tcPr>
            <w:tcW w:w="829" w:type="dxa"/>
            <w:vAlign w:val="center"/>
          </w:tcPr>
          <w:p w14:paraId="630E1A56"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-3,3</w:t>
            </w:r>
          </w:p>
        </w:tc>
        <w:tc>
          <w:tcPr>
            <w:tcW w:w="829" w:type="dxa"/>
            <w:vAlign w:val="center"/>
          </w:tcPr>
          <w:p w14:paraId="2F152F02"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-4,6</w:t>
            </w:r>
          </w:p>
        </w:tc>
        <w:tc>
          <w:tcPr>
            <w:tcW w:w="829" w:type="dxa"/>
            <w:vAlign w:val="center"/>
          </w:tcPr>
          <w:p w14:paraId="5AB92A6E"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-1</w:t>
            </w:r>
          </w:p>
        </w:tc>
        <w:tc>
          <w:tcPr>
            <w:tcW w:w="829" w:type="dxa"/>
            <w:vAlign w:val="center"/>
          </w:tcPr>
          <w:p w14:paraId="0C9D9B7A"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-2,4</w:t>
            </w:r>
          </w:p>
        </w:tc>
        <w:tc>
          <w:tcPr>
            <w:tcW w:w="829" w:type="dxa"/>
            <w:vAlign w:val="center"/>
          </w:tcPr>
          <w:p w14:paraId="15623ECF"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-3,2</w:t>
            </w:r>
          </w:p>
        </w:tc>
        <w:tc>
          <w:tcPr>
            <w:tcW w:w="829" w:type="dxa"/>
            <w:vAlign w:val="center"/>
          </w:tcPr>
          <w:p w14:paraId="75105A78"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-0,7</w:t>
            </w:r>
          </w:p>
        </w:tc>
        <w:tc>
          <w:tcPr>
            <w:tcW w:w="829" w:type="dxa"/>
            <w:vAlign w:val="center"/>
          </w:tcPr>
          <w:p w14:paraId="0F6BB48B"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-2</w:t>
            </w:r>
          </w:p>
        </w:tc>
        <w:tc>
          <w:tcPr>
            <w:tcW w:w="829" w:type="dxa"/>
            <w:vAlign w:val="center"/>
          </w:tcPr>
          <w:p w14:paraId="31F9F138"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-3,1</w:t>
            </w:r>
          </w:p>
        </w:tc>
      </w:tr>
      <w:tr w:rsidR="00C0794B" w:rsidRPr="00705B56" w14:paraId="5E634E71" w14:textId="77777777" w:rsidTr="00A70686">
        <w:tc>
          <w:tcPr>
            <w:tcW w:w="2487" w:type="dxa"/>
            <w:vAlign w:val="center"/>
          </w:tcPr>
          <w:p w14:paraId="294D9CBA" w14:textId="41719893" w:rsidR="00C0794B" w:rsidRPr="00705B56" w:rsidRDefault="00CD1454" w:rsidP="00A70686">
            <w:pPr>
              <w:pStyle w:val="NormalWeb"/>
              <w:rPr>
                <w:rFonts w:ascii="Arial" w:eastAsiaTheme="minorHAnsi" w:hAnsi="Arial" w:cs="Arial"/>
                <w:b/>
                <w:bCs/>
                <w:kern w:val="2"/>
                <w:sz w:val="20"/>
                <w:szCs w:val="20"/>
                <w:lang w:val="sq-AL" w:eastAsia="en-US"/>
                <w14:ligatures w14:val="standardContextual"/>
              </w:rPr>
            </w:pPr>
            <w:r w:rsidRPr="00705B56">
              <w:rPr>
                <w:rFonts w:ascii="Arial" w:eastAsiaTheme="minorHAnsi" w:hAnsi="Arial" w:cs="Arial"/>
                <w:b/>
                <w:bCs/>
                <w:kern w:val="2"/>
                <w:sz w:val="20"/>
                <w:szCs w:val="20"/>
                <w:lang w:val="sq-AL" w:eastAsia="en-US"/>
                <w14:ligatures w14:val="standardContextual"/>
              </w:rPr>
              <w:t>Stresi nga nxehtësia</w:t>
            </w:r>
          </w:p>
        </w:tc>
        <w:tc>
          <w:tcPr>
            <w:tcW w:w="829" w:type="dxa"/>
            <w:vAlign w:val="center"/>
          </w:tcPr>
          <w:p w14:paraId="21824DA9"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-0,1</w:t>
            </w:r>
          </w:p>
        </w:tc>
        <w:tc>
          <w:tcPr>
            <w:tcW w:w="829" w:type="dxa"/>
            <w:vAlign w:val="center"/>
          </w:tcPr>
          <w:p w14:paraId="1EEA07D1"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-0,2</w:t>
            </w:r>
          </w:p>
        </w:tc>
        <w:tc>
          <w:tcPr>
            <w:tcW w:w="829" w:type="dxa"/>
            <w:vAlign w:val="center"/>
          </w:tcPr>
          <w:p w14:paraId="133A91FA"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-0,4</w:t>
            </w:r>
          </w:p>
        </w:tc>
        <w:tc>
          <w:tcPr>
            <w:tcW w:w="829" w:type="dxa"/>
            <w:vAlign w:val="center"/>
          </w:tcPr>
          <w:p w14:paraId="48FEEE60"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-0,2</w:t>
            </w:r>
          </w:p>
        </w:tc>
        <w:tc>
          <w:tcPr>
            <w:tcW w:w="829" w:type="dxa"/>
            <w:vAlign w:val="center"/>
          </w:tcPr>
          <w:p w14:paraId="770BA872"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-0,4</w:t>
            </w:r>
          </w:p>
        </w:tc>
        <w:tc>
          <w:tcPr>
            <w:tcW w:w="829" w:type="dxa"/>
            <w:vAlign w:val="center"/>
          </w:tcPr>
          <w:p w14:paraId="154A19DF"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-0,6</w:t>
            </w:r>
          </w:p>
        </w:tc>
        <w:tc>
          <w:tcPr>
            <w:tcW w:w="829" w:type="dxa"/>
            <w:vAlign w:val="center"/>
          </w:tcPr>
          <w:p w14:paraId="56CF4E9C"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-0,2</w:t>
            </w:r>
          </w:p>
        </w:tc>
        <w:tc>
          <w:tcPr>
            <w:tcW w:w="829" w:type="dxa"/>
            <w:vAlign w:val="center"/>
          </w:tcPr>
          <w:p w14:paraId="6A07A544"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-0,5</w:t>
            </w:r>
          </w:p>
        </w:tc>
        <w:tc>
          <w:tcPr>
            <w:tcW w:w="829" w:type="dxa"/>
            <w:vAlign w:val="center"/>
          </w:tcPr>
          <w:p w14:paraId="425BFF70"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-0,8</w:t>
            </w:r>
          </w:p>
        </w:tc>
      </w:tr>
      <w:tr w:rsidR="00C0794B" w:rsidRPr="00705B56" w14:paraId="29E7D940" w14:textId="77777777" w:rsidTr="00A70686">
        <w:tc>
          <w:tcPr>
            <w:tcW w:w="2487" w:type="dxa"/>
            <w:vAlign w:val="center"/>
          </w:tcPr>
          <w:p w14:paraId="22C52E54" w14:textId="0A4E8733" w:rsidR="00C0794B" w:rsidRPr="00705B56" w:rsidRDefault="008A5234" w:rsidP="00A70686">
            <w:pPr>
              <w:pStyle w:val="NormalWeb"/>
              <w:rPr>
                <w:rFonts w:ascii="Arial" w:eastAsiaTheme="minorHAnsi" w:hAnsi="Arial" w:cs="Arial"/>
                <w:b/>
                <w:bCs/>
                <w:kern w:val="2"/>
                <w:sz w:val="20"/>
                <w:szCs w:val="20"/>
                <w:lang w:val="sq-AL" w:eastAsia="en-US"/>
                <w14:ligatures w14:val="standardContextual"/>
              </w:rPr>
            </w:pPr>
            <w:r w:rsidRPr="00705B56">
              <w:rPr>
                <w:rFonts w:ascii="Arial" w:eastAsiaTheme="minorHAnsi" w:hAnsi="Arial" w:cs="Arial"/>
                <w:b/>
                <w:bCs/>
                <w:kern w:val="2"/>
                <w:sz w:val="20"/>
                <w:szCs w:val="20"/>
                <w:lang w:val="sq-AL" w:eastAsia="en-US"/>
                <w14:ligatures w14:val="standardContextual"/>
              </w:rPr>
              <w:t>Thatësirat</w:t>
            </w:r>
          </w:p>
        </w:tc>
        <w:tc>
          <w:tcPr>
            <w:tcW w:w="829" w:type="dxa"/>
            <w:vAlign w:val="center"/>
          </w:tcPr>
          <w:p w14:paraId="018F07DD"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-0,2</w:t>
            </w:r>
          </w:p>
        </w:tc>
        <w:tc>
          <w:tcPr>
            <w:tcW w:w="829" w:type="dxa"/>
            <w:vAlign w:val="center"/>
          </w:tcPr>
          <w:p w14:paraId="672D575D"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-0,3</w:t>
            </w:r>
          </w:p>
        </w:tc>
        <w:tc>
          <w:tcPr>
            <w:tcW w:w="829" w:type="dxa"/>
            <w:vAlign w:val="center"/>
          </w:tcPr>
          <w:p w14:paraId="517D7FD3"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-0,3</w:t>
            </w:r>
          </w:p>
        </w:tc>
        <w:tc>
          <w:tcPr>
            <w:tcW w:w="829" w:type="dxa"/>
            <w:vAlign w:val="center"/>
          </w:tcPr>
          <w:p w14:paraId="569D9C51"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-0,3</w:t>
            </w:r>
          </w:p>
        </w:tc>
        <w:tc>
          <w:tcPr>
            <w:tcW w:w="829" w:type="dxa"/>
            <w:vAlign w:val="center"/>
          </w:tcPr>
          <w:p w14:paraId="7782A105"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-0,3</w:t>
            </w:r>
          </w:p>
        </w:tc>
        <w:tc>
          <w:tcPr>
            <w:tcW w:w="829" w:type="dxa"/>
            <w:vAlign w:val="center"/>
          </w:tcPr>
          <w:p w14:paraId="69683599"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-0,2</w:t>
            </w:r>
          </w:p>
        </w:tc>
        <w:tc>
          <w:tcPr>
            <w:tcW w:w="829" w:type="dxa"/>
            <w:vAlign w:val="center"/>
          </w:tcPr>
          <w:p w14:paraId="5DDD274A"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-0,3</w:t>
            </w:r>
          </w:p>
        </w:tc>
        <w:tc>
          <w:tcPr>
            <w:tcW w:w="829" w:type="dxa"/>
            <w:vAlign w:val="center"/>
          </w:tcPr>
          <w:p w14:paraId="083933A1"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-0,3</w:t>
            </w:r>
          </w:p>
        </w:tc>
        <w:tc>
          <w:tcPr>
            <w:tcW w:w="829" w:type="dxa"/>
            <w:vAlign w:val="center"/>
          </w:tcPr>
          <w:p w14:paraId="157E50A0"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-0,3</w:t>
            </w:r>
          </w:p>
        </w:tc>
      </w:tr>
      <w:tr w:rsidR="00C0794B" w:rsidRPr="00705B56" w14:paraId="51A75E8D" w14:textId="77777777" w:rsidTr="00A70686">
        <w:tc>
          <w:tcPr>
            <w:tcW w:w="2487" w:type="dxa"/>
            <w:vAlign w:val="center"/>
          </w:tcPr>
          <w:p w14:paraId="3E863EE5" w14:textId="3348CBDC" w:rsidR="00C0794B" w:rsidRPr="00705B56" w:rsidRDefault="008A5234" w:rsidP="00A70686">
            <w:pPr>
              <w:pStyle w:val="NormalWeb"/>
              <w:rPr>
                <w:rFonts w:ascii="Arial" w:eastAsiaTheme="minorHAnsi" w:hAnsi="Arial" w:cs="Arial"/>
                <w:b/>
                <w:bCs/>
                <w:kern w:val="2"/>
                <w:sz w:val="20"/>
                <w:szCs w:val="20"/>
                <w:lang w:val="sq-AL" w:eastAsia="en-US"/>
                <w14:ligatures w14:val="standardContextual"/>
              </w:rPr>
            </w:pPr>
            <w:r w:rsidRPr="00705B56">
              <w:rPr>
                <w:rFonts w:ascii="Arial" w:eastAsiaTheme="minorHAnsi" w:hAnsi="Arial" w:cs="Arial"/>
                <w:b/>
                <w:bCs/>
                <w:kern w:val="2"/>
                <w:sz w:val="20"/>
                <w:szCs w:val="20"/>
                <w:lang w:val="sq-AL" w:eastAsia="en-US"/>
                <w14:ligatures w14:val="standardContextual"/>
              </w:rPr>
              <w:t>Të kombinuara</w:t>
            </w:r>
          </w:p>
        </w:tc>
        <w:tc>
          <w:tcPr>
            <w:tcW w:w="829" w:type="dxa"/>
            <w:vAlign w:val="center"/>
          </w:tcPr>
          <w:p w14:paraId="3F27BE71"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-1,6</w:t>
            </w:r>
          </w:p>
        </w:tc>
        <w:tc>
          <w:tcPr>
            <w:tcW w:w="829" w:type="dxa"/>
            <w:vAlign w:val="center"/>
          </w:tcPr>
          <w:p w14:paraId="72C1DA6D"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-3,8</w:t>
            </w:r>
          </w:p>
        </w:tc>
        <w:tc>
          <w:tcPr>
            <w:tcW w:w="829" w:type="dxa"/>
            <w:vAlign w:val="center"/>
          </w:tcPr>
          <w:p w14:paraId="11E57E96"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-5,1</w:t>
            </w:r>
          </w:p>
        </w:tc>
        <w:tc>
          <w:tcPr>
            <w:tcW w:w="829" w:type="dxa"/>
            <w:vAlign w:val="center"/>
          </w:tcPr>
          <w:p w14:paraId="2C36050E"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-1,3</w:t>
            </w:r>
          </w:p>
        </w:tc>
        <w:tc>
          <w:tcPr>
            <w:tcW w:w="829" w:type="dxa"/>
            <w:vAlign w:val="center"/>
          </w:tcPr>
          <w:p w14:paraId="2F6CA548"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-3</w:t>
            </w:r>
          </w:p>
        </w:tc>
        <w:tc>
          <w:tcPr>
            <w:tcW w:w="829" w:type="dxa"/>
            <w:vAlign w:val="center"/>
          </w:tcPr>
          <w:p w14:paraId="760D81A9"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-4,2</w:t>
            </w:r>
          </w:p>
        </w:tc>
        <w:tc>
          <w:tcPr>
            <w:tcW w:w="829" w:type="dxa"/>
            <w:vAlign w:val="center"/>
          </w:tcPr>
          <w:p w14:paraId="7F342DAC"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-1,2</w:t>
            </w:r>
          </w:p>
        </w:tc>
        <w:tc>
          <w:tcPr>
            <w:tcW w:w="829" w:type="dxa"/>
            <w:vAlign w:val="center"/>
          </w:tcPr>
          <w:p w14:paraId="0FC9144D"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-2,9</w:t>
            </w:r>
          </w:p>
        </w:tc>
        <w:tc>
          <w:tcPr>
            <w:tcW w:w="829" w:type="dxa"/>
            <w:vAlign w:val="center"/>
          </w:tcPr>
          <w:p w14:paraId="301C8858" w14:textId="77777777" w:rsidR="00C0794B" w:rsidRPr="00705B56" w:rsidRDefault="00C0794B" w:rsidP="00A70686">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-4</w:t>
            </w:r>
          </w:p>
        </w:tc>
      </w:tr>
      <w:tr w:rsidR="00C0794B" w:rsidRPr="00705B56" w14:paraId="51136D80" w14:textId="77777777" w:rsidTr="00A70686">
        <w:tc>
          <w:tcPr>
            <w:tcW w:w="9948" w:type="dxa"/>
            <w:gridSpan w:val="10"/>
            <w:shd w:val="clear" w:color="auto" w:fill="D9D9D9" w:themeFill="background1" w:themeFillShade="D9"/>
          </w:tcPr>
          <w:p w14:paraId="1CE3251C" w14:textId="4F2C0BFE" w:rsidR="00C0794B" w:rsidRPr="00705B56" w:rsidRDefault="008A5234" w:rsidP="00A70686">
            <w:pPr>
              <w:pStyle w:val="NormalWeb"/>
              <w:jc w:val="both"/>
              <w:rPr>
                <w:rFonts w:ascii="Arial" w:eastAsiaTheme="minorHAnsi" w:hAnsi="Arial" w:cs="Arial"/>
                <w:b/>
                <w:bCs/>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Me investime në përshtatje</w:t>
            </w:r>
          </w:p>
        </w:tc>
      </w:tr>
      <w:tr w:rsidR="008A5234" w:rsidRPr="00705B56" w14:paraId="296A38B5" w14:textId="77777777" w:rsidTr="00A70686">
        <w:tc>
          <w:tcPr>
            <w:tcW w:w="2487" w:type="dxa"/>
            <w:vAlign w:val="center"/>
          </w:tcPr>
          <w:p w14:paraId="715CA888" w14:textId="1B06C02A" w:rsidR="008A5234" w:rsidRPr="00705B56" w:rsidRDefault="008A5234" w:rsidP="008A5234">
            <w:pPr>
              <w:pStyle w:val="NormalWeb"/>
              <w:rPr>
                <w:rFonts w:ascii="Arial" w:eastAsiaTheme="minorHAnsi" w:hAnsi="Arial" w:cs="Arial"/>
                <w:b/>
                <w:bCs/>
                <w:kern w:val="2"/>
                <w:sz w:val="20"/>
                <w:szCs w:val="20"/>
                <w:lang w:val="sq-AL" w:eastAsia="en-US"/>
                <w14:ligatures w14:val="standardContextual"/>
              </w:rPr>
            </w:pPr>
            <w:r w:rsidRPr="00705B56">
              <w:rPr>
                <w:rFonts w:ascii="Arial" w:eastAsiaTheme="minorHAnsi" w:hAnsi="Arial" w:cs="Arial"/>
                <w:b/>
                <w:bCs/>
                <w:kern w:val="2"/>
                <w:sz w:val="20"/>
                <w:szCs w:val="20"/>
                <w:lang w:val="sq-AL" w:eastAsia="en-US"/>
                <w14:ligatures w14:val="standardContextual"/>
              </w:rPr>
              <w:t>Përmbytjet lumore</w:t>
            </w:r>
          </w:p>
        </w:tc>
        <w:tc>
          <w:tcPr>
            <w:tcW w:w="829" w:type="dxa"/>
            <w:vAlign w:val="center"/>
          </w:tcPr>
          <w:p w14:paraId="0ABA4BDE"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-1,2</w:t>
            </w:r>
          </w:p>
        </w:tc>
        <w:tc>
          <w:tcPr>
            <w:tcW w:w="829" w:type="dxa"/>
            <w:vAlign w:val="center"/>
          </w:tcPr>
          <w:p w14:paraId="27FD2AD6"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-2,9</w:t>
            </w:r>
          </w:p>
        </w:tc>
        <w:tc>
          <w:tcPr>
            <w:tcW w:w="829" w:type="dxa"/>
            <w:vAlign w:val="center"/>
          </w:tcPr>
          <w:p w14:paraId="36612D82"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-4,1</w:t>
            </w:r>
          </w:p>
        </w:tc>
        <w:tc>
          <w:tcPr>
            <w:tcW w:w="829" w:type="dxa"/>
            <w:vAlign w:val="center"/>
          </w:tcPr>
          <w:p w14:paraId="491B9EEE"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-0,8</w:t>
            </w:r>
          </w:p>
        </w:tc>
        <w:tc>
          <w:tcPr>
            <w:tcW w:w="829" w:type="dxa"/>
            <w:vAlign w:val="center"/>
          </w:tcPr>
          <w:p w14:paraId="43ACEDF9"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-2</w:t>
            </w:r>
          </w:p>
        </w:tc>
        <w:tc>
          <w:tcPr>
            <w:tcW w:w="829" w:type="dxa"/>
            <w:vAlign w:val="center"/>
          </w:tcPr>
          <w:p w14:paraId="5C32374E"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-2,8</w:t>
            </w:r>
          </w:p>
        </w:tc>
        <w:tc>
          <w:tcPr>
            <w:tcW w:w="829" w:type="dxa"/>
            <w:vAlign w:val="center"/>
          </w:tcPr>
          <w:p w14:paraId="0D80A0FA"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-0,7</w:t>
            </w:r>
          </w:p>
        </w:tc>
        <w:tc>
          <w:tcPr>
            <w:tcW w:w="829" w:type="dxa"/>
            <w:vAlign w:val="center"/>
          </w:tcPr>
          <w:p w14:paraId="1AAC510B"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-1,7</w:t>
            </w:r>
          </w:p>
        </w:tc>
        <w:tc>
          <w:tcPr>
            <w:tcW w:w="829" w:type="dxa"/>
            <w:vAlign w:val="center"/>
          </w:tcPr>
          <w:p w14:paraId="5FADCBA4"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-2,5</w:t>
            </w:r>
          </w:p>
        </w:tc>
      </w:tr>
      <w:tr w:rsidR="008A5234" w:rsidRPr="00705B56" w14:paraId="550C7DCB" w14:textId="77777777" w:rsidTr="00A70686">
        <w:tc>
          <w:tcPr>
            <w:tcW w:w="2487" w:type="dxa"/>
            <w:vAlign w:val="center"/>
          </w:tcPr>
          <w:p w14:paraId="6B0E4155" w14:textId="36152C60" w:rsidR="008A5234" w:rsidRPr="00705B56" w:rsidRDefault="008A5234" w:rsidP="008A5234">
            <w:pPr>
              <w:pStyle w:val="NormalWeb"/>
              <w:rPr>
                <w:rFonts w:ascii="Arial" w:eastAsiaTheme="minorHAnsi" w:hAnsi="Arial" w:cs="Arial"/>
                <w:b/>
                <w:bCs/>
                <w:kern w:val="2"/>
                <w:sz w:val="20"/>
                <w:szCs w:val="20"/>
                <w:lang w:val="sq-AL" w:eastAsia="en-US"/>
                <w14:ligatures w14:val="standardContextual"/>
              </w:rPr>
            </w:pPr>
            <w:r w:rsidRPr="00705B56">
              <w:rPr>
                <w:rFonts w:ascii="Arial" w:eastAsiaTheme="minorHAnsi" w:hAnsi="Arial" w:cs="Arial"/>
                <w:b/>
                <w:bCs/>
                <w:kern w:val="2"/>
                <w:sz w:val="20"/>
                <w:szCs w:val="20"/>
                <w:lang w:val="sq-AL" w:eastAsia="en-US"/>
                <w14:ligatures w14:val="standardContextual"/>
              </w:rPr>
              <w:t>Stresi nga nxehtësia</w:t>
            </w:r>
          </w:p>
        </w:tc>
        <w:tc>
          <w:tcPr>
            <w:tcW w:w="829" w:type="dxa"/>
            <w:vAlign w:val="center"/>
          </w:tcPr>
          <w:p w14:paraId="1CED41F5"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-0,1</w:t>
            </w:r>
          </w:p>
        </w:tc>
        <w:tc>
          <w:tcPr>
            <w:tcW w:w="829" w:type="dxa"/>
            <w:vAlign w:val="center"/>
          </w:tcPr>
          <w:p w14:paraId="55081305"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-0,1</w:t>
            </w:r>
          </w:p>
        </w:tc>
        <w:tc>
          <w:tcPr>
            <w:tcW w:w="829" w:type="dxa"/>
            <w:vAlign w:val="center"/>
          </w:tcPr>
          <w:p w14:paraId="31CE7771"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-0,2</w:t>
            </w:r>
          </w:p>
        </w:tc>
        <w:tc>
          <w:tcPr>
            <w:tcW w:w="829" w:type="dxa"/>
            <w:vAlign w:val="center"/>
          </w:tcPr>
          <w:p w14:paraId="58C8EE9C"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-0,1</w:t>
            </w:r>
          </w:p>
        </w:tc>
        <w:tc>
          <w:tcPr>
            <w:tcW w:w="829" w:type="dxa"/>
            <w:vAlign w:val="center"/>
          </w:tcPr>
          <w:p w14:paraId="2F76B83B"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-0,2</w:t>
            </w:r>
          </w:p>
        </w:tc>
        <w:tc>
          <w:tcPr>
            <w:tcW w:w="829" w:type="dxa"/>
            <w:vAlign w:val="center"/>
          </w:tcPr>
          <w:p w14:paraId="788675F0"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-0,3</w:t>
            </w:r>
          </w:p>
        </w:tc>
        <w:tc>
          <w:tcPr>
            <w:tcW w:w="829" w:type="dxa"/>
            <w:vAlign w:val="center"/>
          </w:tcPr>
          <w:p w14:paraId="59677577"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-0,1</w:t>
            </w:r>
          </w:p>
        </w:tc>
        <w:tc>
          <w:tcPr>
            <w:tcW w:w="829" w:type="dxa"/>
            <w:vAlign w:val="center"/>
          </w:tcPr>
          <w:p w14:paraId="71124B0A"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-0,2</w:t>
            </w:r>
          </w:p>
        </w:tc>
        <w:tc>
          <w:tcPr>
            <w:tcW w:w="829" w:type="dxa"/>
            <w:vAlign w:val="center"/>
          </w:tcPr>
          <w:p w14:paraId="65D5C5A7"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-0,6</w:t>
            </w:r>
          </w:p>
        </w:tc>
      </w:tr>
      <w:tr w:rsidR="008A5234" w:rsidRPr="00705B56" w14:paraId="1E3B473E" w14:textId="77777777" w:rsidTr="00A70686">
        <w:tc>
          <w:tcPr>
            <w:tcW w:w="2487" w:type="dxa"/>
            <w:vAlign w:val="center"/>
          </w:tcPr>
          <w:p w14:paraId="5B42C4B0" w14:textId="6AE857F6" w:rsidR="008A5234" w:rsidRPr="00705B56" w:rsidRDefault="008A5234" w:rsidP="008A5234">
            <w:pPr>
              <w:pStyle w:val="NormalWeb"/>
              <w:rPr>
                <w:rFonts w:ascii="Arial" w:eastAsiaTheme="minorHAnsi" w:hAnsi="Arial" w:cs="Arial"/>
                <w:b/>
                <w:bCs/>
                <w:kern w:val="2"/>
                <w:sz w:val="20"/>
                <w:szCs w:val="20"/>
                <w:lang w:val="sq-AL" w:eastAsia="en-US"/>
                <w14:ligatures w14:val="standardContextual"/>
              </w:rPr>
            </w:pPr>
            <w:r w:rsidRPr="00705B56">
              <w:rPr>
                <w:rFonts w:ascii="Arial" w:eastAsiaTheme="minorHAnsi" w:hAnsi="Arial" w:cs="Arial"/>
                <w:b/>
                <w:bCs/>
                <w:kern w:val="2"/>
                <w:sz w:val="20"/>
                <w:szCs w:val="20"/>
                <w:lang w:val="sq-AL" w:eastAsia="en-US"/>
                <w14:ligatures w14:val="standardContextual"/>
              </w:rPr>
              <w:t>Thatësirat</w:t>
            </w:r>
          </w:p>
        </w:tc>
        <w:tc>
          <w:tcPr>
            <w:tcW w:w="829" w:type="dxa"/>
            <w:vAlign w:val="center"/>
          </w:tcPr>
          <w:p w14:paraId="2B807C04"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w:t>
            </w:r>
          </w:p>
        </w:tc>
        <w:tc>
          <w:tcPr>
            <w:tcW w:w="829" w:type="dxa"/>
            <w:vAlign w:val="center"/>
          </w:tcPr>
          <w:p w14:paraId="7B226464"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w:t>
            </w:r>
          </w:p>
        </w:tc>
        <w:tc>
          <w:tcPr>
            <w:tcW w:w="829" w:type="dxa"/>
            <w:vAlign w:val="center"/>
          </w:tcPr>
          <w:p w14:paraId="71724058"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w:t>
            </w:r>
          </w:p>
        </w:tc>
        <w:tc>
          <w:tcPr>
            <w:tcW w:w="829" w:type="dxa"/>
            <w:vAlign w:val="center"/>
          </w:tcPr>
          <w:p w14:paraId="471B5F16"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w:t>
            </w:r>
          </w:p>
        </w:tc>
        <w:tc>
          <w:tcPr>
            <w:tcW w:w="829" w:type="dxa"/>
            <w:vAlign w:val="center"/>
          </w:tcPr>
          <w:p w14:paraId="001BB739"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w:t>
            </w:r>
          </w:p>
        </w:tc>
        <w:tc>
          <w:tcPr>
            <w:tcW w:w="829" w:type="dxa"/>
            <w:vAlign w:val="center"/>
          </w:tcPr>
          <w:p w14:paraId="4250AC38"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w:t>
            </w:r>
          </w:p>
        </w:tc>
        <w:tc>
          <w:tcPr>
            <w:tcW w:w="829" w:type="dxa"/>
            <w:vAlign w:val="center"/>
          </w:tcPr>
          <w:p w14:paraId="2BEBC81F"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w:t>
            </w:r>
          </w:p>
        </w:tc>
        <w:tc>
          <w:tcPr>
            <w:tcW w:w="829" w:type="dxa"/>
            <w:vAlign w:val="center"/>
          </w:tcPr>
          <w:p w14:paraId="0F692515"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w:t>
            </w:r>
          </w:p>
        </w:tc>
        <w:tc>
          <w:tcPr>
            <w:tcW w:w="829" w:type="dxa"/>
            <w:vAlign w:val="center"/>
          </w:tcPr>
          <w:p w14:paraId="4FC0459C"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w:t>
            </w:r>
          </w:p>
        </w:tc>
      </w:tr>
      <w:tr w:rsidR="008A5234" w:rsidRPr="00705B56" w14:paraId="15AFEB34" w14:textId="77777777" w:rsidTr="00A70686">
        <w:tc>
          <w:tcPr>
            <w:tcW w:w="2487" w:type="dxa"/>
            <w:vAlign w:val="center"/>
          </w:tcPr>
          <w:p w14:paraId="6328D9A2" w14:textId="41C9EC69" w:rsidR="008A5234" w:rsidRPr="00705B56" w:rsidRDefault="008A5234" w:rsidP="008A5234">
            <w:pPr>
              <w:pStyle w:val="NormalWeb"/>
              <w:rPr>
                <w:rFonts w:ascii="Arial" w:eastAsiaTheme="minorHAnsi" w:hAnsi="Arial" w:cs="Arial"/>
                <w:b/>
                <w:bCs/>
                <w:kern w:val="2"/>
                <w:sz w:val="20"/>
                <w:szCs w:val="20"/>
                <w:lang w:val="sq-AL" w:eastAsia="en-US"/>
                <w14:ligatures w14:val="standardContextual"/>
              </w:rPr>
            </w:pPr>
            <w:r w:rsidRPr="00705B56">
              <w:rPr>
                <w:rFonts w:ascii="Arial" w:eastAsiaTheme="minorHAnsi" w:hAnsi="Arial" w:cs="Arial"/>
                <w:b/>
                <w:bCs/>
                <w:kern w:val="2"/>
                <w:sz w:val="20"/>
                <w:szCs w:val="20"/>
                <w:lang w:val="sq-AL" w:eastAsia="en-US"/>
                <w14:ligatures w14:val="standardContextual"/>
              </w:rPr>
              <w:t>Të kombinuara</w:t>
            </w:r>
          </w:p>
        </w:tc>
        <w:tc>
          <w:tcPr>
            <w:tcW w:w="829" w:type="dxa"/>
            <w:vAlign w:val="center"/>
          </w:tcPr>
          <w:p w14:paraId="3131F9F6"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-1,2</w:t>
            </w:r>
          </w:p>
        </w:tc>
        <w:tc>
          <w:tcPr>
            <w:tcW w:w="829" w:type="dxa"/>
            <w:vAlign w:val="center"/>
          </w:tcPr>
          <w:p w14:paraId="654F3199"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-2,9</w:t>
            </w:r>
          </w:p>
        </w:tc>
        <w:tc>
          <w:tcPr>
            <w:tcW w:w="829" w:type="dxa"/>
            <w:vAlign w:val="center"/>
          </w:tcPr>
          <w:p w14:paraId="2A2EB59E"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-4,1</w:t>
            </w:r>
          </w:p>
        </w:tc>
        <w:tc>
          <w:tcPr>
            <w:tcW w:w="829" w:type="dxa"/>
            <w:vAlign w:val="center"/>
          </w:tcPr>
          <w:p w14:paraId="5CFA2B9D"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-0,9</w:t>
            </w:r>
          </w:p>
        </w:tc>
        <w:tc>
          <w:tcPr>
            <w:tcW w:w="829" w:type="dxa"/>
            <w:vAlign w:val="center"/>
          </w:tcPr>
          <w:p w14:paraId="04680F3D"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-2,2</w:t>
            </w:r>
          </w:p>
        </w:tc>
        <w:tc>
          <w:tcPr>
            <w:tcW w:w="829" w:type="dxa"/>
            <w:vAlign w:val="center"/>
          </w:tcPr>
          <w:p w14:paraId="271D4B89"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-3,2</w:t>
            </w:r>
          </w:p>
        </w:tc>
        <w:tc>
          <w:tcPr>
            <w:tcW w:w="829" w:type="dxa"/>
            <w:vAlign w:val="center"/>
          </w:tcPr>
          <w:p w14:paraId="29E79F56"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-0,8</w:t>
            </w:r>
          </w:p>
        </w:tc>
        <w:tc>
          <w:tcPr>
            <w:tcW w:w="829" w:type="dxa"/>
            <w:vAlign w:val="center"/>
          </w:tcPr>
          <w:p w14:paraId="35D8748B"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-2</w:t>
            </w:r>
          </w:p>
        </w:tc>
        <w:tc>
          <w:tcPr>
            <w:tcW w:w="829" w:type="dxa"/>
            <w:vAlign w:val="center"/>
          </w:tcPr>
          <w:p w14:paraId="4BFBCB37" w14:textId="77777777" w:rsidR="008A5234" w:rsidRPr="00705B56" w:rsidRDefault="008A5234" w:rsidP="008A5234">
            <w:pPr>
              <w:pStyle w:val="NormalWeb"/>
              <w:jc w:val="center"/>
              <w:rPr>
                <w:rFonts w:ascii="Arial" w:eastAsiaTheme="minorHAnsi" w:hAnsi="Arial" w:cs="Arial"/>
                <w:kern w:val="2"/>
                <w:sz w:val="20"/>
                <w:szCs w:val="20"/>
                <w:lang w:val="sq-AL" w:eastAsia="en-US"/>
                <w14:ligatures w14:val="standardContextual"/>
              </w:rPr>
            </w:pPr>
            <w:r w:rsidRPr="00705B56">
              <w:rPr>
                <w:rFonts w:ascii="Arial" w:eastAsiaTheme="minorHAnsi" w:hAnsi="Arial" w:cs="Arial"/>
                <w:kern w:val="2"/>
                <w:sz w:val="20"/>
                <w:szCs w:val="20"/>
                <w:lang w:val="sq-AL" w:eastAsia="en-US"/>
                <w14:ligatures w14:val="standardContextual"/>
              </w:rPr>
              <w:t>-3</w:t>
            </w:r>
          </w:p>
        </w:tc>
      </w:tr>
    </w:tbl>
    <w:p w14:paraId="1DF5F94B" w14:textId="71D9C273" w:rsidR="008A5234" w:rsidRPr="00705B56" w:rsidRDefault="008A5234" w:rsidP="008A5234">
      <w:pPr>
        <w:pStyle w:val="NormalWeb"/>
        <w:jc w:val="both"/>
        <w:rPr>
          <w:rFonts w:ascii="Arial" w:eastAsiaTheme="minorHAnsi" w:hAnsi="Arial" w:cs="Arial"/>
          <w:kern w:val="2"/>
          <w:sz w:val="22"/>
          <w:szCs w:val="22"/>
          <w:lang w:val="sq-AL" w:eastAsia="en-US"/>
          <w14:ligatures w14:val="standardContextual"/>
        </w:rPr>
      </w:pPr>
      <w:r w:rsidRPr="00705B56">
        <w:rPr>
          <w:rFonts w:ascii="Arial" w:eastAsiaTheme="minorHAnsi" w:hAnsi="Arial" w:cs="Arial"/>
          <w:kern w:val="2"/>
          <w:sz w:val="22"/>
          <w:szCs w:val="22"/>
          <w:lang w:val="sq-AL" w:eastAsia="en-US"/>
          <w14:ligatures w14:val="standardContextual"/>
        </w:rPr>
        <w:lastRenderedPageBreak/>
        <w:t>Sipas një skenari të rritjes së trendit dhe bazuar në një ushtrim modelimi të pjesshëm të kufizuar në kanale të zgjedhura ndikimi - konkretisht përmbytjet lumore, thatësirat (që prekin grurin dhe misrin) dhe stresi i nxehtësisë në punë - rezultatet e simulimit sugjerojnë se fatkeqësitë natyrore mund të çojnë në një ulje të prodhimit deri në 5.1 përqind deri në vitin 2050, varësisht nga skenari i ndryshimeve klimatike. Më saktësisht, humbjet e prodhimit parashikohen të arrijnë 5.1 përqind sipas RCP 2.6, 4.2 përqind sipas RCP 4.5 dhe 4.0 përqind sipas RCP 8.5.</w:t>
      </w:r>
    </w:p>
    <w:p w14:paraId="29EFDC0E" w14:textId="77777777" w:rsidR="008A5234" w:rsidRPr="00705B56" w:rsidRDefault="008A5234" w:rsidP="008A5234">
      <w:pPr>
        <w:pStyle w:val="NormalWeb"/>
        <w:jc w:val="both"/>
        <w:rPr>
          <w:rFonts w:ascii="Arial" w:eastAsiaTheme="minorHAnsi" w:hAnsi="Arial" w:cs="Arial"/>
          <w:kern w:val="2"/>
          <w:sz w:val="22"/>
          <w:szCs w:val="22"/>
          <w:lang w:val="sq-AL" w:eastAsia="en-US"/>
          <w14:ligatures w14:val="standardContextual"/>
        </w:rPr>
      </w:pPr>
      <w:r w:rsidRPr="00705B56">
        <w:rPr>
          <w:rFonts w:ascii="Arial" w:eastAsiaTheme="minorHAnsi" w:hAnsi="Arial" w:cs="Arial"/>
          <w:kern w:val="2"/>
          <w:sz w:val="22"/>
          <w:szCs w:val="22"/>
          <w:lang w:val="sq-AL" w:eastAsia="en-US"/>
          <w14:ligatures w14:val="standardContextual"/>
        </w:rPr>
        <w:t>Si në skenarin e rritjes së trendit ashtu edhe në atë optimist, përmbytjet lumore përfaqësojnë burimin më të rëndësishëm të dëmit ekonomik në Kosovë. Është interesante se humbjet më të mëdha parashikohen sipas skenarit më të ulët të ndryshimeve klimatike, RCP 2.6, për shkak të supozimit të modelit për nivele më të larta të përmbytjeve, pavarësisht kufizimeve të tij në kapjen e ngjarjeve ekstreme si përmbytjet e menjëhershme. Deri në vitin 2050, përmbytjet lumore mund ta ulin PBB-në me 4.6 përqind sipas RCP 2.6, 3.4 përqind sipas RCP 4.5 dhe 3.1 përqind sipas RCP 8.5.</w:t>
      </w:r>
    </w:p>
    <w:p w14:paraId="6BEEB25C" w14:textId="77777777" w:rsidR="008A5234" w:rsidRPr="00705B56" w:rsidRDefault="008A5234" w:rsidP="008A5234">
      <w:pPr>
        <w:pStyle w:val="NormalWeb"/>
        <w:jc w:val="both"/>
        <w:rPr>
          <w:rFonts w:ascii="Arial" w:eastAsiaTheme="minorHAnsi" w:hAnsi="Arial" w:cs="Arial"/>
          <w:kern w:val="2"/>
          <w:sz w:val="22"/>
          <w:szCs w:val="22"/>
          <w:lang w:val="sq-AL" w:eastAsia="en-US"/>
          <w14:ligatures w14:val="standardContextual"/>
        </w:rPr>
      </w:pPr>
      <w:r w:rsidRPr="00705B56">
        <w:rPr>
          <w:rFonts w:ascii="Arial" w:eastAsiaTheme="minorHAnsi" w:hAnsi="Arial" w:cs="Arial"/>
          <w:kern w:val="2"/>
          <w:sz w:val="22"/>
          <w:szCs w:val="22"/>
          <w:lang w:val="sq-AL" w:eastAsia="en-US"/>
          <w14:ligatures w14:val="standardContextual"/>
        </w:rPr>
        <w:t>Rreziqe të tjera që lidhen me klimën, duke përfshirë stresin nga nxehtësia dhe thatësirat, pritet gjithashtu të ndikojnë në ekonomi, megjithëse në një shkallë më të vogël. Stresi nga nxehtësia ndikon në produktivitet, me humbjet që rriten në skenarë më të ashpër klimatikë. Sipas RCP 8.5, PBB-ja mund të jetë 0.8 përqind më e ulët deri në vitin 2050. Thatësirat, të vlerësuara përmes efekteve në rendimentet e të korrave, vlerësohet se shkaktojnë një humbje të qëndrueshme të PBB-së prej 0.3 përqind në të gjitha skenarët, pjesërisht për shkak të rolit të kufizuar të bujqësisë në ekonominë e Kosovës dhe fushëveprimit të ngushtë sektorial të modelit.</w:t>
      </w:r>
    </w:p>
    <w:p w14:paraId="69FC5FBB" w14:textId="75F239DA" w:rsidR="00943DD4" w:rsidRPr="00705B56" w:rsidRDefault="007A6AE2" w:rsidP="00C0794B">
      <w:pPr>
        <w:pStyle w:val="NormalWeb"/>
        <w:jc w:val="both"/>
        <w:rPr>
          <w:rFonts w:ascii="Arial" w:eastAsiaTheme="minorHAnsi" w:hAnsi="Arial" w:cs="Arial"/>
          <w:kern w:val="2"/>
          <w:sz w:val="22"/>
          <w:szCs w:val="22"/>
          <w:lang w:val="sq-AL" w:eastAsia="en-US"/>
          <w14:ligatures w14:val="standardContextual"/>
        </w:rPr>
      </w:pPr>
      <w:r w:rsidRPr="00705B56">
        <w:rPr>
          <w:rFonts w:ascii="Arial" w:hAnsi="Arial" w:cs="Arial"/>
          <w:noProof/>
          <w:lang w:eastAsia="en-US"/>
        </w:rPr>
        <w:lastRenderedPageBreak/>
        <mc:AlternateContent>
          <mc:Choice Requires="wps">
            <w:drawing>
              <wp:anchor distT="0" distB="0" distL="114300" distR="114300" simplePos="0" relativeHeight="251805696" behindDoc="0" locked="0" layoutInCell="1" allowOverlap="1" wp14:anchorId="68A25B00" wp14:editId="594A7382">
                <wp:simplePos x="0" y="0"/>
                <wp:positionH relativeFrom="column">
                  <wp:posOffset>335915</wp:posOffset>
                </wp:positionH>
                <wp:positionV relativeFrom="paragraph">
                  <wp:posOffset>6759575</wp:posOffset>
                </wp:positionV>
                <wp:extent cx="5805170" cy="464820"/>
                <wp:effectExtent l="0" t="0" r="5080" b="0"/>
                <wp:wrapTopAndBottom/>
                <wp:docPr id="1024569866" name="Text Box 1"/>
                <wp:cNvGraphicFramePr/>
                <a:graphic xmlns:a="http://schemas.openxmlformats.org/drawingml/2006/main">
                  <a:graphicData uri="http://schemas.microsoft.com/office/word/2010/wordprocessingShape">
                    <wps:wsp>
                      <wps:cNvSpPr txBox="1"/>
                      <wps:spPr>
                        <a:xfrm>
                          <a:off x="0" y="0"/>
                          <a:ext cx="5805170" cy="464820"/>
                        </a:xfrm>
                        <a:prstGeom prst="rect">
                          <a:avLst/>
                        </a:prstGeom>
                        <a:solidFill>
                          <a:prstClr val="white"/>
                        </a:solidFill>
                        <a:ln>
                          <a:noFill/>
                        </a:ln>
                      </wps:spPr>
                      <wps:txbx>
                        <w:txbxContent>
                          <w:p w14:paraId="355AD18D" w14:textId="3787939D" w:rsidR="007A6AE2" w:rsidRPr="00A40FCE" w:rsidRDefault="007A6AE2" w:rsidP="007A6AE2">
                            <w:pPr>
                              <w:pStyle w:val="Caption"/>
                              <w:rPr>
                                <w:rFonts w:ascii="Arial" w:hAnsi="Arial" w:cs="Arial"/>
                              </w:rPr>
                            </w:pPr>
                            <w:bookmarkStart w:id="64" w:name="_Toc211532626"/>
                            <w:r w:rsidRPr="00A40FCE">
                              <w:rPr>
                                <w:rFonts w:ascii="Arial" w:hAnsi="Arial" w:cs="Arial"/>
                              </w:rPr>
                              <w:t xml:space="preserve">Figura </w:t>
                            </w:r>
                            <w:r w:rsidRPr="00A40FCE">
                              <w:rPr>
                                <w:rFonts w:ascii="Arial" w:hAnsi="Arial" w:cs="Arial"/>
                              </w:rPr>
                              <w:fldChar w:fldCharType="begin"/>
                            </w:r>
                            <w:r w:rsidRPr="00A40FCE">
                              <w:rPr>
                                <w:rFonts w:ascii="Arial" w:hAnsi="Arial" w:cs="Arial"/>
                              </w:rPr>
                              <w:instrText xml:space="preserve"> SEQ Figura \* ARABIC </w:instrText>
                            </w:r>
                            <w:r w:rsidRPr="00A40FCE">
                              <w:rPr>
                                <w:rFonts w:ascii="Arial" w:hAnsi="Arial" w:cs="Arial"/>
                              </w:rPr>
                              <w:fldChar w:fldCharType="separate"/>
                            </w:r>
                            <w:r w:rsidR="0005579F" w:rsidRPr="00A40FCE">
                              <w:rPr>
                                <w:rFonts w:ascii="Arial" w:hAnsi="Arial" w:cs="Arial"/>
                                <w:noProof/>
                              </w:rPr>
                              <w:t>25</w:t>
                            </w:r>
                            <w:r w:rsidRPr="00A40FCE">
                              <w:rPr>
                                <w:rFonts w:ascii="Arial" w:hAnsi="Arial" w:cs="Arial"/>
                              </w:rPr>
                              <w:fldChar w:fldCharType="end"/>
                            </w:r>
                            <w:r w:rsidRPr="00A40FCE">
                              <w:rPr>
                                <w:rFonts w:ascii="Arial" w:hAnsi="Arial" w:cs="Arial"/>
                              </w:rPr>
                              <w:t>. Ndikimet e kombinuara ekonomike sipas skenarëve të rritjes trendore dhe optimiste sipas RCP 2.6, RCP 4.5 dhe RCP 8.5., pa investime në përshtatje (paneli i sipërm) dhe me investime në përshtatje (paneli i poshtëm). Burimi: Vlerësimet e Bankës Botërore me të dhëna nga JBA, IIASA dhe CIMA</w:t>
                            </w:r>
                            <w:bookmarkEnd w:id="64"/>
                          </w:p>
                          <w:p w14:paraId="14B92AF3" w14:textId="77777777" w:rsidR="007A6AE2" w:rsidRPr="004C6E93" w:rsidRDefault="007A6AE2" w:rsidP="004C6E93">
                            <w:pPr>
                              <w:rPr>
                                <w:lang w:val="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A25B00" id="_x0000_s1045" type="#_x0000_t202" style="position:absolute;left:0;text-align:left;margin-left:26.45pt;margin-top:532.25pt;width:457.1pt;height:36.6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" stroked="f">
                <v:textbox inset="0,0,0,0">
                  <w:txbxContent>
                    <w:p w14:paraId="355AD18D" w14:textId="3787939D" w:rsidR="007A6AE2" w:rsidRPr="00A40FCE" w:rsidRDefault="007A6AE2" w:rsidP="007A6AE2">
                      <w:pPr>
                        <w:pStyle w:val="Caption"/>
                        <w:rPr>
                          <w:rFonts w:ascii="Arial" w:hAnsi="Arial" w:cs="Arial"/>
                        </w:rPr>
                      </w:pPr>
                      <w:bookmarkStart w:id="79" w:name="_Toc211532626"/>
                      <w:r w:rsidRPr="00A40FCE">
                        <w:rPr>
                          <w:rFonts w:ascii="Arial" w:hAnsi="Arial" w:cs="Arial"/>
                        </w:rPr>
                        <w:t xml:space="preserve">Figura </w:t>
                      </w:r>
                      <w:r w:rsidRPr="00A40FCE">
                        <w:rPr>
                          <w:rFonts w:ascii="Arial" w:hAnsi="Arial" w:cs="Arial"/>
                        </w:rPr>
                        <w:fldChar w:fldCharType="begin"/>
                      </w:r>
                      <w:r w:rsidRPr="00A40FCE">
                        <w:rPr>
                          <w:rFonts w:ascii="Arial" w:hAnsi="Arial" w:cs="Arial"/>
                        </w:rPr>
                        <w:instrText xml:space="preserve"> SEQ Figura \* ARABIC </w:instrText>
                      </w:r>
                      <w:r w:rsidRPr="00A40FCE">
                        <w:rPr>
                          <w:rFonts w:ascii="Arial" w:hAnsi="Arial" w:cs="Arial"/>
                        </w:rPr>
                        <w:fldChar w:fldCharType="separate"/>
                      </w:r>
                      <w:r w:rsidR="0005579F" w:rsidRPr="00A40FCE">
                        <w:rPr>
                          <w:rFonts w:ascii="Arial" w:hAnsi="Arial" w:cs="Arial"/>
                          <w:noProof/>
                        </w:rPr>
                        <w:t>25</w:t>
                      </w:r>
                      <w:r w:rsidRPr="00A40FCE">
                        <w:rPr>
                          <w:rFonts w:ascii="Arial" w:hAnsi="Arial" w:cs="Arial"/>
                        </w:rPr>
                        <w:fldChar w:fldCharType="end"/>
                      </w:r>
                      <w:r w:rsidRPr="00A40FCE">
                        <w:rPr>
                          <w:rFonts w:ascii="Arial" w:hAnsi="Arial" w:cs="Arial"/>
                        </w:rPr>
                        <w:t xml:space="preserve">. </w:t>
                      </w:r>
                      <w:r w:rsidRPr="00A40FCE">
                        <w:rPr>
                          <w:rFonts w:ascii="Arial" w:hAnsi="Arial" w:cs="Arial"/>
                        </w:rPr>
                        <w:t>Ndikimet e kombinuara ekonomike sipas skenarëve të rritjes trendore dhe optimiste sipas RCP 2.6, RCP 4.5 dhe RCP 8.5., pa investime në përshtatje (paneli i sipërm) dhe me investime në përshtatje (paneli i poshtëm). Burimi: Vlerësimet e Bankës Botërore me të dhëna nga JBA, IIASA dhe CIMA</w:t>
                      </w:r>
                      <w:bookmarkEnd w:id="79"/>
                    </w:p>
                    <w:p w14:paraId="14B92AF3" w14:textId="77777777" w:rsidR="007A6AE2" w:rsidRPr="004C6E93" w:rsidRDefault="007A6AE2" w:rsidP="004C6E93">
                      <w:pPr>
                        <w:rPr>
                          <w:lang w:val="es-ES"/>
                        </w:rPr>
                      </w:pPr>
                    </w:p>
                  </w:txbxContent>
                </v:textbox>
                <w10:wrap type="topAndBottom"/>
              </v:shape>
            </w:pict>
          </mc:Fallback>
        </mc:AlternateContent>
      </w:r>
      <w:r w:rsidR="008A5234" w:rsidRPr="00705B56">
        <w:rPr>
          <w:rFonts w:ascii="Arial" w:eastAsiaTheme="minorHAnsi" w:hAnsi="Arial" w:cs="Arial"/>
          <w:noProof/>
          <w:kern w:val="2"/>
          <w:sz w:val="22"/>
          <w:szCs w:val="22"/>
          <w:lang w:eastAsia="en-US"/>
          <w14:ligatures w14:val="standardContextual"/>
        </w:rPr>
        <w:drawing>
          <wp:anchor distT="0" distB="0" distL="114300" distR="114300" simplePos="0" relativeHeight="251759616" behindDoc="0" locked="0" layoutInCell="1" allowOverlap="1" wp14:anchorId="0F4C2078" wp14:editId="7B6FE291">
            <wp:simplePos x="0" y="0"/>
            <wp:positionH relativeFrom="margin">
              <wp:posOffset>335280</wp:posOffset>
            </wp:positionH>
            <wp:positionV relativeFrom="paragraph">
              <wp:posOffset>926465</wp:posOffset>
            </wp:positionV>
            <wp:extent cx="5805170" cy="5775960"/>
            <wp:effectExtent l="0" t="0" r="5080" b="0"/>
            <wp:wrapTopAndBottom/>
            <wp:docPr id="116342249" name="Imagen 1" descr="Gráfico, Gráfico de cajas y bigot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2249" name="Imagen 1" descr="Gráfico, Gráfico de cajas y bigotes&#10;&#10;El contenido generado por IA puede ser incorrecto."/>
                    <pic:cNvPicPr/>
                  </pic:nvPicPr>
                  <pic:blipFill>
                    <a:blip r:embed="rId46">
                      <a:extLst>
                        <a:ext uri="{28A0092B-C50C-407E-A947-70E740481C1C}">
                          <a14:useLocalDpi xmlns:a14="http://schemas.microsoft.com/office/drawing/2010/main" val="0"/>
                        </a:ext>
                      </a:extLst>
                    </a:blip>
                    <a:stretch>
                      <a:fillRect/>
                    </a:stretch>
                  </pic:blipFill>
                  <pic:spPr>
                    <a:xfrm>
                      <a:off x="0" y="0"/>
                      <a:ext cx="5805170" cy="5775960"/>
                    </a:xfrm>
                    <a:prstGeom prst="rect">
                      <a:avLst/>
                    </a:prstGeom>
                  </pic:spPr>
                </pic:pic>
              </a:graphicData>
            </a:graphic>
            <wp14:sizeRelH relativeFrom="page">
              <wp14:pctWidth>0</wp14:pctWidth>
            </wp14:sizeRelH>
            <wp14:sizeRelV relativeFrom="page">
              <wp14:pctHeight>0</wp14:pctHeight>
            </wp14:sizeRelV>
          </wp:anchor>
        </w:drawing>
      </w:r>
      <w:r w:rsidR="008A5234" w:rsidRPr="00705B56">
        <w:rPr>
          <w:rFonts w:ascii="Arial" w:eastAsiaTheme="minorHAnsi" w:hAnsi="Arial" w:cs="Arial"/>
          <w:kern w:val="2"/>
          <w:sz w:val="22"/>
          <w:szCs w:val="22"/>
          <w:lang w:val="sq-AL" w:eastAsia="en-US"/>
          <w14:ligatures w14:val="standardContextual"/>
        </w:rPr>
        <w:t>Rreziku sizmik gjithashtu përbën një kërcënim, me tërmetet që parashikohet të ulin PBB-në deri në 1.8 përqind deri në vitin 2050. Investimet në përshtatje ofrojnë një mjet për të zbutur këto humbje. Për shembull, shpenzimi mesatarisht prej 1.4 përqind të PBB-së çdo vit për përshtatje nga viti 2022 deri në vitin 2050 mund të ulë humbjet e PBB-së që lidhen me klimën sipas RCP 8.5 nga 4.0 në 3.0 përqind. Investime të ngjashme në përgatitjen për tërmete mund të ulin humbjet përkatëse nga 1.8 në 0.5 përqind.</w:t>
      </w:r>
    </w:p>
    <w:p w14:paraId="4B0DDB0B" w14:textId="77777777" w:rsidR="008A5234" w:rsidRPr="00705B56" w:rsidRDefault="008A5234" w:rsidP="00C0794B">
      <w:pPr>
        <w:pStyle w:val="NormalWeb"/>
        <w:jc w:val="both"/>
        <w:rPr>
          <w:rFonts w:ascii="Arial" w:eastAsiaTheme="minorHAnsi" w:hAnsi="Arial" w:cs="Arial"/>
          <w:kern w:val="2"/>
          <w:sz w:val="22"/>
          <w:szCs w:val="22"/>
          <w:lang w:val="sq-AL" w:eastAsia="en-US"/>
          <w14:ligatures w14:val="standardContextual"/>
        </w:rPr>
      </w:pPr>
      <w:r w:rsidRPr="00705B56">
        <w:rPr>
          <w:rFonts w:ascii="Arial" w:eastAsiaTheme="minorHAnsi" w:hAnsi="Arial" w:cs="Arial"/>
          <w:kern w:val="2"/>
          <w:sz w:val="22"/>
          <w:szCs w:val="22"/>
          <w:lang w:val="sq-AL" w:eastAsia="en-US"/>
          <w14:ligatures w14:val="standardContextual"/>
        </w:rPr>
        <w:t xml:space="preserve">Investimet në përshtatje mund të zvogëlojnë humbjet në prodhim, me përfitimet që rriten me kalimin e kohës. Rezultatet e modelimit sugjerojnë se një rritje e investimeve në përshtatje për të adresuar ndikimet e përmbytjeve, thatësirës dhe nxehtësisë në lumenj me një vlerë mesatare prej 1.4 përqind të PBB-së në vit midis viteve 2022 dhe 2050 sipas RCP 8.5 do të rezultonte në humbje të PBB-së deri në vitin 2050 prej 3.0 përqind sipas skenarit të trendit, kundrejt një humbjeje prej 4.0 përqind në vitin 2050 pa investime në përshtatje; ushtrimi kap vetëm një vlerësim të kufirit të poshtëm të investimeve në përshtatje për kanalet e zgjedhura, ky vlerësim dominohet nga investime të thjeshta të lehta për t'u projektuar dhe që mund të rafinohen, duke dhënë kosto më të ulëta dhe përfitime më të larta. Siç tregohet në figurën e mëparshme, përfitimet e Kosovës nga investimi në përshtatje pritet të rriten me kalimin e kohës dhe të rriten në skenarë më të rëndë të ndryshimeve klimatike. Investimet në përshtatje ndaj tërmeteve do të çonin në një tkurrje të prodhimit prej 0.5 përqind sipas skenarit të trendit krahasuar me 1.8 përqind pa përshtatje dhe 0.4 përqind sipas skenarit optimist krahasuar me 1.6 përqind pa përshtatje. </w:t>
      </w:r>
    </w:p>
    <w:p w14:paraId="08C875C7" w14:textId="5557E9FC" w:rsidR="004779A2" w:rsidRPr="00705B56" w:rsidRDefault="008A5234" w:rsidP="00C0794B">
      <w:pPr>
        <w:pStyle w:val="NormalWeb"/>
        <w:jc w:val="both"/>
        <w:rPr>
          <w:rFonts w:ascii="Arial" w:eastAsiaTheme="minorHAnsi" w:hAnsi="Arial" w:cs="Arial"/>
          <w:kern w:val="2"/>
          <w:sz w:val="22"/>
          <w:szCs w:val="22"/>
          <w:lang w:val="sq-AL" w:eastAsia="en-US"/>
          <w14:ligatures w14:val="standardContextual"/>
        </w:rPr>
      </w:pPr>
      <w:r w:rsidRPr="00705B56">
        <w:rPr>
          <w:rFonts w:ascii="Arial" w:eastAsiaTheme="minorHAnsi" w:hAnsi="Arial" w:cs="Arial"/>
          <w:kern w:val="2"/>
          <w:sz w:val="22"/>
          <w:szCs w:val="22"/>
          <w:lang w:val="sq-AL" w:eastAsia="en-US"/>
          <w14:ligatures w14:val="standardContextual"/>
        </w:rPr>
        <w:lastRenderedPageBreak/>
        <w:t>Një rritje në investimet për përshtatje pritet të ndikojë në llogaritë fiskale të Kosovës. Deri në vitin 2050, sipas skenarit të trendit, paketa e investimeve të lidhura me ndërhyrjet për përshtatje pritet të çojë në një deficit fiskal më të gjerë në të gjitha RCP-të - sipas një skenari ilustrues (nuk rekomandohet) në të cilin sektori publik ndërmerr të gjitha investimet për përshtatje të modeluara. Në vitin 2050, deficiti buxhetor në përqindje të PBB-së pritet të përkeqësohet me 3.6 pikë përqindjeje të PBB-së sipas RCP 2.6, dhe 3.2 pikë përqindjeje sipas RCP 4.5 dhe RCP 8.5. Nivelet e borxhit publik pritet të rriten ndjeshëm, me rreth 50 pikë përqindjeje të PBB-së në të tre RCP-të, me ndikimin më të lartë sipas RCP 2.6, i cili shoqërohet me kosto më të larta të dëmeve nga përmbytjet. Sipas skenarit optimist të rritjes, ndikimi fiskal i këtyre investimeve është më i moderuar. Pritet që me kalimin e kohës këto investime do të ndihmojnë në uljen e humbjeve ekonomike të lidhura me ndikimin e ndryshimeve klimatike.</w:t>
      </w:r>
      <w:r w:rsidR="00264DCD" w:rsidRPr="00705B56">
        <w:rPr>
          <w:rFonts w:ascii="Arial" w:eastAsiaTheme="minorHAnsi" w:hAnsi="Arial" w:cs="Arial"/>
          <w:kern w:val="2"/>
          <w:sz w:val="22"/>
          <w:szCs w:val="22"/>
          <w:lang w:val="sq-AL" w:eastAsia="en-US"/>
          <w14:ligatures w14:val="standardContextual"/>
        </w:rPr>
        <w:t xml:space="preserve"> </w:t>
      </w:r>
      <w:r w:rsidR="00D820CF" w:rsidRPr="00705B56">
        <w:rPr>
          <w:rFonts w:ascii="Arial" w:eastAsiaTheme="minorHAnsi" w:hAnsi="Arial" w:cs="Arial"/>
          <w:kern w:val="2"/>
          <w:sz w:val="22"/>
          <w:szCs w:val="22"/>
          <w:lang w:val="sq-AL" w:eastAsia="en-US"/>
          <w14:ligatures w14:val="standardContextual"/>
        </w:rPr>
        <w:t>Këto projeksione makroekonomike nxjerrin në pah pasojat potencialisht të rënda ekonomike afatgjata të ndryshimeve klimatike për Kosovën dhe nënvizojnë përfitimet e konsiderueshme të investimeve të hershme në përshtatje. Edhe përpjekjet konservative të përshtatjes mund të ulin ndjeshëm humbjet e PBB-së dhe të forcojnë qëndrueshmërinë ekonomike, veçanërisht në skenarë me emetime të larta si RCP 8.5.</w:t>
      </w:r>
    </w:p>
    <w:p w14:paraId="16E4E5AF" w14:textId="77777777" w:rsidR="00943DD4" w:rsidRPr="00705B56" w:rsidRDefault="00943DD4">
      <w:pPr>
        <w:spacing w:before="0" w:line="278" w:lineRule="auto"/>
        <w:rPr>
          <w:rFonts w:ascii="Arial" w:hAnsi="Arial" w:cs="Arial"/>
          <w:color w:val="EE0000"/>
          <w:lang w:val="sq-AL"/>
        </w:rPr>
      </w:pPr>
      <w:r w:rsidRPr="00705B56">
        <w:rPr>
          <w:rFonts w:ascii="Arial" w:hAnsi="Arial" w:cs="Arial"/>
          <w:color w:val="EE0000"/>
          <w:lang w:val="sq-AL"/>
        </w:rPr>
        <w:br w:type="page"/>
      </w:r>
    </w:p>
    <w:p w14:paraId="553CB798" w14:textId="22226029" w:rsidR="001D4FA1" w:rsidRPr="001C61AE" w:rsidRDefault="00E4128F" w:rsidP="009E0311">
      <w:pPr>
        <w:pStyle w:val="Heading1"/>
        <w:rPr>
          <w:rFonts w:ascii="Arial" w:hAnsi="Arial" w:cs="Arial"/>
          <w:b/>
          <w:bCs/>
          <w:color w:val="22635D"/>
          <w:lang w:val="sq-AL"/>
        </w:rPr>
      </w:pPr>
      <w:bookmarkStart w:id="65" w:name="_Toc211532699"/>
      <w:bookmarkEnd w:id="20"/>
      <w:bookmarkEnd w:id="21"/>
      <w:r w:rsidRPr="001C61AE">
        <w:rPr>
          <w:rFonts w:ascii="Arial" w:hAnsi="Arial" w:cs="Arial"/>
          <w:b/>
          <w:bCs/>
          <w:color w:val="22635D"/>
          <w:lang w:val="sq-AL"/>
        </w:rPr>
        <w:lastRenderedPageBreak/>
        <w:t xml:space="preserve">V. </w:t>
      </w:r>
      <w:bookmarkEnd w:id="61"/>
      <w:r w:rsidR="00392E9C" w:rsidRPr="001C61AE">
        <w:rPr>
          <w:rFonts w:ascii="Arial" w:hAnsi="Arial" w:cs="Arial"/>
          <w:b/>
          <w:bCs/>
          <w:color w:val="22635D"/>
          <w:lang w:val="sq-AL"/>
        </w:rPr>
        <w:t>OBJEKTIVAT STRATEGJIKE DHE VEPRIMET PRIORITARE</w:t>
      </w:r>
      <w:bookmarkEnd w:id="65"/>
    </w:p>
    <w:p w14:paraId="155C1F0F" w14:textId="4DB71A77" w:rsidR="001D4FA1" w:rsidRPr="001C61AE" w:rsidRDefault="00392E9C" w:rsidP="00D846AE">
      <w:pPr>
        <w:pStyle w:val="Heading2"/>
        <w:rPr>
          <w:rFonts w:ascii="Arial" w:hAnsi="Arial" w:cs="Arial"/>
          <w:b/>
          <w:bCs/>
          <w:color w:val="246D5D"/>
          <w:lang w:val="sq-AL"/>
        </w:rPr>
      </w:pPr>
      <w:bookmarkStart w:id="66" w:name="_Toc211532700"/>
      <w:bookmarkStart w:id="67" w:name="_Hlk201589130"/>
      <w:r w:rsidRPr="001C61AE">
        <w:rPr>
          <w:rFonts w:ascii="Arial" w:hAnsi="Arial" w:cs="Arial"/>
          <w:b/>
          <w:bCs/>
          <w:color w:val="246D5D"/>
          <w:lang w:val="sq-AL"/>
        </w:rPr>
        <w:t>Vizioni dhe objektivat strategjike</w:t>
      </w:r>
      <w:bookmarkEnd w:id="66"/>
    </w:p>
    <w:p w14:paraId="0A2037F4" w14:textId="089BAE8F" w:rsidR="001D4FA1" w:rsidRPr="001C61AE" w:rsidRDefault="00392E9C" w:rsidP="00D846AE">
      <w:pPr>
        <w:pStyle w:val="Heading3"/>
        <w:rPr>
          <w:rFonts w:ascii="Arial" w:hAnsi="Arial" w:cs="Arial"/>
          <w:color w:val="246D5D"/>
          <w:lang w:val="sq-AL"/>
        </w:rPr>
      </w:pPr>
      <w:bookmarkStart w:id="68" w:name="_Toc211532701"/>
      <w:r w:rsidRPr="001C61AE">
        <w:rPr>
          <w:rFonts w:ascii="Arial" w:hAnsi="Arial" w:cs="Arial"/>
          <w:color w:val="246D5D"/>
          <w:lang w:val="sq-AL"/>
        </w:rPr>
        <w:t>Vizioni afatgjatë i përshtatjes për Kosovën</w:t>
      </w:r>
      <w:bookmarkEnd w:id="68"/>
    </w:p>
    <w:p w14:paraId="645C7738" w14:textId="348AB832" w:rsidR="00551E15" w:rsidRPr="001C61AE" w:rsidRDefault="00392E9C" w:rsidP="00551E15">
      <w:pPr>
        <w:rPr>
          <w:rFonts w:ascii="Arial" w:hAnsi="Arial" w:cs="Arial"/>
          <w:lang w:val="sq-AL"/>
        </w:rPr>
      </w:pPr>
      <w:r w:rsidRPr="001C61AE">
        <w:rPr>
          <w:rFonts w:ascii="Arial" w:hAnsi="Arial" w:cs="Arial"/>
          <w:lang w:val="sq-AL"/>
        </w:rPr>
        <w:t xml:space="preserve">Vizioni afatgjatë i Kosovës është </w:t>
      </w:r>
      <w:r w:rsidR="000940CE" w:rsidRPr="001C61AE">
        <w:rPr>
          <w:rFonts w:ascii="Arial" w:hAnsi="Arial" w:cs="Arial"/>
          <w:lang w:val="sq-AL"/>
        </w:rPr>
        <w:t>t</w:t>
      </w:r>
      <w:r w:rsidR="00551E15" w:rsidRPr="001C61AE">
        <w:rPr>
          <w:rFonts w:ascii="Arial" w:hAnsi="Arial" w:cs="Arial"/>
          <w:lang w:val="sq-AL"/>
        </w:rPr>
        <w:t>ë ndërtohet infrastruktura dhe sistemi i nevojshëm për t’u përshtatur ndaj rreziqeve klimatike dhe për të shfrytëzuar mundësitë që sjell ndryshimi klimatik, në mënyrë që Kosova të mbetet e jetueshme për qytetarët e saj, atraktive për investitorët dhe vend ku diaspora gjen mundësi për t’u kthyer.</w:t>
      </w:r>
    </w:p>
    <w:tbl>
      <w:tblPr>
        <w:tblStyle w:val="Tablanormal21"/>
        <w:tblpPr w:leftFromText="141" w:rightFromText="141" w:vertAnchor="page" w:horzAnchor="margin" w:tblpY="4693"/>
        <w:tblW w:w="10255" w:type="dxa"/>
        <w:tblBorders>
          <w:top w:val="none" w:sz="0" w:space="0" w:color="auto"/>
          <w:bottom w:val="none" w:sz="0" w:space="0" w:color="auto"/>
        </w:tblBorders>
        <w:tblLook w:val="04A0" w:firstRow="1" w:lastRow="0" w:firstColumn="1" w:lastColumn="0" w:noHBand="0" w:noVBand="1"/>
      </w:tblPr>
      <w:tblGrid>
        <w:gridCol w:w="3500"/>
        <w:gridCol w:w="2279"/>
        <w:gridCol w:w="2238"/>
        <w:gridCol w:w="2238"/>
      </w:tblGrid>
      <w:tr w:rsidR="004C6E93" w:rsidRPr="001C61AE" w14:paraId="42F52221" w14:textId="77777777" w:rsidTr="004C6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D9D9D9"/>
              <w:left w:val="single" w:sz="4" w:space="0" w:color="D9D9D9"/>
              <w:right w:val="single" w:sz="4" w:space="0" w:color="D9D9D9"/>
            </w:tcBorders>
          </w:tcPr>
          <w:p w14:paraId="6176E4B2" w14:textId="77777777" w:rsidR="004C6E93" w:rsidRPr="001C61AE" w:rsidRDefault="004C6E93" w:rsidP="004C6E93">
            <w:pPr>
              <w:spacing w:after="160" w:line="240" w:lineRule="auto"/>
              <w:jc w:val="both"/>
              <w:rPr>
                <w:rFonts w:ascii="Arial" w:hAnsi="Arial" w:cs="Arial"/>
                <w:lang w:val="sq-AL"/>
              </w:rPr>
            </w:pPr>
            <w:bookmarkStart w:id="69" w:name="_Toc211532702"/>
            <w:bookmarkStart w:id="70" w:name="_Toc203580421"/>
            <w:r w:rsidRPr="001C61AE">
              <w:rPr>
                <w:rFonts w:ascii="Arial" w:hAnsi="Arial" w:cs="Arial"/>
                <w:noProof/>
              </w:rPr>
              <w:drawing>
                <wp:anchor distT="0" distB="0" distL="114300" distR="114300" simplePos="0" relativeHeight="251853824" behindDoc="0" locked="0" layoutInCell="1" allowOverlap="1" wp14:anchorId="198917AC" wp14:editId="3B5DDF87">
                  <wp:simplePos x="594360" y="7444740"/>
                  <wp:positionH relativeFrom="margin">
                    <wp:align>center</wp:align>
                  </wp:positionH>
                  <wp:positionV relativeFrom="margin">
                    <wp:align>top</wp:align>
                  </wp:positionV>
                  <wp:extent cx="640080" cy="640080"/>
                  <wp:effectExtent l="0" t="0" r="0" b="0"/>
                  <wp:wrapSquare wrapText="bothSides"/>
                  <wp:docPr id="462380433" name="Graphic 6"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47255" name="Graphic 1053447255" descr="Water outline"/>
                          <pic:cNvPicPr/>
                        </pic:nvPicPr>
                        <pic:blipFill>
                          <a:blip r:embed="rId8">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9"/>
                              </a:ext>
                            </a:extLst>
                          </a:blip>
                          <a:stretch>
                            <a:fillRect/>
                          </a:stretch>
                        </pic:blipFill>
                        <pic:spPr>
                          <a:xfrm>
                            <a:off x="0" y="0"/>
                            <a:ext cx="640080" cy="640080"/>
                          </a:xfrm>
                          <a:prstGeom prst="rect">
                            <a:avLst/>
                          </a:prstGeom>
                        </pic:spPr>
                      </pic:pic>
                    </a:graphicData>
                  </a:graphic>
                </wp:anchor>
              </w:drawing>
            </w:r>
          </w:p>
        </w:tc>
        <w:tc>
          <w:tcPr>
            <w:tcW w:w="2279" w:type="dxa"/>
            <w:tcBorders>
              <w:top w:val="single" w:sz="4" w:space="0" w:color="D9D9D9"/>
              <w:left w:val="single" w:sz="4" w:space="0" w:color="D9D9D9"/>
              <w:right w:val="single" w:sz="4" w:space="0" w:color="D9D9D9"/>
            </w:tcBorders>
          </w:tcPr>
          <w:p w14:paraId="293075DB" w14:textId="77777777" w:rsidR="004C6E93" w:rsidRPr="001C61AE" w:rsidRDefault="004C6E93" w:rsidP="004C6E93">
            <w:pPr>
              <w:spacing w:after="16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sq-AL"/>
              </w:rPr>
            </w:pPr>
            <w:r w:rsidRPr="001C61AE">
              <w:rPr>
                <w:rFonts w:ascii="Arial" w:hAnsi="Arial" w:cs="Arial"/>
                <w:noProof/>
              </w:rPr>
              <w:drawing>
                <wp:anchor distT="0" distB="0" distL="114300" distR="114300" simplePos="0" relativeHeight="251854848" behindDoc="0" locked="0" layoutInCell="1" allowOverlap="1" wp14:anchorId="1B5500CF" wp14:editId="270CB29C">
                  <wp:simplePos x="0" y="0"/>
                  <wp:positionH relativeFrom="margin">
                    <wp:posOffset>447675</wp:posOffset>
                  </wp:positionH>
                  <wp:positionV relativeFrom="margin">
                    <wp:posOffset>0</wp:posOffset>
                  </wp:positionV>
                  <wp:extent cx="632460" cy="632460"/>
                  <wp:effectExtent l="0" t="0" r="0" b="0"/>
                  <wp:wrapSquare wrapText="bothSides"/>
                  <wp:docPr id="1277874212" name="Graphic 7" descr="Renewable Energ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85287" name="Graphic 341585287" descr="Renewable Energy outline"/>
                          <pic:cNvPicPr/>
                        </pic:nvPicPr>
                        <pic:blipFill>
                          <a:blip r:embed="rId10">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632460" cy="632460"/>
                          </a:xfrm>
                          <a:prstGeom prst="rect">
                            <a:avLst/>
                          </a:prstGeom>
                        </pic:spPr>
                      </pic:pic>
                    </a:graphicData>
                  </a:graphic>
                  <wp14:sizeRelH relativeFrom="margin">
                    <wp14:pctWidth>0</wp14:pctWidth>
                  </wp14:sizeRelH>
                  <wp14:sizeRelV relativeFrom="margin">
                    <wp14:pctHeight>0</wp14:pctHeight>
                  </wp14:sizeRelV>
                </wp:anchor>
              </w:drawing>
            </w:r>
          </w:p>
        </w:tc>
        <w:tc>
          <w:tcPr>
            <w:tcW w:w="2238" w:type="dxa"/>
            <w:tcBorders>
              <w:top w:val="single" w:sz="4" w:space="0" w:color="D9D9D9"/>
              <w:left w:val="single" w:sz="4" w:space="0" w:color="D9D9D9"/>
              <w:right w:val="single" w:sz="4" w:space="0" w:color="D9D9D9"/>
            </w:tcBorders>
          </w:tcPr>
          <w:p w14:paraId="43260955" w14:textId="77777777" w:rsidR="004C6E93" w:rsidRPr="001C61AE" w:rsidRDefault="004C6E93" w:rsidP="004C6E93">
            <w:pPr>
              <w:spacing w:after="16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sq-AL"/>
              </w:rPr>
            </w:pPr>
            <w:r w:rsidRPr="001C61AE">
              <w:rPr>
                <w:rFonts w:ascii="Arial" w:hAnsi="Arial" w:cs="Arial"/>
                <w:noProof/>
              </w:rPr>
              <w:drawing>
                <wp:anchor distT="0" distB="0" distL="114300" distR="114300" simplePos="0" relativeHeight="251855872" behindDoc="0" locked="0" layoutInCell="1" allowOverlap="1" wp14:anchorId="2D2CC0FF" wp14:editId="28F4C490">
                  <wp:simplePos x="0" y="0"/>
                  <wp:positionH relativeFrom="margin">
                    <wp:posOffset>471805</wp:posOffset>
                  </wp:positionH>
                  <wp:positionV relativeFrom="margin">
                    <wp:posOffset>1270</wp:posOffset>
                  </wp:positionV>
                  <wp:extent cx="579120" cy="579120"/>
                  <wp:effectExtent l="0" t="0" r="0" b="0"/>
                  <wp:wrapSquare wrapText="bothSides"/>
                  <wp:docPr id="1935965280" name="Graphic 8" descr="Open hand with pl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05060" name="Graphic 1415905060" descr="Open hand with plant outline"/>
                          <pic:cNvPicPr/>
                        </pic:nvPicPr>
                        <pic:blipFill>
                          <a:blip r:embed="rId12">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3"/>
                              </a:ext>
                            </a:extLst>
                          </a:blip>
                          <a:stretch>
                            <a:fillRect/>
                          </a:stretch>
                        </pic:blipFill>
                        <pic:spPr>
                          <a:xfrm>
                            <a:off x="0" y="0"/>
                            <a:ext cx="579120" cy="579120"/>
                          </a:xfrm>
                          <a:prstGeom prst="rect">
                            <a:avLst/>
                          </a:prstGeom>
                        </pic:spPr>
                      </pic:pic>
                    </a:graphicData>
                  </a:graphic>
                  <wp14:sizeRelH relativeFrom="margin">
                    <wp14:pctWidth>0</wp14:pctWidth>
                  </wp14:sizeRelH>
                  <wp14:sizeRelV relativeFrom="margin">
                    <wp14:pctHeight>0</wp14:pctHeight>
                  </wp14:sizeRelV>
                </wp:anchor>
              </w:drawing>
            </w:r>
          </w:p>
        </w:tc>
        <w:tc>
          <w:tcPr>
            <w:tcW w:w="2238" w:type="dxa"/>
            <w:tcBorders>
              <w:top w:val="single" w:sz="4" w:space="0" w:color="D9D9D9"/>
              <w:left w:val="single" w:sz="4" w:space="0" w:color="D9D9D9"/>
              <w:right w:val="single" w:sz="4" w:space="0" w:color="D9D9D9"/>
            </w:tcBorders>
          </w:tcPr>
          <w:p w14:paraId="2540D341" w14:textId="77777777" w:rsidR="004C6E93" w:rsidRPr="001C61AE" w:rsidRDefault="004C6E93" w:rsidP="004C6E93">
            <w:pPr>
              <w:spacing w:after="16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sq-AL"/>
              </w:rPr>
            </w:pPr>
            <w:r w:rsidRPr="001C61AE">
              <w:rPr>
                <w:rFonts w:ascii="Arial" w:hAnsi="Arial" w:cs="Arial"/>
                <w:noProof/>
              </w:rPr>
              <w:drawing>
                <wp:anchor distT="0" distB="0" distL="114300" distR="114300" simplePos="0" relativeHeight="251856896" behindDoc="0" locked="0" layoutInCell="1" allowOverlap="1" wp14:anchorId="51259E8E" wp14:editId="2B408A0D">
                  <wp:simplePos x="0" y="0"/>
                  <wp:positionH relativeFrom="margin">
                    <wp:posOffset>443230</wp:posOffset>
                  </wp:positionH>
                  <wp:positionV relativeFrom="margin">
                    <wp:posOffset>7620</wp:posOffset>
                  </wp:positionV>
                  <wp:extent cx="601980" cy="601980"/>
                  <wp:effectExtent l="0" t="0" r="0" b="0"/>
                  <wp:wrapSquare wrapText="bothSides"/>
                  <wp:docPr id="753375523" name="Graphic 2" descr="Heart with pul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04601" name="Graphic 1611404601" descr="Heart with pulse outline"/>
                          <pic:cNvPicPr/>
                        </pic:nvPicPr>
                        <pic:blipFill>
                          <a:blip r:embed="rId1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a:off x="0" y="0"/>
                            <a:ext cx="601980" cy="601980"/>
                          </a:xfrm>
                          <a:prstGeom prst="rect">
                            <a:avLst/>
                          </a:prstGeom>
                        </pic:spPr>
                      </pic:pic>
                    </a:graphicData>
                  </a:graphic>
                  <wp14:sizeRelH relativeFrom="margin">
                    <wp14:pctWidth>0</wp14:pctWidth>
                  </wp14:sizeRelH>
                  <wp14:sizeRelV relativeFrom="margin">
                    <wp14:pctHeight>0</wp14:pctHeight>
                  </wp14:sizeRelV>
                </wp:anchor>
              </w:drawing>
            </w:r>
          </w:p>
        </w:tc>
      </w:tr>
      <w:tr w:rsidR="004C6E93" w:rsidRPr="001C61AE" w14:paraId="741D3965" w14:textId="77777777" w:rsidTr="004C6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D9D9D9"/>
              <w:right w:val="single" w:sz="4" w:space="0" w:color="D9D9D9"/>
            </w:tcBorders>
          </w:tcPr>
          <w:p w14:paraId="512B2AB2" w14:textId="77777777" w:rsidR="004C6E93" w:rsidRPr="001C61AE" w:rsidRDefault="004C6E93" w:rsidP="004C6E93">
            <w:pPr>
              <w:spacing w:after="160" w:line="240" w:lineRule="auto"/>
              <w:jc w:val="both"/>
              <w:rPr>
                <w:rFonts w:ascii="Arial" w:hAnsi="Arial" w:cs="Arial"/>
                <w:lang w:val="sq-AL"/>
              </w:rPr>
            </w:pPr>
            <w:r w:rsidRPr="001C61AE">
              <w:rPr>
                <w:rFonts w:ascii="Arial" w:hAnsi="Arial" w:cs="Arial"/>
                <w:lang w:val="sq-AL"/>
              </w:rPr>
              <w:t>Menaxhimi i Resurseve Ujore</w:t>
            </w:r>
          </w:p>
        </w:tc>
        <w:tc>
          <w:tcPr>
            <w:tcW w:w="2279" w:type="dxa"/>
            <w:tcBorders>
              <w:left w:val="single" w:sz="4" w:space="0" w:color="D9D9D9"/>
              <w:right w:val="single" w:sz="4" w:space="0" w:color="D9D9D9"/>
            </w:tcBorders>
          </w:tcPr>
          <w:p w14:paraId="0011DF49" w14:textId="77777777" w:rsidR="004C6E93" w:rsidRPr="001C61AE" w:rsidRDefault="004C6E93" w:rsidP="004C6E93">
            <w:pPr>
              <w:spacing w:after="16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lang w:val="sq-AL"/>
              </w:rPr>
            </w:pPr>
            <w:r w:rsidRPr="001C61AE">
              <w:rPr>
                <w:rFonts w:ascii="Arial" w:hAnsi="Arial" w:cs="Arial"/>
                <w:b/>
                <w:bCs/>
                <w:lang w:val="sq-AL"/>
              </w:rPr>
              <w:t>Sektori i Energjisë</w:t>
            </w:r>
          </w:p>
        </w:tc>
        <w:tc>
          <w:tcPr>
            <w:tcW w:w="2238" w:type="dxa"/>
            <w:tcBorders>
              <w:left w:val="single" w:sz="4" w:space="0" w:color="D9D9D9"/>
              <w:right w:val="single" w:sz="4" w:space="0" w:color="D9D9D9"/>
            </w:tcBorders>
          </w:tcPr>
          <w:p w14:paraId="48AFA738" w14:textId="77777777" w:rsidR="004C6E93" w:rsidRPr="001C61AE" w:rsidRDefault="004C6E93" w:rsidP="004C6E93">
            <w:pPr>
              <w:spacing w:after="16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lang w:val="sq-AL"/>
              </w:rPr>
            </w:pPr>
            <w:r w:rsidRPr="001C61AE">
              <w:rPr>
                <w:rFonts w:ascii="Arial" w:hAnsi="Arial" w:cs="Arial"/>
                <w:b/>
                <w:bCs/>
                <w:lang w:val="sq-AL"/>
              </w:rPr>
              <w:t>Bujqësia dhe Pylltaria</w:t>
            </w:r>
          </w:p>
        </w:tc>
        <w:tc>
          <w:tcPr>
            <w:tcW w:w="2238" w:type="dxa"/>
            <w:tcBorders>
              <w:left w:val="single" w:sz="4" w:space="0" w:color="D9D9D9"/>
              <w:right w:val="single" w:sz="4" w:space="0" w:color="D9D9D9"/>
            </w:tcBorders>
          </w:tcPr>
          <w:p w14:paraId="15AEF5ED" w14:textId="77777777" w:rsidR="004C6E93" w:rsidRPr="001C61AE" w:rsidRDefault="004C6E93" w:rsidP="004C6E93">
            <w:pPr>
              <w:spacing w:after="16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lang w:val="sq-AL"/>
              </w:rPr>
            </w:pPr>
            <w:r w:rsidRPr="001C61AE">
              <w:rPr>
                <w:rFonts w:ascii="Arial" w:hAnsi="Arial" w:cs="Arial"/>
                <w:b/>
                <w:bCs/>
                <w:lang w:val="sq-AL"/>
              </w:rPr>
              <w:t>Shëndetësia dhe Përshtatja Sociale</w:t>
            </w:r>
          </w:p>
        </w:tc>
      </w:tr>
      <w:tr w:rsidR="004C6E93" w:rsidRPr="001C61AE" w14:paraId="38907945" w14:textId="77777777" w:rsidTr="004C6E93">
        <w:trPr>
          <w:trHeight w:val="1153"/>
        </w:trPr>
        <w:tc>
          <w:tcPr>
            <w:cnfStyle w:val="001000000000" w:firstRow="0" w:lastRow="0" w:firstColumn="1" w:lastColumn="0" w:oddVBand="0" w:evenVBand="0" w:oddHBand="0" w:evenHBand="0" w:firstRowFirstColumn="0" w:firstRowLastColumn="0" w:lastRowFirstColumn="0" w:lastRowLastColumn="0"/>
            <w:tcW w:w="3500" w:type="dxa"/>
            <w:tcBorders>
              <w:left w:val="single" w:sz="4" w:space="0" w:color="D9D9D9"/>
              <w:bottom w:val="single" w:sz="4" w:space="0" w:color="D9D9D9"/>
              <w:right w:val="single" w:sz="4" w:space="0" w:color="D9D9D9"/>
            </w:tcBorders>
          </w:tcPr>
          <w:p w14:paraId="202FCFA7" w14:textId="77777777" w:rsidR="004C6E93" w:rsidRPr="001C61AE" w:rsidRDefault="004C6E93" w:rsidP="004C6E93">
            <w:pPr>
              <w:spacing w:after="160" w:line="240" w:lineRule="auto"/>
              <w:rPr>
                <w:rFonts w:ascii="Arial" w:hAnsi="Arial" w:cs="Arial"/>
                <w:b w:val="0"/>
                <w:bCs w:val="0"/>
                <w:lang w:val="sq-AL"/>
              </w:rPr>
            </w:pPr>
            <w:r w:rsidRPr="001C61AE">
              <w:rPr>
                <w:rFonts w:ascii="Arial" w:hAnsi="Arial" w:cs="Arial"/>
                <w:b w:val="0"/>
                <w:bCs w:val="0"/>
                <w:lang w:val="sq-AL"/>
              </w:rPr>
              <w:t>Rritja e qëndrueshmërisë klimatike në infrastrukturën ujore, menaxhimin e pellgjeve lumore dhe zbutjen e thatësirës/përmbytjeve.</w:t>
            </w:r>
          </w:p>
        </w:tc>
        <w:tc>
          <w:tcPr>
            <w:tcW w:w="2279" w:type="dxa"/>
            <w:tcBorders>
              <w:left w:val="single" w:sz="4" w:space="0" w:color="D9D9D9"/>
              <w:bottom w:val="single" w:sz="4" w:space="0" w:color="D9D9D9"/>
              <w:right w:val="single" w:sz="4" w:space="0" w:color="D9D9D9"/>
            </w:tcBorders>
          </w:tcPr>
          <w:p w14:paraId="653E0C29" w14:textId="77777777" w:rsidR="004C6E93" w:rsidRPr="001C61AE" w:rsidRDefault="004C6E93" w:rsidP="004C6E93">
            <w:pPr>
              <w:spacing w:after="160" w:line="240" w:lineRule="auto"/>
              <w:cnfStyle w:val="000000000000" w:firstRow="0" w:lastRow="0" w:firstColumn="0" w:lastColumn="0" w:oddVBand="0" w:evenVBand="0" w:oddHBand="0" w:evenHBand="0" w:firstRowFirstColumn="0" w:firstRowLastColumn="0" w:lastRowFirstColumn="0" w:lastRowLastColumn="0"/>
              <w:rPr>
                <w:rFonts w:ascii="Arial" w:hAnsi="Arial" w:cs="Arial"/>
                <w:lang w:val="sq-AL"/>
              </w:rPr>
            </w:pPr>
            <w:r w:rsidRPr="001C61AE">
              <w:rPr>
                <w:rFonts w:ascii="Arial" w:hAnsi="Arial" w:cs="Arial"/>
                <w:lang w:val="sq-AL"/>
              </w:rPr>
              <w:t>Forcimi i infrastrukturës së rrjetit, rritje e sigurisë së furnizimit dhe përmirësimi i efiçiencës së energjisë.</w:t>
            </w:r>
          </w:p>
        </w:tc>
        <w:tc>
          <w:tcPr>
            <w:tcW w:w="2238" w:type="dxa"/>
            <w:tcBorders>
              <w:left w:val="single" w:sz="4" w:space="0" w:color="D9D9D9"/>
              <w:bottom w:val="single" w:sz="4" w:space="0" w:color="D9D9D9"/>
              <w:right w:val="single" w:sz="4" w:space="0" w:color="D9D9D9"/>
            </w:tcBorders>
          </w:tcPr>
          <w:p w14:paraId="18658093" w14:textId="77777777" w:rsidR="004C6E93" w:rsidRPr="001C61AE" w:rsidRDefault="004C6E93" w:rsidP="004C6E93">
            <w:pPr>
              <w:spacing w:after="160" w:line="240" w:lineRule="auto"/>
              <w:cnfStyle w:val="000000000000" w:firstRow="0" w:lastRow="0" w:firstColumn="0" w:lastColumn="0" w:oddVBand="0" w:evenVBand="0" w:oddHBand="0" w:evenHBand="0" w:firstRowFirstColumn="0" w:firstRowLastColumn="0" w:lastRowFirstColumn="0" w:lastRowLastColumn="0"/>
              <w:rPr>
                <w:rFonts w:ascii="Arial" w:hAnsi="Arial" w:cs="Arial"/>
                <w:lang w:val="sq-AL"/>
              </w:rPr>
            </w:pPr>
            <w:r w:rsidRPr="001C61AE">
              <w:rPr>
                <w:rFonts w:ascii="Arial" w:hAnsi="Arial" w:cs="Arial"/>
                <w:lang w:val="sq-AL"/>
              </w:rPr>
              <w:t>Promovimi i bujqësisë së zgjuar ndaj klimës, ruajtjes së tokës dhe mbrojtjes së biodiversitetit.</w:t>
            </w:r>
          </w:p>
        </w:tc>
        <w:tc>
          <w:tcPr>
            <w:tcW w:w="2238" w:type="dxa"/>
            <w:tcBorders>
              <w:left w:val="single" w:sz="4" w:space="0" w:color="D9D9D9"/>
              <w:bottom w:val="single" w:sz="4" w:space="0" w:color="D9D9D9"/>
              <w:right w:val="single" w:sz="4" w:space="0" w:color="D9D9D9"/>
            </w:tcBorders>
          </w:tcPr>
          <w:p w14:paraId="09024EAA" w14:textId="77777777" w:rsidR="004C6E93" w:rsidRPr="001C61AE" w:rsidRDefault="004C6E93" w:rsidP="004C6E93">
            <w:pPr>
              <w:spacing w:after="160" w:line="240" w:lineRule="auto"/>
              <w:cnfStyle w:val="000000000000" w:firstRow="0" w:lastRow="0" w:firstColumn="0" w:lastColumn="0" w:oddVBand="0" w:evenVBand="0" w:oddHBand="0" w:evenHBand="0" w:firstRowFirstColumn="0" w:firstRowLastColumn="0" w:lastRowFirstColumn="0" w:lastRowLastColumn="0"/>
              <w:rPr>
                <w:rFonts w:ascii="Arial" w:hAnsi="Arial" w:cs="Arial"/>
                <w:lang w:val="sq-AL"/>
              </w:rPr>
            </w:pPr>
            <w:r w:rsidRPr="001C61AE">
              <w:rPr>
                <w:rFonts w:ascii="Arial" w:hAnsi="Arial" w:cs="Arial"/>
                <w:lang w:val="sq-AL"/>
              </w:rPr>
              <w:t>Forcimi i sistemeve shëndetësore, përmirësimi i mbikëqyrjes së sëmundjeve të ndjeshme ndaj klimës dhe rritja e mbrojtjes sociale për popullatat e cenueshme.</w:t>
            </w:r>
          </w:p>
        </w:tc>
      </w:tr>
    </w:tbl>
    <w:p w14:paraId="48535314" w14:textId="2BB98ADC" w:rsidR="0097040B" w:rsidRPr="001C61AE" w:rsidRDefault="0097040B" w:rsidP="0097040B">
      <w:pPr>
        <w:pStyle w:val="Caption"/>
        <w:keepNext/>
        <w:rPr>
          <w:rFonts w:ascii="Arial" w:hAnsi="Arial" w:cs="Arial"/>
        </w:rPr>
      </w:pPr>
      <w:bookmarkStart w:id="71" w:name="_Toc211532732"/>
      <w:bookmarkEnd w:id="67"/>
      <w:bookmarkEnd w:id="69"/>
      <w:bookmarkEnd w:id="70"/>
      <w:r w:rsidRPr="001C61AE">
        <w:rPr>
          <w:rFonts w:ascii="Arial" w:hAnsi="Arial" w:cs="Arial"/>
        </w:rPr>
        <w:t xml:space="preserve">Tabela </w:t>
      </w:r>
      <w:r w:rsidRPr="001C61AE">
        <w:rPr>
          <w:rFonts w:ascii="Arial" w:hAnsi="Arial" w:cs="Arial"/>
        </w:rPr>
        <w:fldChar w:fldCharType="begin"/>
      </w:r>
      <w:r w:rsidRPr="001C61AE">
        <w:rPr>
          <w:rFonts w:ascii="Arial" w:hAnsi="Arial" w:cs="Arial"/>
        </w:rPr>
        <w:instrText xml:space="preserve"> SEQ Tabela \* ARABIC </w:instrText>
      </w:r>
      <w:r w:rsidRPr="001C61AE">
        <w:rPr>
          <w:rFonts w:ascii="Arial" w:hAnsi="Arial" w:cs="Arial"/>
        </w:rPr>
        <w:fldChar w:fldCharType="separate"/>
      </w:r>
      <w:r w:rsidR="00C62DE9">
        <w:rPr>
          <w:rFonts w:ascii="Arial" w:hAnsi="Arial" w:cs="Arial"/>
          <w:noProof/>
        </w:rPr>
        <w:t>5</w:t>
      </w:r>
      <w:r w:rsidRPr="001C61AE">
        <w:rPr>
          <w:rFonts w:ascii="Arial" w:hAnsi="Arial" w:cs="Arial"/>
          <w:noProof/>
        </w:rPr>
        <w:fldChar w:fldCharType="end"/>
      </w:r>
      <w:r w:rsidRPr="001C61AE">
        <w:rPr>
          <w:rFonts w:ascii="Arial" w:hAnsi="Arial" w:cs="Arial"/>
        </w:rPr>
        <w:t>. Sfidat kryesore të përshtatjes për secilin sektor. Burimi: MMPHI, 2025.</w:t>
      </w:r>
      <w:bookmarkEnd w:id="71"/>
    </w:p>
    <w:p w14:paraId="3382C487" w14:textId="1B848760" w:rsidR="001C61AE" w:rsidRPr="001C61AE" w:rsidRDefault="001C61AE" w:rsidP="001C61AE">
      <w:pPr>
        <w:pStyle w:val="Heading2"/>
        <w:rPr>
          <w:rFonts w:ascii="Arial" w:hAnsi="Arial" w:cs="Arial"/>
          <w:b/>
          <w:bCs/>
          <w:color w:val="246D5D"/>
          <w:lang w:val="sq-AL"/>
        </w:rPr>
      </w:pPr>
      <w:r w:rsidRPr="001C61AE">
        <w:rPr>
          <w:rFonts w:ascii="Arial" w:hAnsi="Arial" w:cs="Arial"/>
          <w:b/>
          <w:bCs/>
          <w:color w:val="246D5D"/>
          <w:lang w:val="sq-AL"/>
        </w:rPr>
        <w:t xml:space="preserve">Objektivat strategjikë </w:t>
      </w:r>
    </w:p>
    <w:p w14:paraId="1F5926CD" w14:textId="34E44047" w:rsidR="005A005C" w:rsidRPr="001C61AE" w:rsidRDefault="005A005C" w:rsidP="004C6E93">
      <w:pPr>
        <w:rPr>
          <w:rFonts w:ascii="Arial" w:hAnsi="Arial" w:cs="Arial"/>
          <w:lang w:val="es-ES"/>
        </w:rPr>
      </w:pPr>
      <w:r w:rsidRPr="001C61AE">
        <w:rPr>
          <w:rFonts w:ascii="Arial" w:hAnsi="Arial" w:cs="Arial"/>
          <w:lang w:val="es-ES"/>
        </w:rPr>
        <w:t>Seksioni në vijim paraqet një pasqyrë gjithëpërfshirëse të sektorëve prioritarë të identifikuar për përshtatjen ndaj klimës në Kosovë. Këta sektorë përfshijnë menaxhimin e burimeve ujore, qëndrueshmërinë e sektorit të energjisë, përshtatjen bujqësore dhe pyjore, si dhe përshtatjen shëndetësore dhe sociale. Për secilin sektor, seksioni detajon objektivat specifike përkatëse të hartuara për të rritur qëndrueshmërinë, për të siguruar qëndrueshmërinë dhe për të adresuar cenueshmëritë specifike të sektorit ndaj ndikimeve të ndryshimeve klimatike.</w:t>
      </w:r>
    </w:p>
    <w:p w14:paraId="79696725" w14:textId="1CB60CC1" w:rsidR="001D4FA1" w:rsidRPr="001C61AE" w:rsidRDefault="00967B45" w:rsidP="009D7A9C">
      <w:pPr>
        <w:pStyle w:val="Heading2"/>
        <w:rPr>
          <w:rFonts w:ascii="Arial" w:hAnsi="Arial" w:cs="Arial"/>
          <w:lang w:val="sq-AL"/>
        </w:rPr>
      </w:pPr>
      <w:bookmarkStart w:id="72" w:name="_Toc211532703"/>
      <w:r w:rsidRPr="001C61AE">
        <w:rPr>
          <w:rFonts w:ascii="Arial" w:hAnsi="Arial" w:cs="Arial"/>
          <w:lang w:val="sq-AL"/>
        </w:rPr>
        <w:t>MENAXHIMI I RESURSEVE UJORE</w:t>
      </w:r>
      <w:bookmarkEnd w:id="72"/>
    </w:p>
    <w:p w14:paraId="5BA6FBE3" w14:textId="0F03C253" w:rsidR="001D4FA1" w:rsidRPr="001C61AE" w:rsidRDefault="00FD1025" w:rsidP="001D4FA1">
      <w:pPr>
        <w:spacing w:line="240" w:lineRule="auto"/>
        <w:jc w:val="both"/>
        <w:rPr>
          <w:rFonts w:ascii="Arial" w:hAnsi="Arial" w:cs="Arial"/>
          <w:lang w:val="sq-AL"/>
        </w:rPr>
      </w:pPr>
      <w:r w:rsidRPr="001C61AE">
        <w:rPr>
          <w:rFonts w:ascii="Arial" w:hAnsi="Arial" w:cs="Arial"/>
          <w:b/>
          <w:bCs/>
          <w:lang w:val="sq-AL"/>
        </w:rPr>
        <w:t>Përmbledhje e sektorit</w:t>
      </w:r>
    </w:p>
    <w:p w14:paraId="301A20A3" w14:textId="7506B447" w:rsidR="001D4FA1" w:rsidRPr="001C61AE" w:rsidRDefault="00FD1025" w:rsidP="001D4FA1">
      <w:pPr>
        <w:spacing w:line="240" w:lineRule="auto"/>
        <w:jc w:val="both"/>
        <w:rPr>
          <w:rFonts w:ascii="Arial" w:hAnsi="Arial" w:cs="Arial"/>
          <w:lang w:val="sq-AL"/>
        </w:rPr>
      </w:pPr>
      <w:r w:rsidRPr="001C61AE">
        <w:rPr>
          <w:rFonts w:ascii="Arial" w:hAnsi="Arial" w:cs="Arial"/>
          <w:lang w:val="sq-AL"/>
        </w:rPr>
        <w:t>Burimet ujore të Kosovës janë jashtëzakonisht të ndjeshme ndaj ndikimeve të ndryshimeve klimatike, të dëshmuara nga rritja e temperaturave, rënia e reshjeve, thatësirat më të shpeshta dhe të zgjatura dhe ngjarjet e përmbytjeve gjithnjë e më të rënda. Në dritën e kapacitetit të kufizuar të vendit për ruajtjen e ujit dhe rritjes së kërkesave për ujë në shumë sektorë, avancimi i përshtatjes ndaj ndryshimeve klimatike brenda sektorit të ujit është i domosdoshëm për të mbrojtur sigurinë e ujit, për të mbrojtur integritetin e ekosistemit dhe për të mbështetur rritjen e qëndrueshme ekonomike</w:t>
      </w:r>
      <w:r w:rsidR="001D4FA1" w:rsidRPr="001C61AE">
        <w:rPr>
          <w:rFonts w:ascii="Arial" w:hAnsi="Arial" w:cs="Arial"/>
          <w:lang w:val="sq-AL"/>
        </w:rPr>
        <w:t>.</w:t>
      </w:r>
    </w:p>
    <w:p w14:paraId="7562D9A4" w14:textId="76047A1C" w:rsidR="001D4FA1" w:rsidRPr="001C61AE" w:rsidRDefault="00FD1025" w:rsidP="001D4FA1">
      <w:pPr>
        <w:spacing w:line="240" w:lineRule="auto"/>
        <w:jc w:val="both"/>
        <w:rPr>
          <w:rFonts w:ascii="Arial" w:hAnsi="Arial" w:cs="Arial"/>
          <w:b/>
          <w:bCs/>
          <w:lang w:val="sq-AL"/>
        </w:rPr>
      </w:pPr>
      <w:r w:rsidRPr="001C61AE">
        <w:rPr>
          <w:rFonts w:ascii="Arial" w:hAnsi="Arial" w:cs="Arial"/>
          <w:b/>
          <w:bCs/>
          <w:lang w:val="sq-AL"/>
        </w:rPr>
        <w:t>Cenueshmëritë klimatike dhe sfidat kryesore të përshtatjes</w:t>
      </w:r>
    </w:p>
    <w:p w14:paraId="0CDB7217" w14:textId="77777777" w:rsidR="00FD1025" w:rsidRPr="001C61AE" w:rsidRDefault="00FD1025" w:rsidP="00FD1025">
      <w:pPr>
        <w:spacing w:line="240" w:lineRule="auto"/>
        <w:jc w:val="both"/>
        <w:rPr>
          <w:rFonts w:ascii="Arial" w:hAnsi="Arial" w:cs="Arial"/>
          <w:lang w:val="sq-AL"/>
        </w:rPr>
      </w:pPr>
      <w:r w:rsidRPr="001C61AE">
        <w:rPr>
          <w:rFonts w:ascii="Arial" w:hAnsi="Arial" w:cs="Arial"/>
          <w:lang w:val="sq-AL"/>
        </w:rPr>
        <w:t>Cikli hidrologjik përkufizohet si të gjitha transferimet ndërmjet ujit në atmosferë dhe ujit në hidrosferë, të cilat ndërveprojnë gjithashtu me biosferën dhe koren tokësore. Transferimi i ujit varet nga faktorët natyrorë, siç janë klima apo topografia, dhe nga elementet antropogjene, si praktikat bujqësore apo shpyllëzimi.</w:t>
      </w:r>
    </w:p>
    <w:p w14:paraId="59B48172" w14:textId="2D238C77" w:rsidR="00FD1025" w:rsidRPr="001C61AE" w:rsidRDefault="00FD1025" w:rsidP="00FD1025">
      <w:pPr>
        <w:spacing w:line="240" w:lineRule="auto"/>
        <w:jc w:val="both"/>
        <w:rPr>
          <w:rFonts w:ascii="Arial" w:hAnsi="Arial" w:cs="Arial"/>
          <w:lang w:val="sq-AL"/>
        </w:rPr>
      </w:pPr>
      <w:r w:rsidRPr="001C61AE">
        <w:rPr>
          <w:rFonts w:ascii="Arial" w:hAnsi="Arial" w:cs="Arial"/>
          <w:lang w:val="sq-AL"/>
        </w:rPr>
        <w:lastRenderedPageBreak/>
        <w:t xml:space="preserve">Zinxhiri i ndikimit në sektorin e ujit paraqet dimensionet mjedisore, ekonomike dhe sociale të këtij sektori (shih Figurën </w:t>
      </w:r>
      <w:r w:rsidR="005A005C" w:rsidRPr="001C61AE">
        <w:rPr>
          <w:rFonts w:ascii="Arial" w:hAnsi="Arial" w:cs="Arial"/>
          <w:lang w:val="sq-AL"/>
        </w:rPr>
        <w:t>2</w:t>
      </w:r>
      <w:r w:rsidRPr="001C61AE">
        <w:rPr>
          <w:rFonts w:ascii="Arial" w:hAnsi="Arial" w:cs="Arial"/>
          <w:lang w:val="sq-AL"/>
        </w:rPr>
        <w:t>6). Ndikimi i ndryshimeve klimatike në disponueshmërinë e resurseve ujore ndikon në cilësinë dhe sasinë e rezervave, të cilat, nga ana tjetër, ndikojnë në shëndetin e ekosistemeve dhe në kërkesat socio-ekonomike.</w:t>
      </w:r>
    </w:p>
    <w:p w14:paraId="43A13931" w14:textId="485465FD" w:rsidR="00945296" w:rsidRPr="001C61AE" w:rsidRDefault="007A6AE2" w:rsidP="001D4FA1">
      <w:pPr>
        <w:spacing w:line="240" w:lineRule="auto"/>
        <w:jc w:val="both"/>
        <w:rPr>
          <w:rFonts w:ascii="Arial" w:hAnsi="Arial" w:cs="Arial"/>
          <w:lang w:val="sq-AL"/>
        </w:rPr>
      </w:pPr>
      <w:r w:rsidRPr="001C61AE">
        <w:rPr>
          <w:rFonts w:ascii="Arial" w:hAnsi="Arial" w:cs="Arial"/>
          <w:noProof/>
        </w:rPr>
        <mc:AlternateContent>
          <mc:Choice Requires="wps">
            <w:drawing>
              <wp:anchor distT="0" distB="0" distL="114300" distR="114300" simplePos="0" relativeHeight="251803648" behindDoc="0" locked="0" layoutInCell="1" allowOverlap="1" wp14:anchorId="68D96B4E" wp14:editId="6CAEBED3">
                <wp:simplePos x="0" y="0"/>
                <wp:positionH relativeFrom="column">
                  <wp:posOffset>15240</wp:posOffset>
                </wp:positionH>
                <wp:positionV relativeFrom="paragraph">
                  <wp:posOffset>5327015</wp:posOffset>
                </wp:positionV>
                <wp:extent cx="6450330" cy="635"/>
                <wp:effectExtent l="0" t="0" r="0" b="0"/>
                <wp:wrapTopAndBottom/>
                <wp:docPr id="1950777279" name="Text Box 1"/>
                <wp:cNvGraphicFramePr/>
                <a:graphic xmlns:a="http://schemas.openxmlformats.org/drawingml/2006/main">
                  <a:graphicData uri="http://schemas.microsoft.com/office/word/2010/wordprocessingShape">
                    <wps:wsp>
                      <wps:cNvSpPr txBox="1"/>
                      <wps:spPr>
                        <a:xfrm>
                          <a:off x="0" y="0"/>
                          <a:ext cx="6450330" cy="635"/>
                        </a:xfrm>
                        <a:prstGeom prst="rect">
                          <a:avLst/>
                        </a:prstGeom>
                        <a:solidFill>
                          <a:prstClr val="white"/>
                        </a:solidFill>
                        <a:ln>
                          <a:noFill/>
                        </a:ln>
                      </wps:spPr>
                      <wps:txbx>
                        <w:txbxContent>
                          <w:p w14:paraId="55CD6119" w14:textId="52482225" w:rsidR="007A6AE2" w:rsidRPr="001C61AE" w:rsidRDefault="007A6AE2" w:rsidP="004C6E93">
                            <w:pPr>
                              <w:pStyle w:val="Caption"/>
                              <w:rPr>
                                <w:rFonts w:ascii="Arial" w:hAnsi="Arial" w:cs="Arial"/>
                                <w:b/>
                                <w:bCs/>
                                <w:noProof/>
                                <w:sz w:val="20"/>
                                <w:szCs w:val="20"/>
                                <w:lang w:val="sq-AL" w:eastAsia="sq-AL"/>
                              </w:rPr>
                            </w:pPr>
                            <w:bookmarkStart w:id="73" w:name="_Toc211532627"/>
                            <w:r w:rsidRPr="001C61AE">
                              <w:rPr>
                                <w:rFonts w:ascii="Arial" w:hAnsi="Arial" w:cs="Arial"/>
                              </w:rPr>
                              <w:t xml:space="preserve">Figura </w:t>
                            </w:r>
                            <w:r w:rsidRPr="001C61AE">
                              <w:rPr>
                                <w:rFonts w:ascii="Arial" w:hAnsi="Arial" w:cs="Arial"/>
                              </w:rPr>
                              <w:fldChar w:fldCharType="begin"/>
                            </w:r>
                            <w:r w:rsidRPr="001C61AE">
                              <w:rPr>
                                <w:rFonts w:ascii="Arial" w:hAnsi="Arial" w:cs="Arial"/>
                              </w:rPr>
                              <w:instrText xml:space="preserve"> SEQ Figura \* ARABIC </w:instrText>
                            </w:r>
                            <w:r w:rsidRPr="001C61AE">
                              <w:rPr>
                                <w:rFonts w:ascii="Arial" w:hAnsi="Arial" w:cs="Arial"/>
                              </w:rPr>
                              <w:fldChar w:fldCharType="separate"/>
                            </w:r>
                            <w:r w:rsidR="0005579F" w:rsidRPr="001C61AE">
                              <w:rPr>
                                <w:rFonts w:ascii="Arial" w:hAnsi="Arial" w:cs="Arial"/>
                                <w:noProof/>
                              </w:rPr>
                              <w:t>26</w:t>
                            </w:r>
                            <w:r w:rsidRPr="001C61AE">
                              <w:rPr>
                                <w:rFonts w:ascii="Arial" w:hAnsi="Arial" w:cs="Arial"/>
                              </w:rPr>
                              <w:fldChar w:fldCharType="end"/>
                            </w:r>
                            <w:r w:rsidRPr="001C61AE">
                              <w:rPr>
                                <w:rFonts w:ascii="Arial" w:hAnsi="Arial" w:cs="Arial"/>
                              </w:rPr>
                              <w:t>. Zinxhiri i ndikimit për sektorin e Menaxhimit të Burimeve Ujore. Burimi: MMPHI, 2025.</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D96B4E" id="_x0000_s1046" type="#_x0000_t202" style="position:absolute;left:0;text-align:left;margin-left:1.2pt;margin-top:419.45pt;width:507.9pt;height:.0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" stroked="f">
                <v:textbox style="mso-fit-shape-to-text:t" inset="0,0,0,0">
                  <w:txbxContent>
                    <w:p w14:paraId="55CD6119" w14:textId="52482225" w:rsidR="007A6AE2" w:rsidRPr="001C61AE" w:rsidRDefault="007A6AE2" w:rsidP="004C6E93">
                      <w:pPr>
                        <w:pStyle w:val="Caption"/>
                        <w:rPr>
                          <w:rFonts w:ascii="Arial" w:hAnsi="Arial" w:cs="Arial"/>
                          <w:b/>
                          <w:bCs/>
                          <w:noProof/>
                          <w:sz w:val="20"/>
                          <w:szCs w:val="20"/>
                          <w:lang w:val="sq-AL" w:eastAsia="sq-AL"/>
                        </w:rPr>
                      </w:pPr>
                      <w:bookmarkStart w:id="89" w:name="_Toc211532627"/>
                      <w:r w:rsidRPr="001C61AE">
                        <w:rPr>
                          <w:rFonts w:ascii="Arial" w:hAnsi="Arial" w:cs="Arial"/>
                        </w:rPr>
                        <w:t xml:space="preserve">Figura </w:t>
                      </w:r>
                      <w:r w:rsidRPr="001C61AE">
                        <w:rPr>
                          <w:rFonts w:ascii="Arial" w:hAnsi="Arial" w:cs="Arial"/>
                        </w:rPr>
                        <w:fldChar w:fldCharType="begin"/>
                      </w:r>
                      <w:r w:rsidRPr="001C61AE">
                        <w:rPr>
                          <w:rFonts w:ascii="Arial" w:hAnsi="Arial" w:cs="Arial"/>
                        </w:rPr>
                        <w:instrText xml:space="preserve"> SEQ Figura \* ARABIC </w:instrText>
                      </w:r>
                      <w:r w:rsidRPr="001C61AE">
                        <w:rPr>
                          <w:rFonts w:ascii="Arial" w:hAnsi="Arial" w:cs="Arial"/>
                        </w:rPr>
                        <w:fldChar w:fldCharType="separate"/>
                      </w:r>
                      <w:r w:rsidR="0005579F" w:rsidRPr="001C61AE">
                        <w:rPr>
                          <w:rFonts w:ascii="Arial" w:hAnsi="Arial" w:cs="Arial"/>
                          <w:noProof/>
                        </w:rPr>
                        <w:t>26</w:t>
                      </w:r>
                      <w:r w:rsidRPr="001C61AE">
                        <w:rPr>
                          <w:rFonts w:ascii="Arial" w:hAnsi="Arial" w:cs="Arial"/>
                        </w:rPr>
                        <w:fldChar w:fldCharType="end"/>
                      </w:r>
                      <w:r w:rsidRPr="001C61AE">
                        <w:rPr>
                          <w:rFonts w:ascii="Arial" w:hAnsi="Arial" w:cs="Arial"/>
                        </w:rPr>
                        <w:t xml:space="preserve">. </w:t>
                      </w:r>
                      <w:r w:rsidRPr="001C61AE">
                        <w:rPr>
                          <w:rFonts w:ascii="Arial" w:hAnsi="Arial" w:cs="Arial"/>
                        </w:rPr>
                        <w:t>Zinxhiri i ndikimit për sektorin e Menaxhimit të Burimeve Ujore. Burimi: MMPHI, 2025.</w:t>
                      </w:r>
                      <w:bookmarkEnd w:id="89"/>
                    </w:p>
                  </w:txbxContent>
                </v:textbox>
                <w10:wrap type="topAndBottom"/>
              </v:shape>
            </w:pict>
          </mc:Fallback>
        </mc:AlternateContent>
      </w:r>
      <w:r w:rsidRPr="001C61AE">
        <w:rPr>
          <w:rFonts w:ascii="Arial" w:hAnsi="Arial" w:cs="Arial"/>
          <w:b/>
          <w:bCs/>
          <w:noProof/>
          <w:sz w:val="20"/>
          <w:szCs w:val="20"/>
        </w:rPr>
        <w:drawing>
          <wp:anchor distT="0" distB="0" distL="114300" distR="114300" simplePos="0" relativeHeight="251751424" behindDoc="0" locked="0" layoutInCell="1" allowOverlap="1" wp14:anchorId="3A72F23F" wp14:editId="6CAD7344">
            <wp:simplePos x="0" y="0"/>
            <wp:positionH relativeFrom="column">
              <wp:posOffset>15240</wp:posOffset>
            </wp:positionH>
            <wp:positionV relativeFrom="paragraph">
              <wp:posOffset>1128395</wp:posOffset>
            </wp:positionV>
            <wp:extent cx="6450330" cy="4141470"/>
            <wp:effectExtent l="0" t="0" r="7620" b="0"/>
            <wp:wrapTopAndBottom/>
            <wp:docPr id="13516276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27642" name="Imagen 1"/>
                    <pic:cNvPicPr/>
                  </pic:nvPicPr>
                  <pic:blipFill>
                    <a:blip r:embed="rId47">
                      <a:extLst>
                        <a:ext uri="{28A0092B-C50C-407E-A947-70E740481C1C}">
                          <a14:useLocalDpi xmlns:a14="http://schemas.microsoft.com/office/drawing/2010/main" val="0"/>
                        </a:ext>
                      </a:extLst>
                    </a:blip>
                    <a:stretch>
                      <a:fillRect/>
                    </a:stretch>
                  </pic:blipFill>
                  <pic:spPr>
                    <a:xfrm>
                      <a:off x="0" y="0"/>
                      <a:ext cx="6450330" cy="4141470"/>
                    </a:xfrm>
                    <a:prstGeom prst="rect">
                      <a:avLst/>
                    </a:prstGeom>
                  </pic:spPr>
                </pic:pic>
              </a:graphicData>
            </a:graphic>
            <wp14:sizeRelH relativeFrom="page">
              <wp14:pctWidth>0</wp14:pctWidth>
            </wp14:sizeRelH>
            <wp14:sizeRelV relativeFrom="page">
              <wp14:pctHeight>0</wp14:pctHeight>
            </wp14:sizeRelV>
          </wp:anchor>
        </w:drawing>
      </w:r>
      <w:r w:rsidR="00FD1025" w:rsidRPr="001C61AE">
        <w:rPr>
          <w:rFonts w:ascii="Arial" w:hAnsi="Arial" w:cs="Arial"/>
          <w:lang w:val="sq-AL"/>
        </w:rPr>
        <w:t>Zinxhiri identifikon të gjithë faktorët aktualë dhe të ardhshëm që ndikojnë në këtë sektor. Sipas Raportit të Gjashtë të Vlerësimit (AR6)</w:t>
      </w:r>
      <w:r w:rsidR="003E2BA4" w:rsidRPr="001C61AE">
        <w:rPr>
          <w:rStyle w:val="FootnoteReference"/>
          <w:rFonts w:ascii="Arial" w:hAnsi="Arial" w:cs="Arial"/>
          <w:lang w:val="sq-AL"/>
        </w:rPr>
        <w:footnoteReference w:id="43"/>
      </w:r>
      <w:r w:rsidR="00FD1025" w:rsidRPr="001C61AE">
        <w:rPr>
          <w:rFonts w:ascii="Arial" w:hAnsi="Arial" w:cs="Arial"/>
          <w:lang w:val="sq-AL"/>
        </w:rPr>
        <w:t>, një reduktim i reshjeve mesatare vjetore dhe një rritje e periudhave të thata mund të çojnë në probleme lidhur me rënien dhe degradimin e rezervave ujore, si dhe me përmbytjet. Prandaj, objektivi kryesor është të sigurohet furnizim i qëndrueshëm me ujë dhe të parandalohet degradimi i resurseve ujore. Kjo nënvizon nevojën për zbatimin e procedurave dhe sistemeve efektive të menaxhimit të resurseve ujore</w:t>
      </w:r>
      <w:r w:rsidR="00561F88" w:rsidRPr="001C61AE">
        <w:rPr>
          <w:rFonts w:ascii="Arial" w:hAnsi="Arial" w:cs="Arial"/>
          <w:lang w:val="sq-AL"/>
        </w:rPr>
        <w:t>.</w:t>
      </w:r>
    </w:p>
    <w:p w14:paraId="5009E49D" w14:textId="6A177F41" w:rsidR="00561F88" w:rsidRPr="001C61AE" w:rsidRDefault="00561F88" w:rsidP="007A6AE2">
      <w:pPr>
        <w:pStyle w:val="Caption"/>
        <w:keepNext/>
        <w:spacing w:after="0"/>
        <w:jc w:val="right"/>
        <w:rPr>
          <w:rFonts w:ascii="Arial" w:hAnsi="Arial" w:cs="Arial"/>
          <w:color w:val="auto"/>
          <w:sz w:val="20"/>
          <w:szCs w:val="20"/>
          <w:lang w:val="sq-AL"/>
        </w:rPr>
      </w:pPr>
      <w:r w:rsidRPr="001C61AE">
        <w:rPr>
          <w:rFonts w:ascii="Arial" w:hAnsi="Arial" w:cs="Arial"/>
          <w:color w:val="auto"/>
          <w:sz w:val="20"/>
          <w:szCs w:val="20"/>
          <w:lang w:val="sq-AL"/>
        </w:rPr>
        <w:t xml:space="preserve"> </w:t>
      </w:r>
    </w:p>
    <w:p w14:paraId="064F05A0" w14:textId="0BBB2AB4" w:rsidR="002338BC" w:rsidRPr="001C61AE" w:rsidRDefault="00FD1025" w:rsidP="002338BC">
      <w:pPr>
        <w:keepNext/>
        <w:spacing w:line="240" w:lineRule="auto"/>
        <w:jc w:val="both"/>
        <w:rPr>
          <w:rFonts w:ascii="Arial" w:eastAsia="Times New Roman" w:hAnsi="Arial" w:cs="Arial"/>
          <w:b/>
          <w:bCs/>
          <w:kern w:val="0"/>
          <w:lang w:val="sq-AL" w:eastAsia="es-ES"/>
          <w14:ligatures w14:val="none"/>
        </w:rPr>
      </w:pPr>
      <w:r w:rsidRPr="001C61AE">
        <w:rPr>
          <w:rFonts w:ascii="Arial" w:eastAsia="Times New Roman" w:hAnsi="Arial" w:cs="Arial"/>
          <w:b/>
          <w:bCs/>
          <w:kern w:val="0"/>
          <w:lang w:val="sq-AL" w:eastAsia="es-ES"/>
          <w14:ligatures w14:val="none"/>
        </w:rPr>
        <w:t>Korniza e politikave</w:t>
      </w:r>
    </w:p>
    <w:p w14:paraId="0425277C" w14:textId="753FCBEE" w:rsidR="00FD1025" w:rsidRPr="001C61AE" w:rsidRDefault="00FD1025" w:rsidP="00FD1025">
      <w:pPr>
        <w:keepNext/>
        <w:jc w:val="both"/>
        <w:rPr>
          <w:rFonts w:ascii="Arial" w:hAnsi="Arial" w:cs="Arial"/>
          <w:lang w:val="sq-AL" w:eastAsia="es-ES"/>
        </w:rPr>
      </w:pPr>
      <w:r w:rsidRPr="001C61AE">
        <w:rPr>
          <w:rFonts w:ascii="Arial" w:eastAsia="Times New Roman" w:hAnsi="Arial" w:cs="Arial"/>
          <w:kern w:val="0"/>
          <w:lang w:val="sq-AL" w:eastAsia="es-ES"/>
          <w14:ligatures w14:val="none"/>
        </w:rPr>
        <w:t xml:space="preserve">Sektori i ujit në Kosovë funksionon në kuadër të një kornize të gjerë ligjore dhe institucionale, e ndërtuar për të siguruar menaxhim të qëndrueshëm, të drejtë dhe të qëndrueshëm ndaj klimës të </w:t>
      </w:r>
      <w:r w:rsidR="00BC00BE" w:rsidRPr="001C61AE">
        <w:rPr>
          <w:rFonts w:ascii="Arial" w:eastAsia="Times New Roman" w:hAnsi="Arial" w:cs="Arial"/>
          <w:kern w:val="0"/>
          <w:lang w:val="sq-AL" w:eastAsia="es-ES"/>
          <w14:ligatures w14:val="none"/>
        </w:rPr>
        <w:t>resurseve</w:t>
      </w:r>
      <w:r w:rsidRPr="001C61AE">
        <w:rPr>
          <w:rFonts w:ascii="Arial" w:eastAsia="Times New Roman" w:hAnsi="Arial" w:cs="Arial"/>
          <w:kern w:val="0"/>
          <w:lang w:val="sq-AL" w:eastAsia="es-ES"/>
          <w14:ligatures w14:val="none"/>
        </w:rPr>
        <w:t xml:space="preserve"> ujore. Themel i kësaj kornize është Ligji Nr. 04/L-147 për Ujërat e Kosovës</w:t>
      </w:r>
      <w:r w:rsidR="00E5631A" w:rsidRPr="001C61AE">
        <w:rPr>
          <w:rStyle w:val="FootnoteReference"/>
          <w:rFonts w:ascii="Arial" w:eastAsia="Times New Roman" w:hAnsi="Arial" w:cs="Arial"/>
          <w:kern w:val="0"/>
          <w:lang w:val="sq-AL" w:eastAsia="es-ES"/>
          <w14:ligatures w14:val="none"/>
        </w:rPr>
        <w:footnoteReference w:id="44"/>
      </w:r>
      <w:r w:rsidR="00B912C3" w:rsidRPr="001C61AE">
        <w:rPr>
          <w:rFonts w:ascii="Arial" w:eastAsia="Times New Roman" w:hAnsi="Arial" w:cs="Arial"/>
          <w:kern w:val="0"/>
          <w:lang w:val="sq-AL" w:eastAsia="es-ES"/>
          <w14:ligatures w14:val="none"/>
        </w:rPr>
        <w:t xml:space="preserve">, </w:t>
      </w:r>
      <w:r w:rsidRPr="001C61AE">
        <w:rPr>
          <w:rFonts w:ascii="Arial" w:hAnsi="Arial" w:cs="Arial"/>
          <w:lang w:val="sq-AL" w:eastAsia="es-ES"/>
        </w:rPr>
        <w:t xml:space="preserve">i cili vendos parimet e menaxhimit të integruar të </w:t>
      </w:r>
      <w:r w:rsidR="00BC00BE" w:rsidRPr="001C61AE">
        <w:rPr>
          <w:rFonts w:ascii="Arial" w:hAnsi="Arial" w:cs="Arial"/>
          <w:lang w:val="sq-AL" w:eastAsia="es-ES"/>
        </w:rPr>
        <w:t>resurseve</w:t>
      </w:r>
      <w:r w:rsidRPr="001C61AE">
        <w:rPr>
          <w:rFonts w:ascii="Arial" w:hAnsi="Arial" w:cs="Arial"/>
          <w:lang w:val="sq-AL" w:eastAsia="es-ES"/>
        </w:rPr>
        <w:t xml:space="preserve"> ujore dhe planifikimin sipas pellgjeve lumore, në përputhje me Direktivën Kuadër për Ujërat të Bashkimit Evropian. Ky ligj përcakton qartë rolet e institucioneve qendrore dhe lokale, qeverive komunale, si dhe forcon zbatimin e parimit ndotësi-paguan.</w:t>
      </w:r>
    </w:p>
    <w:p w14:paraId="74354779" w14:textId="025C49D1" w:rsidR="00FD1025" w:rsidRPr="001C61AE" w:rsidRDefault="00FD1025" w:rsidP="00FD1025">
      <w:pPr>
        <w:keepNext/>
        <w:jc w:val="both"/>
        <w:rPr>
          <w:rFonts w:ascii="Arial" w:hAnsi="Arial" w:cs="Arial"/>
          <w:lang w:val="sq-AL" w:eastAsia="es-ES"/>
        </w:rPr>
      </w:pPr>
      <w:r w:rsidRPr="001C61AE">
        <w:rPr>
          <w:rFonts w:ascii="Arial" w:eastAsia="Times New Roman" w:hAnsi="Arial" w:cs="Arial"/>
          <w:kern w:val="0"/>
          <w:lang w:val="sq-AL" w:eastAsia="es-ES"/>
          <w14:ligatures w14:val="none"/>
        </w:rPr>
        <w:t xml:space="preserve">Adaptimi ndaj ndryshimeve klimatike është duke u integruar gjithnjë e më shumë në qeverisjen sektoriale, i udhëhequr nga </w:t>
      </w:r>
      <w:r w:rsidR="00602281" w:rsidRPr="001C61AE">
        <w:rPr>
          <w:rFonts w:ascii="Arial" w:eastAsia="Times New Roman" w:hAnsi="Arial" w:cs="Arial"/>
          <w:kern w:val="0"/>
          <w:lang w:val="sq-AL" w:eastAsia="es-ES"/>
          <w14:ligatures w14:val="none"/>
        </w:rPr>
        <w:t xml:space="preserve">Ligji i Klimës </w:t>
      </w:r>
      <w:r w:rsidR="00B912C3" w:rsidRPr="001C61AE">
        <w:rPr>
          <w:rFonts w:ascii="Arial" w:eastAsia="Times New Roman" w:hAnsi="Arial" w:cs="Arial"/>
          <w:kern w:val="0"/>
          <w:lang w:val="sq-AL" w:eastAsia="es-ES"/>
          <w14:ligatures w14:val="none"/>
        </w:rPr>
        <w:t xml:space="preserve"> </w:t>
      </w:r>
      <w:r w:rsidRPr="001C61AE">
        <w:rPr>
          <w:rFonts w:ascii="Arial" w:hAnsi="Arial" w:cs="Arial"/>
          <w:lang w:val="sq-AL" w:eastAsia="es-ES"/>
        </w:rPr>
        <w:t xml:space="preserve">i cili detyron përfshirjen e objektivave të adaptimit dhe mitigimit në politikat </w:t>
      </w:r>
      <w:r w:rsidRPr="001C61AE">
        <w:rPr>
          <w:rFonts w:ascii="Arial" w:hAnsi="Arial" w:cs="Arial"/>
          <w:lang w:val="sq-AL" w:eastAsia="es-ES"/>
        </w:rPr>
        <w:lastRenderedPageBreak/>
        <w:t>kombëtare. Ky ligj ofron një mandat ligjor për të gjitha institucionet që merren me çështjet e ujit që të harmonizojnë veprimet e tyre me objektivat kombëtare për klimën dhe obligimet ndërkombëtare.</w:t>
      </w:r>
    </w:p>
    <w:p w14:paraId="3540A3C8" w14:textId="3FC9365A" w:rsidR="00FD1025" w:rsidRPr="001C61AE" w:rsidRDefault="00FD1025" w:rsidP="00FD1025">
      <w:pPr>
        <w:keepNext/>
        <w:jc w:val="both"/>
        <w:rPr>
          <w:rFonts w:ascii="Arial" w:hAnsi="Arial" w:cs="Arial"/>
          <w:lang w:val="sq-AL" w:eastAsia="es-ES"/>
        </w:rPr>
      </w:pPr>
      <w:r w:rsidRPr="001C61AE">
        <w:rPr>
          <w:rFonts w:ascii="Arial" w:eastAsia="Times New Roman" w:hAnsi="Arial" w:cs="Arial"/>
          <w:kern w:val="0"/>
          <w:lang w:val="sq-AL" w:eastAsia="es-ES"/>
          <w14:ligatures w14:val="none"/>
        </w:rPr>
        <w:t>Rregullimi dhe ofrimi i shërbimeve të ujit bëhen në përputhje me Ligjin Nr. 05/L-042 për Rregullimin e Shërbimeve të Ujit</w:t>
      </w:r>
      <w:r w:rsidR="00E5631A" w:rsidRPr="001C61AE">
        <w:rPr>
          <w:rStyle w:val="FootnoteReference"/>
          <w:rFonts w:ascii="Arial" w:eastAsia="Times New Roman" w:hAnsi="Arial" w:cs="Arial"/>
          <w:kern w:val="0"/>
          <w:lang w:val="sq-AL" w:eastAsia="es-ES"/>
          <w14:ligatures w14:val="none"/>
        </w:rPr>
        <w:footnoteReference w:id="45"/>
      </w:r>
      <w:r w:rsidR="00B912C3" w:rsidRPr="001C61AE">
        <w:rPr>
          <w:rFonts w:ascii="Arial" w:eastAsia="Times New Roman" w:hAnsi="Arial" w:cs="Arial"/>
          <w:kern w:val="0"/>
          <w:lang w:val="sq-AL" w:eastAsia="es-ES"/>
          <w14:ligatures w14:val="none"/>
        </w:rPr>
        <w:t xml:space="preserve">, </w:t>
      </w:r>
      <w:r w:rsidRPr="001C61AE">
        <w:rPr>
          <w:rFonts w:ascii="Arial" w:eastAsia="Times New Roman" w:hAnsi="Arial" w:cs="Arial"/>
          <w:kern w:val="0"/>
          <w:lang w:val="sq-AL" w:eastAsia="es-ES"/>
          <w14:ligatures w14:val="none"/>
        </w:rPr>
        <w:t>i ndryshuar me Ligjin Nr. 06/L-088</w:t>
      </w:r>
      <w:r w:rsidR="00E5631A" w:rsidRPr="001C61AE">
        <w:rPr>
          <w:rStyle w:val="FootnoteReference"/>
          <w:rFonts w:ascii="Arial" w:eastAsia="Times New Roman" w:hAnsi="Arial" w:cs="Arial"/>
          <w:kern w:val="0"/>
          <w:lang w:val="sq-AL" w:eastAsia="es-ES"/>
          <w14:ligatures w14:val="none"/>
        </w:rPr>
        <w:footnoteReference w:id="46"/>
      </w:r>
      <w:r w:rsidR="00B912C3" w:rsidRPr="001C61AE">
        <w:rPr>
          <w:rFonts w:ascii="Arial" w:eastAsia="Times New Roman" w:hAnsi="Arial" w:cs="Arial"/>
          <w:kern w:val="0"/>
          <w:lang w:val="sq-AL" w:eastAsia="es-ES"/>
          <w14:ligatures w14:val="none"/>
        </w:rPr>
        <w:t xml:space="preserve">, </w:t>
      </w:r>
      <w:r w:rsidRPr="001C61AE">
        <w:rPr>
          <w:rFonts w:ascii="Arial" w:hAnsi="Arial" w:cs="Arial"/>
          <w:lang w:val="sq-AL" w:eastAsia="es-ES"/>
        </w:rPr>
        <w:t>cili themelon Autoritetin Rregullativ për Shërbimet e Ujit. Kjo kornizë siguron mbikëqyrje të pavarur të licencimit, tarifave, standardeve të shërbimit dhe mbrojtje</w:t>
      </w:r>
      <w:r w:rsidR="002C52B1" w:rsidRPr="001C61AE">
        <w:rPr>
          <w:rFonts w:ascii="Arial" w:hAnsi="Arial" w:cs="Arial"/>
          <w:lang w:val="sq-AL" w:eastAsia="es-ES"/>
        </w:rPr>
        <w:t xml:space="preserve">s </w:t>
      </w:r>
      <w:r w:rsidRPr="001C61AE">
        <w:rPr>
          <w:rFonts w:ascii="Arial" w:hAnsi="Arial" w:cs="Arial"/>
          <w:lang w:val="sq-AL" w:eastAsia="es-ES"/>
        </w:rPr>
        <w:t>së konsumatorit, duke sqaruar gjithashtu përgjegjësitë për investime të Kompanive Rajonale të Ujësjellësit (KRUs) dhe Ministrisë përgjegjëse për ndërmarrjet publike.</w:t>
      </w:r>
    </w:p>
    <w:p w14:paraId="6A13BD84" w14:textId="2C3CB62F" w:rsidR="00B912C3" w:rsidRPr="001C61AE" w:rsidRDefault="00FD1025" w:rsidP="00FD1025">
      <w:pPr>
        <w:keepNext/>
        <w:spacing w:line="240" w:lineRule="auto"/>
        <w:jc w:val="both"/>
        <w:rPr>
          <w:rFonts w:ascii="Arial" w:eastAsia="Times New Roman" w:hAnsi="Arial" w:cs="Arial"/>
          <w:kern w:val="0"/>
          <w:lang w:val="sq-AL" w:eastAsia="es-ES"/>
          <w14:ligatures w14:val="none"/>
        </w:rPr>
      </w:pPr>
      <w:r w:rsidRPr="001C61AE">
        <w:rPr>
          <w:rFonts w:ascii="Arial" w:eastAsia="Times New Roman" w:hAnsi="Arial" w:cs="Arial"/>
          <w:kern w:val="0"/>
          <w:lang w:val="sq-AL" w:eastAsia="es-ES"/>
          <w14:ligatures w14:val="none"/>
        </w:rPr>
        <w:t>Këto dispozita mbështeten më tej nga Ligji Nr. 03/L-087 për Ndërmarrjet Publike</w:t>
      </w:r>
      <w:r w:rsidR="00E5631A" w:rsidRPr="001C61AE">
        <w:rPr>
          <w:rStyle w:val="FootnoteReference"/>
          <w:rFonts w:ascii="Arial" w:eastAsia="Times New Roman" w:hAnsi="Arial" w:cs="Arial"/>
          <w:kern w:val="0"/>
          <w:lang w:val="sq-AL" w:eastAsia="es-ES"/>
          <w14:ligatures w14:val="none"/>
        </w:rPr>
        <w:footnoteReference w:id="47"/>
      </w:r>
      <w:r w:rsidR="00B912C3" w:rsidRPr="001C61AE">
        <w:rPr>
          <w:rFonts w:ascii="Arial" w:eastAsia="Times New Roman" w:hAnsi="Arial" w:cs="Arial"/>
          <w:kern w:val="0"/>
          <w:lang w:val="sq-AL" w:eastAsia="es-ES"/>
          <w14:ligatures w14:val="none"/>
        </w:rPr>
        <w:t xml:space="preserve">, </w:t>
      </w:r>
      <w:r w:rsidRPr="001C61AE">
        <w:rPr>
          <w:rFonts w:ascii="Arial" w:eastAsia="Times New Roman" w:hAnsi="Arial" w:cs="Arial"/>
          <w:kern w:val="0"/>
          <w:lang w:val="sq-AL" w:eastAsia="es-ES"/>
          <w14:ligatures w14:val="none"/>
        </w:rPr>
        <w:t>i ndryshuar me Ligjin Nr. 04/L-111</w:t>
      </w:r>
      <w:r w:rsidR="00E5631A" w:rsidRPr="001C61AE">
        <w:rPr>
          <w:rStyle w:val="FootnoteReference"/>
          <w:rFonts w:ascii="Arial" w:eastAsia="Times New Roman" w:hAnsi="Arial" w:cs="Arial"/>
          <w:kern w:val="0"/>
          <w:lang w:val="sq-AL" w:eastAsia="es-ES"/>
          <w14:ligatures w14:val="none"/>
        </w:rPr>
        <w:footnoteReference w:id="48"/>
      </w:r>
      <w:r w:rsidR="00B912C3" w:rsidRPr="001C61AE">
        <w:rPr>
          <w:rFonts w:ascii="Arial" w:eastAsia="Times New Roman" w:hAnsi="Arial" w:cs="Arial"/>
          <w:kern w:val="0"/>
          <w:lang w:val="sq-AL" w:eastAsia="es-ES"/>
          <w14:ligatures w14:val="none"/>
        </w:rPr>
        <w:t xml:space="preserve"> </w:t>
      </w:r>
      <w:r w:rsidRPr="001C61AE">
        <w:rPr>
          <w:rFonts w:ascii="Arial" w:eastAsia="Times New Roman" w:hAnsi="Arial" w:cs="Arial"/>
          <w:kern w:val="0"/>
          <w:lang w:val="sq-AL" w:eastAsia="es-ES"/>
          <w14:ligatures w14:val="none"/>
        </w:rPr>
        <w:t>dhe Ligjin Nr. 05/L-009</w:t>
      </w:r>
      <w:r w:rsidR="00E5631A" w:rsidRPr="001C61AE">
        <w:rPr>
          <w:rStyle w:val="FootnoteReference"/>
          <w:rFonts w:ascii="Arial" w:eastAsia="Times New Roman" w:hAnsi="Arial" w:cs="Arial"/>
          <w:kern w:val="0"/>
          <w:lang w:val="sq-AL" w:eastAsia="es-ES"/>
          <w14:ligatures w14:val="none"/>
        </w:rPr>
        <w:footnoteReference w:id="49"/>
      </w:r>
      <w:r w:rsidR="00B912C3" w:rsidRPr="001C61AE">
        <w:rPr>
          <w:rFonts w:ascii="Arial" w:eastAsia="Times New Roman" w:hAnsi="Arial" w:cs="Arial"/>
          <w:kern w:val="0"/>
          <w:lang w:val="sq-AL" w:eastAsia="es-ES"/>
          <w14:ligatures w14:val="none"/>
        </w:rPr>
        <w:t xml:space="preserve">, </w:t>
      </w:r>
      <w:r w:rsidRPr="001C61AE">
        <w:rPr>
          <w:rFonts w:ascii="Arial" w:eastAsia="Times New Roman" w:hAnsi="Arial" w:cs="Arial"/>
          <w:kern w:val="0"/>
          <w:lang w:val="sq-AL" w:eastAsia="es-ES"/>
          <w14:ligatures w14:val="none"/>
        </w:rPr>
        <w:t>i cili përcakton strukturën e qeverisjes së KRUs-ve si ndërmarrje publike qendrore dhe rolin e përfaqësimit komunal në mbikëqyrjen e tyre, të rregulluar me Rregulloren Nr. 02/2013</w:t>
      </w:r>
      <w:r w:rsidR="00B912C3" w:rsidRPr="001C61AE">
        <w:rPr>
          <w:rFonts w:ascii="Arial" w:eastAsia="Times New Roman" w:hAnsi="Arial" w:cs="Arial"/>
          <w:kern w:val="0"/>
          <w:lang w:val="sq-AL" w:eastAsia="es-ES"/>
          <w14:ligatures w14:val="none"/>
        </w:rPr>
        <w:t>.</w:t>
      </w:r>
    </w:p>
    <w:p w14:paraId="793E9064" w14:textId="4F8FECC0" w:rsidR="00E34389" w:rsidRPr="001C61AE" w:rsidRDefault="00AF36AD" w:rsidP="00E34389">
      <w:pPr>
        <w:keepNext/>
        <w:spacing w:line="240" w:lineRule="auto"/>
        <w:jc w:val="both"/>
        <w:rPr>
          <w:rFonts w:ascii="Arial" w:eastAsia="Times New Roman" w:hAnsi="Arial" w:cs="Arial"/>
          <w:kern w:val="0"/>
          <w:lang w:val="sq-AL" w:eastAsia="es-ES"/>
          <w14:ligatures w14:val="none"/>
        </w:rPr>
      </w:pPr>
      <w:r w:rsidRPr="001C61AE">
        <w:rPr>
          <w:rFonts w:ascii="Arial" w:eastAsia="Times New Roman" w:hAnsi="Arial" w:cs="Arial"/>
          <w:kern w:val="0"/>
          <w:lang w:val="sq-AL" w:eastAsia="es-ES"/>
          <w14:ligatures w14:val="none"/>
        </w:rPr>
        <w:t xml:space="preserve">Të dhënat për ujërat nëntokësore dhe informacioni gjeologjik, të domosdoshme për planifikimin strategjik të </w:t>
      </w:r>
      <w:r w:rsidR="00BC00BE" w:rsidRPr="001C61AE">
        <w:rPr>
          <w:rFonts w:ascii="Arial" w:eastAsia="Times New Roman" w:hAnsi="Arial" w:cs="Arial"/>
          <w:kern w:val="0"/>
          <w:lang w:val="sq-AL" w:eastAsia="es-ES"/>
          <w14:ligatures w14:val="none"/>
        </w:rPr>
        <w:t>resurseve</w:t>
      </w:r>
      <w:r w:rsidRPr="001C61AE">
        <w:rPr>
          <w:rFonts w:ascii="Arial" w:eastAsia="Times New Roman" w:hAnsi="Arial" w:cs="Arial"/>
          <w:kern w:val="0"/>
          <w:lang w:val="sq-AL" w:eastAsia="es-ES"/>
          <w14:ligatures w14:val="none"/>
        </w:rPr>
        <w:t xml:space="preserve"> ujore dhe përgatitjen ndaj thatësirave, trajtohen përmes Ligjit Nr. 06/L-039 për Shërbimin Gjeologjik të Kosovës</w:t>
      </w:r>
      <w:r w:rsidR="00E5631A" w:rsidRPr="001C61AE">
        <w:rPr>
          <w:rStyle w:val="FootnoteReference"/>
          <w:rFonts w:ascii="Arial" w:eastAsia="Times New Roman" w:hAnsi="Arial" w:cs="Arial"/>
          <w:kern w:val="0"/>
          <w:lang w:val="sq-AL" w:eastAsia="es-ES"/>
          <w14:ligatures w14:val="none"/>
        </w:rPr>
        <w:footnoteReference w:id="50"/>
      </w:r>
      <w:r w:rsidR="00B912C3" w:rsidRPr="001C61AE">
        <w:rPr>
          <w:rFonts w:ascii="Arial" w:eastAsia="Times New Roman" w:hAnsi="Arial" w:cs="Arial"/>
          <w:kern w:val="0"/>
          <w:lang w:val="sq-AL" w:eastAsia="es-ES"/>
          <w14:ligatures w14:val="none"/>
        </w:rPr>
        <w:t xml:space="preserve">, </w:t>
      </w:r>
      <w:r w:rsidR="00E34389" w:rsidRPr="001C61AE">
        <w:rPr>
          <w:rFonts w:ascii="Arial" w:eastAsia="Times New Roman" w:hAnsi="Arial" w:cs="Arial"/>
          <w:kern w:val="0"/>
          <w:lang w:val="sq-AL" w:eastAsia="es-ES"/>
          <w14:ligatures w14:val="none"/>
        </w:rPr>
        <w:t>i cili mandaton monitorimin dhe hulumtimin hidrogeologjik nga Shërbimi Gjeologjik i Kosovës. Në mënyrë plotësuese, Ligji Nr. 06/L-035 për Veprimtari Hidrometeorologjike</w:t>
      </w:r>
      <w:r w:rsidR="00E5631A" w:rsidRPr="001C61AE">
        <w:rPr>
          <w:rStyle w:val="FootnoteReference"/>
          <w:rFonts w:ascii="Arial" w:eastAsia="Times New Roman" w:hAnsi="Arial" w:cs="Arial"/>
          <w:kern w:val="0"/>
          <w:lang w:val="sq-AL" w:eastAsia="es-ES"/>
          <w14:ligatures w14:val="none"/>
        </w:rPr>
        <w:footnoteReference w:id="51"/>
      </w:r>
      <w:r w:rsidR="00B912C3" w:rsidRPr="001C61AE">
        <w:rPr>
          <w:rFonts w:ascii="Arial" w:eastAsia="Times New Roman" w:hAnsi="Arial" w:cs="Arial"/>
          <w:kern w:val="0"/>
          <w:lang w:val="sq-AL" w:eastAsia="es-ES"/>
          <w14:ligatures w14:val="none"/>
        </w:rPr>
        <w:t xml:space="preserve"> </w:t>
      </w:r>
      <w:r w:rsidR="00E34389" w:rsidRPr="001C61AE">
        <w:rPr>
          <w:rFonts w:ascii="Arial" w:eastAsia="Times New Roman" w:hAnsi="Arial" w:cs="Arial"/>
          <w:kern w:val="0"/>
          <w:lang w:val="sq-AL" w:eastAsia="es-ES"/>
          <w14:ligatures w14:val="none"/>
        </w:rPr>
        <w:t>siguron mbledhjen dhe shpërndarjen sistematike të të dhënave hidrologjike dhe meteorologjike, të cilat shërbejnë si bazë për sistemet e paralajmërimit të hershëm dhe për menaxhimin e ujërave të bazuar në të dhëna klimatike.</w:t>
      </w:r>
    </w:p>
    <w:p w14:paraId="755CBEF7" w14:textId="770C7F83" w:rsidR="00BC00BE" w:rsidRPr="001C61AE" w:rsidRDefault="00E34389" w:rsidP="00BC00BE">
      <w:pPr>
        <w:keepNext/>
        <w:jc w:val="both"/>
        <w:rPr>
          <w:rFonts w:ascii="Arial" w:hAnsi="Arial" w:cs="Arial"/>
          <w:lang w:val="sq-AL" w:eastAsia="es-ES"/>
        </w:rPr>
      </w:pPr>
      <w:r w:rsidRPr="001C61AE">
        <w:rPr>
          <w:rFonts w:ascii="Arial" w:eastAsia="Times New Roman" w:hAnsi="Arial" w:cs="Arial"/>
          <w:kern w:val="0"/>
          <w:lang w:val="sq-AL" w:eastAsia="es-ES"/>
          <w14:ligatures w14:val="none"/>
        </w:rPr>
        <w:t>Masat mbrojtëse mjedisore janë të integruara përmes Ligjit Nr. 03/L-025 për Mbrojtjen e Mjedisit</w:t>
      </w:r>
      <w:r w:rsidR="00E5631A" w:rsidRPr="001C61AE">
        <w:rPr>
          <w:rStyle w:val="FootnoteReference"/>
          <w:rFonts w:ascii="Arial" w:eastAsia="Times New Roman" w:hAnsi="Arial" w:cs="Arial"/>
          <w:kern w:val="0"/>
          <w:lang w:val="sq-AL" w:eastAsia="es-ES"/>
          <w14:ligatures w14:val="none"/>
        </w:rPr>
        <w:footnoteReference w:id="52"/>
      </w:r>
      <w:r w:rsidR="00B912C3" w:rsidRPr="001C61AE">
        <w:rPr>
          <w:rFonts w:ascii="Arial" w:eastAsia="Times New Roman" w:hAnsi="Arial" w:cs="Arial"/>
          <w:kern w:val="0"/>
          <w:lang w:val="sq-AL" w:eastAsia="es-ES"/>
          <w14:ligatures w14:val="none"/>
        </w:rPr>
        <w:t xml:space="preserve">, </w:t>
      </w:r>
      <w:r w:rsidR="00BC00BE" w:rsidRPr="001C61AE">
        <w:rPr>
          <w:rFonts w:ascii="Arial" w:eastAsia="Times New Roman" w:hAnsi="Arial" w:cs="Arial"/>
          <w:kern w:val="0"/>
          <w:lang w:val="sq-AL" w:eastAsia="es-ES"/>
          <w14:ligatures w14:val="none"/>
        </w:rPr>
        <w:t>i cili rregullon kontrollin e ndotjes, lejet mjedisore dhe përdorimin e qëndrueshëm të resurseve natyrore, si dhe përmes Ligjit Nr. 03/L-233 për Mbrojtjen e Natyrës</w:t>
      </w:r>
      <w:r w:rsidR="00E5631A" w:rsidRPr="001C61AE">
        <w:rPr>
          <w:rStyle w:val="FootnoteReference"/>
          <w:rFonts w:ascii="Arial" w:eastAsia="Times New Roman" w:hAnsi="Arial" w:cs="Arial"/>
          <w:kern w:val="0"/>
          <w:lang w:val="sq-AL" w:eastAsia="es-ES"/>
          <w14:ligatures w14:val="none"/>
        </w:rPr>
        <w:footnoteReference w:id="53"/>
      </w:r>
      <w:r w:rsidR="00B912C3" w:rsidRPr="001C61AE">
        <w:rPr>
          <w:rFonts w:ascii="Arial" w:eastAsia="Times New Roman" w:hAnsi="Arial" w:cs="Arial"/>
          <w:kern w:val="0"/>
          <w:lang w:val="sq-AL" w:eastAsia="es-ES"/>
          <w14:ligatures w14:val="none"/>
        </w:rPr>
        <w:t xml:space="preserve">, </w:t>
      </w:r>
      <w:r w:rsidR="00BC00BE" w:rsidRPr="001C61AE">
        <w:rPr>
          <w:rFonts w:ascii="Arial" w:hAnsi="Arial" w:cs="Arial"/>
          <w:lang w:val="sq-AL" w:eastAsia="es-ES"/>
        </w:rPr>
        <w:t>i cili siguron që biodiversiteti, zonat e mbrojtura dhe ekosistemet ujore të ruhen në kuadër të vendimmarrjes për menaxhimin e ujit.</w:t>
      </w:r>
    </w:p>
    <w:p w14:paraId="380DB7DC" w14:textId="475596F8" w:rsidR="00B912C3" w:rsidRPr="001C61AE" w:rsidRDefault="00BC00BE" w:rsidP="00BC00BE">
      <w:pPr>
        <w:keepNext/>
        <w:spacing w:line="240" w:lineRule="auto"/>
        <w:jc w:val="both"/>
        <w:rPr>
          <w:rFonts w:ascii="Arial" w:eastAsia="Times New Roman" w:hAnsi="Arial" w:cs="Arial"/>
          <w:kern w:val="0"/>
          <w:lang w:val="sq-AL" w:eastAsia="es-ES"/>
          <w14:ligatures w14:val="none"/>
        </w:rPr>
      </w:pPr>
      <w:r w:rsidRPr="001C61AE">
        <w:rPr>
          <w:rFonts w:ascii="Arial" w:eastAsia="Times New Roman" w:hAnsi="Arial" w:cs="Arial"/>
          <w:kern w:val="0"/>
          <w:lang w:val="sq-AL" w:eastAsia="es-ES"/>
          <w14:ligatures w14:val="none"/>
        </w:rPr>
        <w:t>Në nivel territorial, Ligji Nr. 04/L-174 për Planifikimin Hapësinor</w:t>
      </w:r>
      <w:r w:rsidR="00E5631A" w:rsidRPr="001C61AE">
        <w:rPr>
          <w:rStyle w:val="FootnoteReference"/>
          <w:rFonts w:ascii="Arial" w:eastAsia="Times New Roman" w:hAnsi="Arial" w:cs="Arial"/>
          <w:kern w:val="0"/>
          <w:lang w:val="sq-AL" w:eastAsia="es-ES"/>
          <w14:ligatures w14:val="none"/>
        </w:rPr>
        <w:footnoteReference w:id="54"/>
      </w:r>
      <w:r w:rsidR="00B912C3" w:rsidRPr="001C61AE">
        <w:rPr>
          <w:rFonts w:ascii="Arial" w:eastAsia="Times New Roman" w:hAnsi="Arial" w:cs="Arial"/>
          <w:kern w:val="0"/>
          <w:lang w:val="sq-AL" w:eastAsia="es-ES"/>
          <w14:ligatures w14:val="none"/>
        </w:rPr>
        <w:t xml:space="preserve"> </w:t>
      </w:r>
      <w:r w:rsidRPr="001C61AE">
        <w:rPr>
          <w:rFonts w:ascii="Arial" w:eastAsia="Times New Roman" w:hAnsi="Arial" w:cs="Arial"/>
          <w:kern w:val="0"/>
          <w:lang w:val="sq-AL" w:eastAsia="es-ES"/>
          <w14:ligatures w14:val="none"/>
        </w:rPr>
        <w:t>rregullon planifikimin e përdorimit të tokës dhe siguron që zhvillimi i infrastrukturës ujore të jetë në përputhje me planet zhvillimore hapësinore në nivel qendror dhe komunal. Kjo përforcohet nga Ligji Nr. 03/L-040 për Vetëqeverisjen Lokale</w:t>
      </w:r>
      <w:r w:rsidR="00E5631A" w:rsidRPr="001C61AE">
        <w:rPr>
          <w:rStyle w:val="FootnoteReference"/>
          <w:rFonts w:ascii="Arial" w:eastAsia="Times New Roman" w:hAnsi="Arial" w:cs="Arial"/>
          <w:kern w:val="0"/>
          <w:lang w:val="sq-AL" w:eastAsia="es-ES"/>
          <w14:ligatures w14:val="none"/>
        </w:rPr>
        <w:footnoteReference w:id="55"/>
      </w:r>
      <w:r w:rsidR="00B912C3" w:rsidRPr="001C61AE">
        <w:rPr>
          <w:rFonts w:ascii="Arial" w:eastAsia="Times New Roman" w:hAnsi="Arial" w:cs="Arial"/>
          <w:kern w:val="0"/>
          <w:lang w:val="sq-AL" w:eastAsia="es-ES"/>
          <w14:ligatures w14:val="none"/>
        </w:rPr>
        <w:t xml:space="preserve">, </w:t>
      </w:r>
      <w:r w:rsidRPr="001C61AE">
        <w:rPr>
          <w:rFonts w:ascii="Arial" w:eastAsia="Times New Roman" w:hAnsi="Arial" w:cs="Arial"/>
          <w:kern w:val="0"/>
          <w:lang w:val="sq-AL" w:eastAsia="es-ES"/>
          <w14:ligatures w14:val="none"/>
        </w:rPr>
        <w:t>i cili delegon përgjegjësitë për furnizimin me ujë, kanalizimet dhe trajtimin e ujërave të ndotura te komunat, zakonisht të zbatuara përmes kontratave të shërbimit me KRUs</w:t>
      </w:r>
      <w:r w:rsidR="00B912C3" w:rsidRPr="001C61AE">
        <w:rPr>
          <w:rFonts w:ascii="Arial" w:eastAsia="Times New Roman" w:hAnsi="Arial" w:cs="Arial"/>
          <w:kern w:val="0"/>
          <w:lang w:val="sq-AL" w:eastAsia="es-ES"/>
          <w14:ligatures w14:val="none"/>
        </w:rPr>
        <w:t>.</w:t>
      </w:r>
    </w:p>
    <w:p w14:paraId="01533B02" w14:textId="2536F091" w:rsidR="00B912C3" w:rsidRPr="001C61AE" w:rsidRDefault="00BC00BE" w:rsidP="00B912C3">
      <w:pPr>
        <w:keepNext/>
        <w:spacing w:line="240" w:lineRule="auto"/>
        <w:jc w:val="both"/>
        <w:rPr>
          <w:rFonts w:ascii="Arial" w:eastAsia="Times New Roman" w:hAnsi="Arial" w:cs="Arial"/>
          <w:kern w:val="0"/>
          <w:lang w:val="sq-AL" w:eastAsia="es-ES"/>
          <w14:ligatures w14:val="none"/>
        </w:rPr>
      </w:pPr>
      <w:r w:rsidRPr="001C61AE">
        <w:rPr>
          <w:rFonts w:ascii="Arial" w:eastAsia="Times New Roman" w:hAnsi="Arial" w:cs="Arial"/>
          <w:kern w:val="0"/>
          <w:lang w:val="sq-AL" w:eastAsia="es-ES"/>
          <w14:ligatures w14:val="none"/>
        </w:rPr>
        <w:t>Dimensionet e shëndetit dhe sigurisë trajtohen përmes Ligjit Nr. 02/L-078 për Shëndetësinë Publike</w:t>
      </w:r>
      <w:r w:rsidR="00E5631A" w:rsidRPr="001C61AE">
        <w:rPr>
          <w:rStyle w:val="FootnoteReference"/>
          <w:rFonts w:ascii="Arial" w:eastAsia="Times New Roman" w:hAnsi="Arial" w:cs="Arial"/>
          <w:kern w:val="0"/>
          <w:lang w:val="sq-AL" w:eastAsia="es-ES"/>
          <w14:ligatures w14:val="none"/>
        </w:rPr>
        <w:footnoteReference w:id="56"/>
      </w:r>
      <w:r w:rsidR="00B912C3" w:rsidRPr="001C61AE">
        <w:rPr>
          <w:rFonts w:ascii="Arial" w:eastAsia="Times New Roman" w:hAnsi="Arial" w:cs="Arial"/>
          <w:kern w:val="0"/>
          <w:lang w:val="sq-AL" w:eastAsia="es-ES"/>
          <w14:ligatures w14:val="none"/>
        </w:rPr>
        <w:t xml:space="preserve">, </w:t>
      </w:r>
      <w:r w:rsidRPr="001C61AE">
        <w:rPr>
          <w:rFonts w:ascii="Arial" w:eastAsia="Times New Roman" w:hAnsi="Arial" w:cs="Arial"/>
          <w:kern w:val="0"/>
          <w:lang w:val="sq-AL" w:eastAsia="es-ES"/>
          <w14:ligatures w14:val="none"/>
        </w:rPr>
        <w:t>ndryshuar me Ligjin Nr. 08/L-048</w:t>
      </w:r>
      <w:r w:rsidR="00181218" w:rsidRPr="001C61AE">
        <w:rPr>
          <w:rStyle w:val="FootnoteReference"/>
          <w:rFonts w:ascii="Arial" w:eastAsia="Times New Roman" w:hAnsi="Arial" w:cs="Arial"/>
          <w:kern w:val="0"/>
          <w:lang w:val="sq-AL" w:eastAsia="es-ES"/>
          <w14:ligatures w14:val="none"/>
        </w:rPr>
        <w:footnoteReference w:id="57"/>
      </w:r>
      <w:r w:rsidR="00B912C3" w:rsidRPr="001C61AE">
        <w:rPr>
          <w:rFonts w:ascii="Arial" w:eastAsia="Times New Roman" w:hAnsi="Arial" w:cs="Arial"/>
          <w:kern w:val="0"/>
          <w:lang w:val="sq-AL" w:eastAsia="es-ES"/>
          <w14:ligatures w14:val="none"/>
        </w:rPr>
        <w:t xml:space="preserve">, </w:t>
      </w:r>
      <w:r w:rsidRPr="001C61AE">
        <w:rPr>
          <w:rFonts w:ascii="Arial" w:eastAsia="Times New Roman" w:hAnsi="Arial" w:cs="Arial"/>
          <w:kern w:val="0"/>
          <w:lang w:val="sq-AL" w:eastAsia="es-ES"/>
          <w14:ligatures w14:val="none"/>
        </w:rPr>
        <w:t>i cili i jep Institutit Kombëtar të Shëndetësisë Publike (IKShPK) përgjegjësinë për monitorimin e cilësisë së ujit të pijshëm. Kjo zbatohet përmes Udhëzimit Administrativ (QRK) Nr. 10/2021 për Cilësinë e Ujit të Destinuar për Konsum Njerëzor</w:t>
      </w:r>
      <w:r w:rsidR="00A146F8" w:rsidRPr="001C61AE">
        <w:rPr>
          <w:rFonts w:ascii="Arial" w:eastAsia="Times New Roman" w:hAnsi="Arial" w:cs="Arial"/>
          <w:kern w:val="0"/>
          <w:lang w:val="sq-AL" w:eastAsia="es-ES"/>
          <w14:ligatures w14:val="none"/>
        </w:rPr>
        <w:t>.</w:t>
      </w:r>
      <w:r w:rsidR="00181218" w:rsidRPr="001C61AE">
        <w:rPr>
          <w:rStyle w:val="FootnoteReference"/>
          <w:rFonts w:ascii="Arial" w:eastAsia="Times New Roman" w:hAnsi="Arial" w:cs="Arial"/>
          <w:kern w:val="0"/>
          <w:lang w:val="sq-AL" w:eastAsia="es-ES"/>
          <w14:ligatures w14:val="none"/>
        </w:rPr>
        <w:footnoteReference w:id="58"/>
      </w:r>
    </w:p>
    <w:p w14:paraId="710B6529" w14:textId="1C7D8E47" w:rsidR="00B912C3" w:rsidRPr="001C61AE" w:rsidRDefault="00BC00BE" w:rsidP="00B912C3">
      <w:pPr>
        <w:keepNext/>
        <w:spacing w:line="240" w:lineRule="auto"/>
        <w:jc w:val="both"/>
        <w:rPr>
          <w:rFonts w:ascii="Arial" w:eastAsia="Times New Roman" w:hAnsi="Arial" w:cs="Arial"/>
          <w:kern w:val="0"/>
          <w:lang w:val="sq-AL" w:eastAsia="es-ES"/>
          <w14:ligatures w14:val="none"/>
        </w:rPr>
      </w:pPr>
      <w:r w:rsidRPr="001C61AE">
        <w:rPr>
          <w:rFonts w:ascii="Arial" w:eastAsia="Times New Roman" w:hAnsi="Arial" w:cs="Arial"/>
          <w:kern w:val="0"/>
          <w:lang w:val="sq-AL" w:eastAsia="es-ES"/>
          <w14:ligatures w14:val="none"/>
        </w:rPr>
        <w:t>Së fundi, Ligji Nr. 02/L-9 për Ujitjen e Tokave Bujqësore</w:t>
      </w:r>
      <w:r w:rsidR="00181218" w:rsidRPr="001C61AE">
        <w:rPr>
          <w:rStyle w:val="FootnoteReference"/>
          <w:rFonts w:ascii="Arial" w:eastAsia="Times New Roman" w:hAnsi="Arial" w:cs="Arial"/>
          <w:kern w:val="0"/>
          <w:lang w:val="sq-AL" w:eastAsia="es-ES"/>
          <w14:ligatures w14:val="none"/>
        </w:rPr>
        <w:footnoteReference w:id="59"/>
      </w:r>
      <w:r w:rsidR="00B912C3" w:rsidRPr="001C61AE">
        <w:rPr>
          <w:rFonts w:ascii="Arial" w:eastAsia="Times New Roman" w:hAnsi="Arial" w:cs="Arial"/>
          <w:kern w:val="0"/>
          <w:lang w:val="sq-AL" w:eastAsia="es-ES"/>
          <w14:ligatures w14:val="none"/>
        </w:rPr>
        <w:t xml:space="preserve">, </w:t>
      </w:r>
      <w:r w:rsidRPr="001C61AE">
        <w:rPr>
          <w:rFonts w:ascii="Arial" w:eastAsia="Times New Roman" w:hAnsi="Arial" w:cs="Arial"/>
          <w:kern w:val="0"/>
          <w:lang w:val="sq-AL" w:eastAsia="es-ES"/>
          <w14:ligatures w14:val="none"/>
        </w:rPr>
        <w:t>i ndryshuar me Ligjin Nr. 03/L-198</w:t>
      </w:r>
      <w:r w:rsidR="00181218" w:rsidRPr="001C61AE">
        <w:rPr>
          <w:rStyle w:val="FootnoteReference"/>
          <w:rFonts w:ascii="Arial" w:eastAsia="Times New Roman" w:hAnsi="Arial" w:cs="Arial"/>
          <w:kern w:val="0"/>
          <w:lang w:val="sq-AL" w:eastAsia="es-ES"/>
          <w14:ligatures w14:val="none"/>
        </w:rPr>
        <w:footnoteReference w:id="60"/>
      </w:r>
      <w:r w:rsidR="00B912C3" w:rsidRPr="001C61AE">
        <w:rPr>
          <w:rFonts w:ascii="Arial" w:eastAsia="Times New Roman" w:hAnsi="Arial" w:cs="Arial"/>
          <w:kern w:val="0"/>
          <w:lang w:val="sq-AL" w:eastAsia="es-ES"/>
          <w14:ligatures w14:val="none"/>
        </w:rPr>
        <w:t xml:space="preserve"> </w:t>
      </w:r>
      <w:r w:rsidRPr="001C61AE">
        <w:rPr>
          <w:rFonts w:ascii="Arial" w:eastAsia="Times New Roman" w:hAnsi="Arial" w:cs="Arial"/>
          <w:kern w:val="0"/>
          <w:lang w:val="sq-AL" w:eastAsia="es-ES"/>
          <w14:ligatures w14:val="none"/>
        </w:rPr>
        <w:t>dhe Ligjin Nr. 08/L-094</w:t>
      </w:r>
      <w:r w:rsidR="00181218" w:rsidRPr="001C61AE">
        <w:rPr>
          <w:rStyle w:val="FootnoteReference"/>
          <w:rFonts w:ascii="Arial" w:eastAsia="Times New Roman" w:hAnsi="Arial" w:cs="Arial"/>
          <w:kern w:val="0"/>
          <w:lang w:val="sq-AL" w:eastAsia="es-ES"/>
          <w14:ligatures w14:val="none"/>
        </w:rPr>
        <w:footnoteReference w:id="61"/>
      </w:r>
      <w:r w:rsidR="00B912C3" w:rsidRPr="001C61AE">
        <w:rPr>
          <w:rFonts w:ascii="Arial" w:eastAsia="Times New Roman" w:hAnsi="Arial" w:cs="Arial"/>
          <w:kern w:val="0"/>
          <w:lang w:val="sq-AL" w:eastAsia="es-ES"/>
          <w14:ligatures w14:val="none"/>
        </w:rPr>
        <w:t xml:space="preserve">, </w:t>
      </w:r>
      <w:r w:rsidRPr="001C61AE">
        <w:rPr>
          <w:rFonts w:ascii="Arial" w:eastAsia="Times New Roman" w:hAnsi="Arial" w:cs="Arial"/>
          <w:kern w:val="0"/>
          <w:lang w:val="sq-AL" w:eastAsia="es-ES"/>
          <w14:ligatures w14:val="none"/>
        </w:rPr>
        <w:t xml:space="preserve">siguron bazën ligjore për menaxhimin e sistemeve të ujitjes, përfshirë formimin e </w:t>
      </w:r>
      <w:r w:rsidRPr="001C61AE">
        <w:rPr>
          <w:rFonts w:ascii="Arial" w:eastAsia="Times New Roman" w:hAnsi="Arial" w:cs="Arial"/>
          <w:kern w:val="0"/>
          <w:lang w:val="sq-AL" w:eastAsia="es-ES"/>
          <w14:ligatures w14:val="none"/>
        </w:rPr>
        <w:lastRenderedPageBreak/>
        <w:t>kompanive të ujitjes dhe shoqatave të përdoruesve të ujit. Ky ligj luan një rol qendror në adresimin e mungesës së ujit dhe në forcimin e qëndrueshmërisë klimatike në sektorin bujqësor</w:t>
      </w:r>
      <w:r w:rsidR="00B912C3" w:rsidRPr="001C61AE">
        <w:rPr>
          <w:rFonts w:ascii="Arial" w:eastAsia="Times New Roman" w:hAnsi="Arial" w:cs="Arial"/>
          <w:kern w:val="0"/>
          <w:lang w:val="sq-AL" w:eastAsia="es-ES"/>
          <w14:ligatures w14:val="none"/>
        </w:rPr>
        <w:t>.</w:t>
      </w:r>
    </w:p>
    <w:p w14:paraId="5D34C0E4" w14:textId="3FFA62E1" w:rsidR="00B912C3" w:rsidRPr="001C61AE" w:rsidRDefault="00BC00BE" w:rsidP="00B912C3">
      <w:pPr>
        <w:keepNext/>
        <w:spacing w:line="240" w:lineRule="auto"/>
        <w:jc w:val="both"/>
        <w:rPr>
          <w:rFonts w:ascii="Arial" w:eastAsia="Times New Roman" w:hAnsi="Arial" w:cs="Arial"/>
          <w:kern w:val="0"/>
          <w:lang w:val="sq-AL" w:eastAsia="es-ES"/>
          <w14:ligatures w14:val="none"/>
        </w:rPr>
      </w:pPr>
      <w:r w:rsidRPr="001C61AE">
        <w:rPr>
          <w:rFonts w:ascii="Arial" w:eastAsia="Times New Roman" w:hAnsi="Arial" w:cs="Arial"/>
          <w:kern w:val="0"/>
          <w:lang w:val="sq-AL" w:eastAsia="es-ES"/>
          <w14:ligatures w14:val="none"/>
        </w:rPr>
        <w:t>Së bashku, këto instrumente ligjore përbëjnë një kornizë koherente dhe të ndërlidhur për të siguruar përdorimin e qëndrueshëm, mbrojtjen dhe përshtatjen ndaj ndryshimeve klimatike të resurseve ujore të Kosovës, duke mbështetur njëkohësisht objektivat më të gjera zhvillimore mjedisore, sociale dhe ekonomike</w:t>
      </w:r>
      <w:r w:rsidR="00B912C3" w:rsidRPr="001C61AE">
        <w:rPr>
          <w:rFonts w:ascii="Arial" w:eastAsia="Times New Roman" w:hAnsi="Arial" w:cs="Arial"/>
          <w:kern w:val="0"/>
          <w:lang w:val="sq-AL" w:eastAsia="es-ES"/>
          <w14:ligatures w14:val="none"/>
        </w:rPr>
        <w:t>.</w:t>
      </w:r>
    </w:p>
    <w:p w14:paraId="420A0CA2" w14:textId="29889558" w:rsidR="00BC00BE" w:rsidRPr="001C61AE" w:rsidRDefault="00E85839" w:rsidP="001D4FA1">
      <w:pPr>
        <w:rPr>
          <w:rFonts w:ascii="Arial" w:eastAsia="Times New Roman" w:hAnsi="Arial" w:cs="Arial"/>
          <w:b/>
          <w:bCs/>
          <w:kern w:val="0"/>
          <w:lang w:val="sq-AL" w:eastAsia="es-ES"/>
          <w14:ligatures w14:val="none"/>
        </w:rPr>
      </w:pPr>
      <w:r w:rsidRPr="001C61AE">
        <w:rPr>
          <w:rFonts w:ascii="Arial" w:eastAsia="Times New Roman" w:hAnsi="Arial" w:cs="Arial"/>
          <w:b/>
          <w:bCs/>
          <w:kern w:val="0"/>
          <w:lang w:val="sq-AL" w:eastAsia="es-ES"/>
          <w14:ligatures w14:val="none"/>
        </w:rPr>
        <w:t>Përparësitë</w:t>
      </w:r>
      <w:r w:rsidR="00BC00BE" w:rsidRPr="001C61AE">
        <w:rPr>
          <w:rFonts w:ascii="Arial" w:eastAsia="Times New Roman" w:hAnsi="Arial" w:cs="Arial"/>
          <w:b/>
          <w:bCs/>
          <w:kern w:val="0"/>
          <w:lang w:val="sq-AL" w:eastAsia="es-ES"/>
          <w14:ligatures w14:val="none"/>
        </w:rPr>
        <w:t>,</w:t>
      </w:r>
      <w:r w:rsidRPr="001C61AE">
        <w:rPr>
          <w:rFonts w:ascii="Arial" w:eastAsia="Times New Roman" w:hAnsi="Arial" w:cs="Arial"/>
          <w:b/>
          <w:bCs/>
          <w:kern w:val="0"/>
          <w:lang w:val="sq-AL" w:eastAsia="es-ES"/>
          <w14:ligatures w14:val="none"/>
        </w:rPr>
        <w:t xml:space="preserve"> mangësitë,</w:t>
      </w:r>
      <w:r w:rsidR="00BC00BE" w:rsidRPr="001C61AE">
        <w:rPr>
          <w:rFonts w:ascii="Arial" w:eastAsia="Times New Roman" w:hAnsi="Arial" w:cs="Arial"/>
          <w:b/>
          <w:bCs/>
          <w:kern w:val="0"/>
          <w:lang w:val="sq-AL" w:eastAsia="es-ES"/>
          <w14:ligatures w14:val="none"/>
        </w:rPr>
        <w:t xml:space="preserve"> mundësitë dhe kërcënimet</w:t>
      </w:r>
    </w:p>
    <w:p w14:paraId="173016CF" w14:textId="40AD0148" w:rsidR="001D4FA1" w:rsidRPr="001C61AE" w:rsidRDefault="00BC00BE" w:rsidP="002C0E8B">
      <w:pPr>
        <w:jc w:val="both"/>
        <w:rPr>
          <w:rFonts w:ascii="Arial" w:hAnsi="Arial" w:cs="Arial"/>
          <w:lang w:val="sq-AL"/>
        </w:rPr>
      </w:pPr>
      <w:r w:rsidRPr="001C61AE">
        <w:rPr>
          <w:rFonts w:ascii="Arial" w:hAnsi="Arial" w:cs="Arial"/>
          <w:lang w:val="sq-AL"/>
        </w:rPr>
        <w:t xml:space="preserve">Tabela më poshtë paraqet një analizë SWOT të sektorit të ujit të Kosovës, duke theksuar </w:t>
      </w:r>
      <w:r w:rsidR="00B615CA" w:rsidRPr="001C61AE">
        <w:rPr>
          <w:rFonts w:ascii="Arial" w:hAnsi="Arial" w:cs="Arial"/>
          <w:lang w:val="sq-AL"/>
        </w:rPr>
        <w:t xml:space="preserve">përparësitë </w:t>
      </w:r>
      <w:r w:rsidRPr="001C61AE">
        <w:rPr>
          <w:rFonts w:ascii="Arial" w:hAnsi="Arial" w:cs="Arial"/>
          <w:lang w:val="sq-AL"/>
        </w:rPr>
        <w:t xml:space="preserve">dhe </w:t>
      </w:r>
      <w:r w:rsidR="00B615CA" w:rsidRPr="001C61AE">
        <w:rPr>
          <w:rFonts w:ascii="Arial" w:hAnsi="Arial" w:cs="Arial"/>
          <w:lang w:val="sq-AL"/>
        </w:rPr>
        <w:t xml:space="preserve">mangësitë e </w:t>
      </w:r>
      <w:r w:rsidRPr="001C61AE">
        <w:rPr>
          <w:rFonts w:ascii="Arial" w:hAnsi="Arial" w:cs="Arial"/>
          <w:lang w:val="sq-AL"/>
        </w:rPr>
        <w:t xml:space="preserve">brendshme, së bashku me mundësitë dhe kërcënimet e jashtme me të cilat përballet vendi në adresimin e ndryshimeve klimatike dhe sigurimin e menaxhimit të qëndrueshëm të </w:t>
      </w:r>
      <w:r w:rsidR="002C0E8B" w:rsidRPr="001C61AE">
        <w:rPr>
          <w:rFonts w:ascii="Arial" w:hAnsi="Arial" w:cs="Arial"/>
          <w:lang w:val="sq-AL"/>
        </w:rPr>
        <w:t>resurseve</w:t>
      </w:r>
      <w:r w:rsidRPr="001C61AE">
        <w:rPr>
          <w:rFonts w:ascii="Arial" w:hAnsi="Arial" w:cs="Arial"/>
          <w:lang w:val="sq-AL"/>
        </w:rPr>
        <w:t xml:space="preserve"> të tij ujore</w:t>
      </w:r>
      <w:r w:rsidR="001D4FA1" w:rsidRPr="001C61AE">
        <w:rPr>
          <w:rFonts w:ascii="Arial" w:hAnsi="Arial" w:cs="Arial"/>
          <w:lang w:val="sq-AL"/>
        </w:rPr>
        <w:t>.</w:t>
      </w:r>
    </w:p>
    <w:tbl>
      <w:tblPr>
        <w:tblStyle w:val="GridTable1Light"/>
        <w:tblW w:w="5000" w:type="pct"/>
        <w:tblLook w:val="04A0" w:firstRow="1" w:lastRow="0" w:firstColumn="1" w:lastColumn="0" w:noHBand="0" w:noVBand="1"/>
      </w:tblPr>
      <w:tblGrid>
        <w:gridCol w:w="2452"/>
        <w:gridCol w:w="2658"/>
        <w:gridCol w:w="2504"/>
        <w:gridCol w:w="2582"/>
      </w:tblGrid>
      <w:tr w:rsidR="00BC00BE" w:rsidRPr="001C61AE" w14:paraId="050FB860" w14:textId="77777777" w:rsidTr="00A706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02" w:type="pct"/>
            <w:shd w:val="clear" w:color="auto" w:fill="F2F2F2" w:themeFill="background1" w:themeFillShade="F2"/>
            <w:hideMark/>
          </w:tcPr>
          <w:p w14:paraId="03FDB2E7" w14:textId="33BC5D43" w:rsidR="00BC00BE" w:rsidRPr="001C61AE" w:rsidRDefault="00B615CA" w:rsidP="00A70686">
            <w:pPr>
              <w:jc w:val="center"/>
              <w:rPr>
                <w:rFonts w:ascii="Arial" w:hAnsi="Arial" w:cs="Arial"/>
                <w:sz w:val="18"/>
                <w:szCs w:val="18"/>
                <w:lang w:val="sq-AL"/>
              </w:rPr>
            </w:pPr>
            <w:r w:rsidRPr="001C61AE">
              <w:rPr>
                <w:rFonts w:ascii="Arial" w:hAnsi="Arial" w:cs="Arial"/>
                <w:sz w:val="18"/>
                <w:szCs w:val="18"/>
                <w:lang w:val="sq-AL"/>
              </w:rPr>
              <w:t xml:space="preserve">Përparësitë </w:t>
            </w:r>
            <w:r w:rsidR="00BC00BE" w:rsidRPr="001C61AE">
              <w:rPr>
                <w:rFonts w:ascii="Arial" w:hAnsi="Arial" w:cs="Arial"/>
                <w:sz w:val="18"/>
                <w:szCs w:val="18"/>
                <w:lang w:val="sq-AL"/>
              </w:rPr>
              <w:t xml:space="preserve"> (</w:t>
            </w:r>
            <w:r w:rsidRPr="001C61AE">
              <w:rPr>
                <w:rFonts w:ascii="Arial" w:hAnsi="Arial" w:cs="Arial"/>
                <w:sz w:val="18"/>
                <w:szCs w:val="18"/>
                <w:lang w:val="sq-AL"/>
              </w:rPr>
              <w:t xml:space="preserve"> e</w:t>
            </w:r>
            <w:r w:rsidR="00646A72" w:rsidRPr="001C61AE">
              <w:rPr>
                <w:rFonts w:ascii="Arial" w:hAnsi="Arial" w:cs="Arial"/>
                <w:color w:val="FF0000"/>
                <w:sz w:val="18"/>
                <w:szCs w:val="18"/>
                <w:lang w:val="sq-AL"/>
              </w:rPr>
              <w:t xml:space="preserve"> </w:t>
            </w:r>
            <w:r w:rsidR="00BC00BE" w:rsidRPr="001C61AE">
              <w:rPr>
                <w:rFonts w:ascii="Arial" w:hAnsi="Arial" w:cs="Arial"/>
                <w:sz w:val="18"/>
                <w:szCs w:val="18"/>
                <w:lang w:val="sq-AL"/>
              </w:rPr>
              <w:t>Brendshme)</w:t>
            </w:r>
          </w:p>
        </w:tc>
        <w:tc>
          <w:tcPr>
            <w:tcW w:w="1303" w:type="pct"/>
            <w:shd w:val="clear" w:color="auto" w:fill="F2F2F2" w:themeFill="background1" w:themeFillShade="F2"/>
            <w:hideMark/>
          </w:tcPr>
          <w:p w14:paraId="36C50B94" w14:textId="6749B7BB" w:rsidR="00BC00BE" w:rsidRPr="001C61AE" w:rsidRDefault="00B615CA" w:rsidP="00A7068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Man</w:t>
            </w:r>
            <w:r w:rsidR="004379C7" w:rsidRPr="001C61AE">
              <w:rPr>
                <w:rFonts w:ascii="Arial" w:hAnsi="Arial" w:cs="Arial"/>
                <w:sz w:val="18"/>
                <w:szCs w:val="18"/>
                <w:lang w:val="sq-AL"/>
              </w:rPr>
              <w:t xml:space="preserve">gësitë </w:t>
            </w:r>
            <w:r w:rsidR="00BC00BE" w:rsidRPr="001C61AE">
              <w:rPr>
                <w:rFonts w:ascii="Arial" w:hAnsi="Arial" w:cs="Arial"/>
                <w:sz w:val="18"/>
                <w:szCs w:val="18"/>
                <w:lang w:val="sq-AL"/>
              </w:rPr>
              <w:t xml:space="preserve"> (</w:t>
            </w:r>
            <w:r w:rsidR="004379C7" w:rsidRPr="001C61AE">
              <w:rPr>
                <w:rFonts w:ascii="Arial" w:hAnsi="Arial" w:cs="Arial"/>
                <w:sz w:val="18"/>
                <w:szCs w:val="18"/>
                <w:lang w:val="sq-AL"/>
              </w:rPr>
              <w:t xml:space="preserve">e </w:t>
            </w:r>
            <w:r w:rsidR="00BC00BE" w:rsidRPr="001C61AE">
              <w:rPr>
                <w:rFonts w:ascii="Arial" w:hAnsi="Arial" w:cs="Arial"/>
                <w:sz w:val="18"/>
                <w:szCs w:val="18"/>
                <w:lang w:val="sq-AL"/>
              </w:rPr>
              <w:br/>
              <w:t xml:space="preserve"> Brendshme)</w:t>
            </w:r>
          </w:p>
        </w:tc>
        <w:tc>
          <w:tcPr>
            <w:tcW w:w="1228" w:type="pct"/>
            <w:shd w:val="clear" w:color="auto" w:fill="F2F2F2" w:themeFill="background1" w:themeFillShade="F2"/>
            <w:hideMark/>
          </w:tcPr>
          <w:p w14:paraId="405A076E" w14:textId="77777777" w:rsidR="00BC00BE" w:rsidRPr="001C61AE" w:rsidRDefault="00BC00BE" w:rsidP="00A7068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Mundësitë (të</w:t>
            </w:r>
            <w:r w:rsidRPr="001C61AE">
              <w:rPr>
                <w:rFonts w:ascii="Arial" w:hAnsi="Arial" w:cs="Arial"/>
                <w:sz w:val="18"/>
                <w:szCs w:val="18"/>
                <w:lang w:val="sq-AL"/>
              </w:rPr>
              <w:br/>
              <w:t xml:space="preserve"> Jashtme)</w:t>
            </w:r>
          </w:p>
        </w:tc>
        <w:tc>
          <w:tcPr>
            <w:tcW w:w="1266" w:type="pct"/>
            <w:shd w:val="clear" w:color="auto" w:fill="F2F2F2" w:themeFill="background1" w:themeFillShade="F2"/>
            <w:hideMark/>
          </w:tcPr>
          <w:p w14:paraId="58DBD88F" w14:textId="77777777" w:rsidR="00BC00BE" w:rsidRPr="001C61AE" w:rsidRDefault="00BC00BE" w:rsidP="00A7068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Kërcënimet (të</w:t>
            </w:r>
            <w:r w:rsidRPr="001C61AE">
              <w:rPr>
                <w:rFonts w:ascii="Arial" w:hAnsi="Arial" w:cs="Arial"/>
                <w:sz w:val="18"/>
                <w:szCs w:val="18"/>
                <w:lang w:val="sq-AL"/>
              </w:rPr>
              <w:br/>
              <w:t xml:space="preserve"> Jashtme)</w:t>
            </w:r>
          </w:p>
        </w:tc>
      </w:tr>
      <w:tr w:rsidR="00BC00BE" w:rsidRPr="001C61AE" w14:paraId="5A59141B" w14:textId="77777777" w:rsidTr="00A70686">
        <w:tc>
          <w:tcPr>
            <w:cnfStyle w:val="001000000000" w:firstRow="0" w:lastRow="0" w:firstColumn="1" w:lastColumn="0" w:oddVBand="0" w:evenVBand="0" w:oddHBand="0" w:evenHBand="0" w:firstRowFirstColumn="0" w:firstRowLastColumn="0" w:lastRowFirstColumn="0" w:lastRowLastColumn="0"/>
            <w:tcW w:w="1202" w:type="pct"/>
            <w:hideMark/>
          </w:tcPr>
          <w:p w14:paraId="4720E6DC" w14:textId="77777777" w:rsidR="00BC00BE" w:rsidRPr="001C61AE" w:rsidRDefault="00BC00BE" w:rsidP="00F36447">
            <w:pPr>
              <w:pStyle w:val="ListParagraph"/>
              <w:numPr>
                <w:ilvl w:val="0"/>
                <w:numId w:val="37"/>
              </w:numPr>
              <w:spacing w:before="100" w:beforeAutospacing="1" w:after="100" w:afterAutospacing="1"/>
              <w:ind w:left="210" w:hanging="240"/>
              <w:jc w:val="both"/>
              <w:rPr>
                <w:rFonts w:ascii="Arial" w:hAnsi="Arial" w:cs="Arial"/>
                <w:sz w:val="18"/>
                <w:szCs w:val="18"/>
                <w:lang w:val="sq-AL"/>
              </w:rPr>
            </w:pPr>
            <w:r w:rsidRPr="001C61AE">
              <w:rPr>
                <w:rFonts w:ascii="Arial" w:hAnsi="Arial" w:cs="Arial"/>
                <w:sz w:val="18"/>
                <w:szCs w:val="18"/>
                <w:lang w:val="sq-AL"/>
              </w:rPr>
              <w:t xml:space="preserve">Qasje e lartë në shërbimet bazë të ujit: </w:t>
            </w:r>
            <w:r w:rsidRPr="001C61AE">
              <w:rPr>
                <w:rFonts w:ascii="Arial" w:hAnsi="Arial" w:cs="Arial"/>
                <w:b w:val="0"/>
                <w:bCs w:val="0"/>
                <w:sz w:val="18"/>
                <w:szCs w:val="18"/>
                <w:lang w:val="sq-AL"/>
              </w:rPr>
              <w:t>Mbi 90% e popullsisë shërbehet nga sisteme të përmirësuara të furnizimit me ujë - kryesisht përmes Kompanive Rajonale të Ujit (KRU) me cilësi të ujit të pijshëm përgjithësisht të lartë, e dëshmuar nga një shkallë pajtueshmërie prej 98% në testimin e cilësisë së ujit, duke kontribuar kështu në mbrojtjen e shëndetit publik.</w:t>
            </w:r>
          </w:p>
          <w:p w14:paraId="5445514C" w14:textId="77777777" w:rsidR="00BC00BE" w:rsidRPr="001C61AE" w:rsidRDefault="00BC00BE" w:rsidP="00F36447">
            <w:pPr>
              <w:pStyle w:val="ListParagraph"/>
              <w:numPr>
                <w:ilvl w:val="0"/>
                <w:numId w:val="37"/>
              </w:numPr>
              <w:spacing w:before="100" w:beforeAutospacing="1" w:after="100" w:afterAutospacing="1"/>
              <w:ind w:left="210" w:hanging="240"/>
              <w:jc w:val="both"/>
              <w:rPr>
                <w:rFonts w:ascii="Arial" w:hAnsi="Arial" w:cs="Arial"/>
                <w:sz w:val="18"/>
                <w:szCs w:val="18"/>
                <w:lang w:val="sq-AL"/>
              </w:rPr>
            </w:pPr>
            <w:r w:rsidRPr="001C61AE">
              <w:rPr>
                <w:rFonts w:ascii="Arial" w:hAnsi="Arial" w:cs="Arial"/>
                <w:sz w:val="18"/>
                <w:szCs w:val="18"/>
                <w:lang w:val="sq-AL"/>
              </w:rPr>
              <w:t xml:space="preserve">Infrastrukturë thelbësore e themeluar: </w:t>
            </w:r>
            <w:r w:rsidRPr="001C61AE">
              <w:rPr>
                <w:rFonts w:ascii="Arial" w:hAnsi="Arial" w:cs="Arial"/>
                <w:b w:val="0"/>
                <w:bCs w:val="0"/>
                <w:sz w:val="18"/>
                <w:szCs w:val="18"/>
                <w:lang w:val="sq-AL"/>
              </w:rPr>
              <w:t>Prania e pesë rezervuarëve kryesorë, me një kapacitet të kombinuar prej afërsisht 500 milionë metrash kub, së bashku me një rrjet të gjerë shpërndarjeje, ofron një bazë të fortë për ruajtjen e ujit dhe ofrimin e shërbimeve.</w:t>
            </w:r>
          </w:p>
          <w:p w14:paraId="024CC67A" w14:textId="77777777" w:rsidR="00BC00BE" w:rsidRPr="001C61AE" w:rsidRDefault="00BC00BE" w:rsidP="00F36447">
            <w:pPr>
              <w:pStyle w:val="ListParagraph"/>
              <w:numPr>
                <w:ilvl w:val="0"/>
                <w:numId w:val="37"/>
              </w:numPr>
              <w:spacing w:before="100" w:beforeAutospacing="1" w:after="100" w:afterAutospacing="1"/>
              <w:ind w:left="210" w:hanging="240"/>
              <w:jc w:val="both"/>
              <w:rPr>
                <w:rFonts w:ascii="Arial" w:hAnsi="Arial" w:cs="Arial"/>
                <w:sz w:val="18"/>
                <w:szCs w:val="18"/>
                <w:lang w:val="sq-AL"/>
              </w:rPr>
            </w:pPr>
            <w:r w:rsidRPr="001C61AE">
              <w:rPr>
                <w:rFonts w:ascii="Arial" w:hAnsi="Arial" w:cs="Arial"/>
                <w:sz w:val="18"/>
                <w:szCs w:val="18"/>
                <w:lang w:val="sq-AL"/>
              </w:rPr>
              <w:t xml:space="preserve">Kornizë ligjore dhe politike në zhvillim: </w:t>
            </w:r>
            <w:r w:rsidRPr="001C61AE">
              <w:rPr>
                <w:rFonts w:ascii="Arial" w:hAnsi="Arial" w:cs="Arial"/>
                <w:b w:val="0"/>
                <w:bCs w:val="0"/>
                <w:sz w:val="18"/>
                <w:szCs w:val="18"/>
                <w:lang w:val="sq-AL"/>
              </w:rPr>
              <w:t>Kosova ka zhvilluar dokumente të qarta strategjike për sektorin e ujit dhe po e përafron në mënyrë aktive legjislacionin e saj me direktivat e Bashkimit Evropian, duke krijuar një plan koherent për zhvillimin sektorial.</w:t>
            </w:r>
          </w:p>
          <w:p w14:paraId="5666DF15" w14:textId="77777777" w:rsidR="00BC00BE" w:rsidRPr="001C61AE" w:rsidRDefault="00BC00BE" w:rsidP="00F36447">
            <w:pPr>
              <w:pStyle w:val="ListParagraph"/>
              <w:numPr>
                <w:ilvl w:val="0"/>
                <w:numId w:val="37"/>
              </w:numPr>
              <w:spacing w:before="100" w:beforeAutospacing="1" w:after="100" w:afterAutospacing="1"/>
              <w:ind w:left="210" w:hanging="240"/>
              <w:jc w:val="both"/>
              <w:rPr>
                <w:rFonts w:ascii="Arial" w:hAnsi="Arial" w:cs="Arial"/>
                <w:sz w:val="18"/>
                <w:szCs w:val="18"/>
                <w:lang w:val="sq-AL"/>
              </w:rPr>
            </w:pPr>
            <w:r w:rsidRPr="001C61AE">
              <w:rPr>
                <w:rFonts w:ascii="Arial" w:hAnsi="Arial" w:cs="Arial"/>
                <w:sz w:val="18"/>
                <w:szCs w:val="18"/>
                <w:lang w:val="sq-AL"/>
              </w:rPr>
              <w:t xml:space="preserve">Ekspertizë e fortë institucionale brenda KRU-ve dhe agjencive përkatëse: </w:t>
            </w:r>
            <w:r w:rsidRPr="001C61AE">
              <w:rPr>
                <w:rFonts w:ascii="Arial" w:hAnsi="Arial" w:cs="Arial"/>
                <w:b w:val="0"/>
                <w:bCs w:val="0"/>
                <w:sz w:val="18"/>
                <w:szCs w:val="18"/>
                <w:lang w:val="sq-AL"/>
              </w:rPr>
              <w:t xml:space="preserve">Sektori përfiton nga prania e </w:t>
            </w:r>
            <w:r w:rsidRPr="001C61AE">
              <w:rPr>
                <w:rFonts w:ascii="Arial" w:hAnsi="Arial" w:cs="Arial"/>
                <w:b w:val="0"/>
                <w:bCs w:val="0"/>
                <w:sz w:val="18"/>
                <w:szCs w:val="18"/>
                <w:lang w:val="sq-AL"/>
              </w:rPr>
              <w:lastRenderedPageBreak/>
              <w:t>profesionistëve me përvojë të ujit dhe përpjekjet e vazhdueshme për ndërtimin e kapaciteteve - shpesh të mbështetura nga donatorët ndërkombëtarë - të cilat rrisin qeverisjen dhe menaxhimin efektiv të ujit.</w:t>
            </w:r>
          </w:p>
        </w:tc>
        <w:tc>
          <w:tcPr>
            <w:tcW w:w="1303" w:type="pct"/>
            <w:hideMark/>
          </w:tcPr>
          <w:p w14:paraId="4388FB47" w14:textId="77777777" w:rsidR="00BC00BE" w:rsidRPr="001C61AE" w:rsidRDefault="00BC00BE" w:rsidP="00F36447">
            <w:pPr>
              <w:pStyle w:val="ListParagraph"/>
              <w:numPr>
                <w:ilvl w:val="0"/>
                <w:numId w:val="8"/>
              </w:numPr>
              <w:spacing w:before="100" w:beforeAutospacing="1" w:after="100" w:afterAutospacing="1"/>
              <w:ind w:left="166" w:hanging="194"/>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1C61AE">
              <w:rPr>
                <w:rFonts w:ascii="Arial" w:hAnsi="Arial" w:cs="Arial"/>
                <w:b/>
                <w:bCs/>
                <w:sz w:val="18"/>
                <w:szCs w:val="18"/>
                <w:lang w:val="sq-AL"/>
              </w:rPr>
              <w:lastRenderedPageBreak/>
              <w:t xml:space="preserve">Disponueshmëri dhe ruajtje e kufizuar e ujit për frymë: </w:t>
            </w:r>
            <w:r w:rsidRPr="001C61AE">
              <w:rPr>
                <w:rFonts w:ascii="Arial" w:hAnsi="Arial" w:cs="Arial"/>
                <w:sz w:val="18"/>
                <w:szCs w:val="18"/>
                <w:lang w:val="sq-AL"/>
              </w:rPr>
              <w:t>Me një sasi të vlerësuar prej 1,600 m³ burimesh të rinovueshme ujore për person në vit - ndër më të ulëtat në rajon - dhe një kapacitet ruajtjeje prej vetëm 300 m³ për frymë, Kosova është shumë e ndjeshme ndaj mungesave të ujit.</w:t>
            </w:r>
          </w:p>
          <w:p w14:paraId="791CAAAE" w14:textId="77777777" w:rsidR="00BC00BE" w:rsidRPr="001C61AE" w:rsidRDefault="00BC00BE" w:rsidP="00F36447">
            <w:pPr>
              <w:pStyle w:val="ListParagraph"/>
              <w:numPr>
                <w:ilvl w:val="0"/>
                <w:numId w:val="8"/>
              </w:numPr>
              <w:spacing w:before="100" w:beforeAutospacing="1" w:after="100" w:afterAutospacing="1"/>
              <w:ind w:left="166" w:hanging="194"/>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1C61AE">
              <w:rPr>
                <w:rFonts w:ascii="Arial" w:hAnsi="Arial" w:cs="Arial"/>
                <w:b/>
                <w:bCs/>
                <w:sz w:val="18"/>
                <w:szCs w:val="18"/>
                <w:lang w:val="sq-AL"/>
              </w:rPr>
              <w:t xml:space="preserve">Infrastrukturë e vjetër dhe humbje të tepërta të ujit: </w:t>
            </w:r>
            <w:r w:rsidRPr="001C61AE">
              <w:rPr>
                <w:rFonts w:ascii="Arial" w:hAnsi="Arial" w:cs="Arial"/>
                <w:sz w:val="18"/>
                <w:szCs w:val="18"/>
                <w:lang w:val="sq-AL"/>
              </w:rPr>
              <w:t>Përafërsisht 55% e ujit klasifikohet si pa të ardhura për shkak të rrjedhjeve të sistemit dhe rrjeteve të vjetëruara të shpërndarjes. Kanalet e ujitjes dhe infrastruktura e mbrojtjes nga përmbytjet janë në gjendje të keqe, duke kompromentuar si efikasitetin ashtu edhe sigurinë.</w:t>
            </w:r>
          </w:p>
          <w:p w14:paraId="5BCCD7E2" w14:textId="49FA2C8C" w:rsidR="00BC00BE" w:rsidRPr="001C61AE" w:rsidRDefault="00BC00BE" w:rsidP="00F36447">
            <w:pPr>
              <w:pStyle w:val="ListParagraph"/>
              <w:numPr>
                <w:ilvl w:val="0"/>
                <w:numId w:val="8"/>
              </w:numPr>
              <w:spacing w:before="100" w:beforeAutospacing="1" w:after="100" w:afterAutospacing="1"/>
              <w:ind w:left="166" w:hanging="194"/>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1C61AE">
              <w:rPr>
                <w:rFonts w:ascii="Arial" w:hAnsi="Arial" w:cs="Arial"/>
                <w:b/>
                <w:bCs/>
                <w:sz w:val="18"/>
                <w:szCs w:val="18"/>
                <w:lang w:val="sq-AL"/>
              </w:rPr>
              <w:t xml:space="preserve">Trajtimi i pamjaftueshëm i ujërave të ndotura dhe ndotja e ujit: </w:t>
            </w:r>
            <w:r w:rsidRPr="001C61AE">
              <w:rPr>
                <w:rFonts w:ascii="Arial" w:hAnsi="Arial" w:cs="Arial"/>
                <w:sz w:val="18"/>
                <w:szCs w:val="18"/>
                <w:lang w:val="sq-AL"/>
              </w:rPr>
              <w:t xml:space="preserve">Një pjesë e konsiderueshme e ujërave të ndotura shtëpiake dhe industriale mbeten të patrajtuara, duke çuar në ndotjen e lumenjve dhe </w:t>
            </w:r>
            <w:r w:rsidR="002C0E8B" w:rsidRPr="001C61AE">
              <w:rPr>
                <w:rFonts w:ascii="Arial" w:hAnsi="Arial" w:cs="Arial"/>
                <w:sz w:val="18"/>
                <w:szCs w:val="18"/>
                <w:lang w:val="sq-AL"/>
              </w:rPr>
              <w:t>resurseve</w:t>
            </w:r>
            <w:r w:rsidRPr="001C61AE">
              <w:rPr>
                <w:rFonts w:ascii="Arial" w:hAnsi="Arial" w:cs="Arial"/>
                <w:sz w:val="18"/>
                <w:szCs w:val="18"/>
                <w:lang w:val="sq-AL"/>
              </w:rPr>
              <w:t xml:space="preserve"> të ujërave nëntokësore. Cilësia e ujit është veçanërisht e dobët në rrjedhën e poshtme nga qendrat urbane.</w:t>
            </w:r>
          </w:p>
          <w:p w14:paraId="5C82F0E9" w14:textId="171FFCB8" w:rsidR="00BC00BE" w:rsidRPr="001C61AE" w:rsidRDefault="00BC00BE" w:rsidP="00F36447">
            <w:pPr>
              <w:numPr>
                <w:ilvl w:val="0"/>
                <w:numId w:val="8"/>
              </w:numPr>
              <w:ind w:left="166" w:hanging="194"/>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Zbatim i dobët dhe disponueshmëri e kufizuar e të dhënave: </w:t>
            </w:r>
            <w:r w:rsidRPr="001C61AE">
              <w:rPr>
                <w:rFonts w:ascii="Arial" w:hAnsi="Arial" w:cs="Arial"/>
                <w:sz w:val="18"/>
                <w:szCs w:val="18"/>
                <w:lang w:val="sq-AL"/>
              </w:rPr>
              <w:t xml:space="preserve">Zbatimi i legjislacionit që lidhet me ujin - duke </w:t>
            </w:r>
            <w:r w:rsidRPr="001C61AE">
              <w:rPr>
                <w:rFonts w:ascii="Arial" w:hAnsi="Arial" w:cs="Arial"/>
                <w:sz w:val="18"/>
                <w:szCs w:val="18"/>
                <w:lang w:val="sq-AL"/>
              </w:rPr>
              <w:lastRenderedPageBreak/>
              <w:t xml:space="preserve">përfshirë lejet dhe gjobat e ndotjes - është i paqëndrueshëm, ndërsa sistemet e monitorimit të </w:t>
            </w:r>
            <w:r w:rsidR="002C0E8B" w:rsidRPr="001C61AE">
              <w:rPr>
                <w:rFonts w:ascii="Arial" w:hAnsi="Arial" w:cs="Arial"/>
                <w:sz w:val="18"/>
                <w:szCs w:val="18"/>
                <w:lang w:val="sq-AL"/>
              </w:rPr>
              <w:t>resurseve</w:t>
            </w:r>
            <w:r w:rsidRPr="001C61AE">
              <w:rPr>
                <w:rFonts w:ascii="Arial" w:hAnsi="Arial" w:cs="Arial"/>
                <w:sz w:val="18"/>
                <w:szCs w:val="18"/>
                <w:lang w:val="sq-AL"/>
              </w:rPr>
              <w:t xml:space="preserve"> (p.sh., matësit e rrjedhës së përrenjve, të dhënat e ujërave nëntokësore) janë të pamjaftueshme, duke penguar vendimmarrjen e bazuar në prova. </w:t>
            </w:r>
          </w:p>
          <w:p w14:paraId="2661057F" w14:textId="77777777" w:rsidR="00BC00BE" w:rsidRPr="001C61AE" w:rsidRDefault="00BC00BE" w:rsidP="00F36447">
            <w:pPr>
              <w:numPr>
                <w:ilvl w:val="0"/>
                <w:numId w:val="8"/>
              </w:numPr>
              <w:ind w:left="166" w:hanging="194"/>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Sisteme lokale të fragmentuara dhe me performancë të dobët: </w:t>
            </w:r>
            <w:r w:rsidRPr="001C61AE">
              <w:rPr>
                <w:rFonts w:ascii="Arial" w:hAnsi="Arial" w:cs="Arial"/>
                <w:sz w:val="18"/>
                <w:szCs w:val="18"/>
                <w:lang w:val="sq-AL"/>
              </w:rPr>
              <w:t>Midis 20% dhe 30% e popullsisë mbështetet në sistemet e furnizimit me ujë të menaxhuara nga komuniteti, shumë prej të cilave përballen me kufizime financiare dhe sfida mirëmbajtjeje, duke rezultuar në pabarazi në cilësinë dhe besueshmërinë e shërbimit.</w:t>
            </w:r>
          </w:p>
        </w:tc>
        <w:tc>
          <w:tcPr>
            <w:tcW w:w="1228" w:type="pct"/>
            <w:hideMark/>
          </w:tcPr>
          <w:p w14:paraId="731C8D5C" w14:textId="77777777" w:rsidR="00BC00BE" w:rsidRPr="001C61AE" w:rsidRDefault="00BC00BE" w:rsidP="00F36447">
            <w:pPr>
              <w:pStyle w:val="ListParagraph"/>
              <w:numPr>
                <w:ilvl w:val="0"/>
                <w:numId w:val="8"/>
              </w:numPr>
              <w:spacing w:before="100" w:beforeAutospacing="1" w:after="100" w:afterAutospacing="1"/>
              <w:ind w:left="181" w:hanging="179"/>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lastRenderedPageBreak/>
              <w:t xml:space="preserve">Zhvillimi i infrastrukturës së re: </w:t>
            </w:r>
            <w:r w:rsidRPr="001C61AE">
              <w:rPr>
                <w:rFonts w:ascii="Arial" w:hAnsi="Arial" w:cs="Arial"/>
                <w:sz w:val="18"/>
                <w:szCs w:val="18"/>
                <w:lang w:val="sq-AL"/>
              </w:rPr>
              <w:t>Investimet e planifikuara në diga të reja (siç janë Firaja dhe Shtime) dhe në impiantet e trajtimit të ujit paraqesin një mundësi të rëndësishme për të rritur besueshmërinë dhe cilësinë e sistemeve të furnizimit me ujë.</w:t>
            </w:r>
          </w:p>
          <w:p w14:paraId="2967F36A" w14:textId="4001BA86" w:rsidR="00BC00BE" w:rsidRPr="001C61AE" w:rsidRDefault="00BC00BE" w:rsidP="00F36447">
            <w:pPr>
              <w:pStyle w:val="ListParagraph"/>
              <w:numPr>
                <w:ilvl w:val="0"/>
                <w:numId w:val="8"/>
              </w:numPr>
              <w:spacing w:before="100" w:beforeAutospacing="1" w:after="100" w:afterAutospacing="1"/>
              <w:ind w:left="181" w:hanging="179"/>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1C61AE">
              <w:rPr>
                <w:rFonts w:ascii="Arial" w:hAnsi="Arial" w:cs="Arial"/>
                <w:b/>
                <w:bCs/>
                <w:sz w:val="18"/>
                <w:szCs w:val="18"/>
                <w:lang w:val="sq-AL"/>
              </w:rPr>
              <w:t xml:space="preserve">Mbështetja dhe ndihma financiare ndërkombëtare: </w:t>
            </w:r>
            <w:r w:rsidRPr="001C61AE">
              <w:rPr>
                <w:rFonts w:ascii="Arial" w:hAnsi="Arial" w:cs="Arial"/>
                <w:sz w:val="18"/>
                <w:szCs w:val="18"/>
                <w:lang w:val="sq-AL"/>
              </w:rPr>
              <w:t xml:space="preserve">Një gamë iniciativash të financuara nga donatorët - të udhëhequra nga subjekte të tilla si Bashkimi Evropian dhe Banka Botërore - janë në dispozicion për të mbështetur përmirësimet në sektorin e ujit, duke përfshirë zbatimin e Menaxhimit të Integruar të </w:t>
            </w:r>
            <w:r w:rsidR="002C0E8B" w:rsidRPr="001C61AE">
              <w:rPr>
                <w:rFonts w:ascii="Arial" w:hAnsi="Arial" w:cs="Arial"/>
                <w:sz w:val="18"/>
                <w:szCs w:val="18"/>
                <w:lang w:val="sq-AL"/>
              </w:rPr>
              <w:t>Resurseve</w:t>
            </w:r>
            <w:r w:rsidRPr="001C61AE">
              <w:rPr>
                <w:rFonts w:ascii="Arial" w:hAnsi="Arial" w:cs="Arial"/>
                <w:sz w:val="18"/>
                <w:szCs w:val="18"/>
                <w:lang w:val="sq-AL"/>
              </w:rPr>
              <w:t xml:space="preserve"> Ujore (IWRM), hartëzimin e rrezikut të përmbytjeve dhe masat e përshtatjes ndaj ndryshimeve klimatike.</w:t>
            </w:r>
          </w:p>
          <w:p w14:paraId="13F2000E" w14:textId="28F56A86" w:rsidR="00BC00BE" w:rsidRPr="001C61AE" w:rsidRDefault="00BC00BE" w:rsidP="00F36447">
            <w:pPr>
              <w:pStyle w:val="ListParagraph"/>
              <w:numPr>
                <w:ilvl w:val="0"/>
                <w:numId w:val="8"/>
              </w:numPr>
              <w:spacing w:before="100" w:beforeAutospacing="1" w:after="100" w:afterAutospacing="1"/>
              <w:ind w:left="181" w:hanging="179"/>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1C61AE">
              <w:rPr>
                <w:rFonts w:ascii="Arial" w:hAnsi="Arial" w:cs="Arial"/>
                <w:b/>
                <w:bCs/>
                <w:sz w:val="18"/>
                <w:szCs w:val="18"/>
                <w:lang w:val="sq-AL"/>
              </w:rPr>
              <w:t xml:space="preserve">Bashkëpunimi rajonal: </w:t>
            </w:r>
            <w:r w:rsidRPr="001C61AE">
              <w:rPr>
                <w:rFonts w:ascii="Arial" w:hAnsi="Arial" w:cs="Arial"/>
                <w:sz w:val="18"/>
                <w:szCs w:val="18"/>
                <w:lang w:val="sq-AL"/>
              </w:rPr>
              <w:t xml:space="preserve">Ekziston potenciali për të krijuar marrëveshje bashkëpunimi ndërkufitar për ujin me vendet fqinje (Shqipëria, Maqedonia e Veriut, Mali i Zi dhe përfundimisht Serbia) për të mbështetur menaxhimin e përbashkët të pellgjeve, gjë që mund të përmirësojë kontrollin e përmbytjeve dhe të optimizojë shfrytëzimin e </w:t>
            </w:r>
            <w:r w:rsidR="002C0E8B" w:rsidRPr="001C61AE">
              <w:rPr>
                <w:rFonts w:ascii="Arial" w:hAnsi="Arial" w:cs="Arial"/>
                <w:sz w:val="18"/>
                <w:szCs w:val="18"/>
                <w:lang w:val="sq-AL"/>
              </w:rPr>
              <w:t>resurseve</w:t>
            </w:r>
            <w:r w:rsidRPr="001C61AE">
              <w:rPr>
                <w:rFonts w:ascii="Arial" w:hAnsi="Arial" w:cs="Arial"/>
                <w:sz w:val="18"/>
                <w:szCs w:val="18"/>
                <w:lang w:val="sq-AL"/>
              </w:rPr>
              <w:t xml:space="preserve"> ujore - për </w:t>
            </w:r>
            <w:r w:rsidRPr="001C61AE">
              <w:rPr>
                <w:rFonts w:ascii="Arial" w:hAnsi="Arial" w:cs="Arial"/>
                <w:sz w:val="18"/>
                <w:szCs w:val="18"/>
                <w:lang w:val="sq-AL"/>
              </w:rPr>
              <w:lastRenderedPageBreak/>
              <w:t>shembull, përmes operacioneve të koordinuara në lumin Drini i Bardhë.</w:t>
            </w:r>
          </w:p>
          <w:p w14:paraId="45F8C4B2" w14:textId="4283A7DB" w:rsidR="00BC00BE" w:rsidRPr="001C61AE" w:rsidRDefault="00BC00BE" w:rsidP="00F36447">
            <w:pPr>
              <w:numPr>
                <w:ilvl w:val="0"/>
                <w:numId w:val="8"/>
              </w:numPr>
              <w:ind w:left="181" w:hanging="179"/>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Momenti për reformën politike dhe institucionale: </w:t>
            </w:r>
            <w:r w:rsidRPr="001C61AE">
              <w:rPr>
                <w:rFonts w:ascii="Arial" w:hAnsi="Arial" w:cs="Arial"/>
                <w:sz w:val="18"/>
                <w:szCs w:val="18"/>
                <w:lang w:val="sq-AL"/>
              </w:rPr>
              <w:t xml:space="preserve">Përpjekjet e vazhdueshme për të azhurnuar kuadrin ligjor - siç janë rishikimet e Ligjit të Ujit dhe krijimi i një Agjencie për Menaxhimin e </w:t>
            </w:r>
            <w:r w:rsidR="002C0E8B" w:rsidRPr="001C61AE">
              <w:rPr>
                <w:rFonts w:ascii="Arial" w:hAnsi="Arial" w:cs="Arial"/>
                <w:sz w:val="18"/>
                <w:szCs w:val="18"/>
                <w:lang w:val="sq-AL"/>
              </w:rPr>
              <w:t>Resurseve</w:t>
            </w:r>
            <w:r w:rsidRPr="001C61AE">
              <w:rPr>
                <w:rFonts w:ascii="Arial" w:hAnsi="Arial" w:cs="Arial"/>
                <w:sz w:val="18"/>
                <w:szCs w:val="18"/>
                <w:lang w:val="sq-AL"/>
              </w:rPr>
              <w:t xml:space="preserve"> Ujore - ofrojnë perspektivën e përmirësimit të qeverisjes sektoriale dhe tërheqjes së investimeve, me kusht që këto reforma të zbatohen plotësisht.</w:t>
            </w:r>
          </w:p>
          <w:p w14:paraId="739EAF90" w14:textId="4902FE9A" w:rsidR="00BC00BE" w:rsidRPr="001C61AE" w:rsidRDefault="00BC00BE" w:rsidP="00F36447">
            <w:pPr>
              <w:numPr>
                <w:ilvl w:val="0"/>
                <w:numId w:val="8"/>
              </w:numPr>
              <w:ind w:left="181" w:hanging="179"/>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Përparimet në teknologji: </w:t>
            </w:r>
            <w:r w:rsidRPr="001C61AE">
              <w:rPr>
                <w:rFonts w:ascii="Arial" w:hAnsi="Arial" w:cs="Arial"/>
                <w:sz w:val="18"/>
                <w:szCs w:val="18"/>
                <w:lang w:val="sq-AL"/>
              </w:rPr>
              <w:t xml:space="preserve">Futja e metodave moderne të ujitjes, matësve dixhitalë të ujit dhe sistemeve të përparuara të zbulimit të rrjedhjeve mund të zvogëlojnë ndjeshëm humbjet e ujit dhe të përmirësojnë efikasitetin dhe disponueshmërinë e </w:t>
            </w:r>
            <w:r w:rsidR="002C0E8B" w:rsidRPr="001C61AE">
              <w:rPr>
                <w:rFonts w:ascii="Arial" w:hAnsi="Arial" w:cs="Arial"/>
                <w:sz w:val="18"/>
                <w:szCs w:val="18"/>
                <w:lang w:val="sq-AL"/>
              </w:rPr>
              <w:t>resurseve</w:t>
            </w:r>
            <w:r w:rsidRPr="001C61AE">
              <w:rPr>
                <w:rFonts w:ascii="Arial" w:hAnsi="Arial" w:cs="Arial"/>
                <w:sz w:val="18"/>
                <w:szCs w:val="18"/>
                <w:lang w:val="sq-AL"/>
              </w:rPr>
              <w:t xml:space="preserve"> ujore.</w:t>
            </w:r>
          </w:p>
        </w:tc>
        <w:tc>
          <w:tcPr>
            <w:tcW w:w="1266" w:type="pct"/>
            <w:hideMark/>
          </w:tcPr>
          <w:p w14:paraId="29C20B6B" w14:textId="77777777" w:rsidR="00BC00BE" w:rsidRPr="001C61AE" w:rsidRDefault="00BC00BE" w:rsidP="00F36447">
            <w:pPr>
              <w:pStyle w:val="ListParagraph"/>
              <w:numPr>
                <w:ilvl w:val="0"/>
                <w:numId w:val="8"/>
              </w:numPr>
              <w:spacing w:before="100" w:beforeAutospacing="1" w:after="100" w:afterAutospacing="1"/>
              <w:ind w:left="121" w:hanging="149"/>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1C61AE">
              <w:rPr>
                <w:rFonts w:ascii="Arial" w:hAnsi="Arial" w:cs="Arial"/>
                <w:b/>
                <w:bCs/>
                <w:sz w:val="18"/>
                <w:szCs w:val="18"/>
                <w:lang w:val="sq-AL"/>
              </w:rPr>
              <w:lastRenderedPageBreak/>
              <w:t xml:space="preserve">Ndikimet e ndryshimeve klimatike: </w:t>
            </w:r>
            <w:r w:rsidRPr="001C61AE">
              <w:rPr>
                <w:rFonts w:ascii="Arial" w:hAnsi="Arial" w:cs="Arial"/>
                <w:sz w:val="18"/>
                <w:szCs w:val="18"/>
                <w:lang w:val="sq-AL"/>
              </w:rPr>
              <w:t>Frekuenca dhe intensiteti në rritje i thatësirave dhe përmbytjeve paraqesin rreziqe të konsiderueshme për sigurinë e ujit. Përveç kësaj, zvogëlimi i shtresës së borës dhe rritja e temperaturave të verës pritet të ushtrojnë presion të mëtejshëm mbi disponueshmërinë dhe infrastrukturën e ujit.</w:t>
            </w:r>
          </w:p>
          <w:p w14:paraId="143CD520" w14:textId="77777777" w:rsidR="00BC00BE" w:rsidRPr="001C61AE" w:rsidRDefault="00BC00BE" w:rsidP="00F36447">
            <w:pPr>
              <w:pStyle w:val="ListParagraph"/>
              <w:numPr>
                <w:ilvl w:val="0"/>
                <w:numId w:val="8"/>
              </w:numPr>
              <w:spacing w:before="100" w:beforeAutospacing="1" w:after="100" w:afterAutospacing="1"/>
              <w:ind w:left="211" w:hanging="239"/>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1C61AE">
              <w:rPr>
                <w:rFonts w:ascii="Arial" w:hAnsi="Arial" w:cs="Arial"/>
                <w:b/>
                <w:bCs/>
                <w:sz w:val="18"/>
                <w:szCs w:val="18"/>
                <w:lang w:val="sq-AL"/>
              </w:rPr>
              <w:t xml:space="preserve">Tensionet në rrjedhën e sipërme dhe të poshtme: </w:t>
            </w:r>
            <w:r w:rsidRPr="001C61AE">
              <w:rPr>
                <w:rFonts w:ascii="Arial" w:hAnsi="Arial" w:cs="Arial"/>
                <w:sz w:val="18"/>
                <w:szCs w:val="18"/>
                <w:lang w:val="sq-AL"/>
              </w:rPr>
              <w:t>Si përdoruese e disa sistemeve lumore, Kosova mund të preket nga zhvillimet e ujërave në rrjedhën e sipërme - siç është ndërtimi i digave të reja në vendet fqinje - ndërsa shfrytëzimi i saj i ujërave ndërkufitare, në mungesë të marrëveshjeve formale, mund të çojë në mosmarrëveshje.</w:t>
            </w:r>
          </w:p>
          <w:p w14:paraId="7CC8EA83" w14:textId="77777777" w:rsidR="00BC00BE" w:rsidRPr="001C61AE" w:rsidRDefault="00BC00BE" w:rsidP="00F36447">
            <w:pPr>
              <w:pStyle w:val="ListParagraph"/>
              <w:numPr>
                <w:ilvl w:val="0"/>
                <w:numId w:val="8"/>
              </w:numPr>
              <w:spacing w:before="100" w:beforeAutospacing="1" w:after="100" w:afterAutospacing="1"/>
              <w:ind w:left="211" w:hanging="239"/>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val="sq-AL"/>
              </w:rPr>
            </w:pPr>
            <w:r w:rsidRPr="001C61AE">
              <w:rPr>
                <w:rFonts w:ascii="Arial" w:hAnsi="Arial" w:cs="Arial"/>
                <w:b/>
                <w:bCs/>
                <w:sz w:val="18"/>
                <w:szCs w:val="18"/>
                <w:lang w:val="sq-AL"/>
              </w:rPr>
              <w:t xml:space="preserve">Degradimi mjedisor: </w:t>
            </w:r>
            <w:r w:rsidRPr="001C61AE">
              <w:rPr>
                <w:rFonts w:ascii="Arial" w:hAnsi="Arial" w:cs="Arial"/>
                <w:sz w:val="18"/>
                <w:szCs w:val="18"/>
                <w:lang w:val="sq-AL"/>
              </w:rPr>
              <w:t>Shpyllëzimi i vazhdueshëm, erozioni i tokës dhe nxjerrja e paautorizuar e zhavorrit nga shtretërit e lumenjve po degradojnë zonat e ujëmbledhësit, duke zvogëluar kapacitetin e tyre të ruajtjes dhe duke përkeqësuar si rreziqet e përmbytjeve ashtu edhe përkeqësimin e cilësisë së ujit.</w:t>
            </w:r>
          </w:p>
          <w:p w14:paraId="42D9A524" w14:textId="77777777" w:rsidR="00BC00BE" w:rsidRPr="001C61AE" w:rsidRDefault="00BC00BE" w:rsidP="00F36447">
            <w:pPr>
              <w:pStyle w:val="ListParagraph"/>
              <w:numPr>
                <w:ilvl w:val="0"/>
                <w:numId w:val="8"/>
              </w:numPr>
              <w:spacing w:before="100" w:beforeAutospacing="1" w:after="100" w:afterAutospacing="1"/>
              <w:ind w:left="211" w:hanging="239"/>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Vonesa në zbatim ose boshllëqe financimi: </w:t>
            </w:r>
            <w:r w:rsidRPr="001C61AE">
              <w:rPr>
                <w:rFonts w:ascii="Arial" w:hAnsi="Arial" w:cs="Arial"/>
                <w:sz w:val="18"/>
                <w:szCs w:val="18"/>
                <w:lang w:val="sq-AL"/>
              </w:rPr>
              <w:t xml:space="preserve">Pengesat politike, </w:t>
            </w:r>
            <w:r w:rsidRPr="001C61AE">
              <w:rPr>
                <w:rFonts w:ascii="Arial" w:hAnsi="Arial" w:cs="Arial"/>
                <w:sz w:val="18"/>
                <w:szCs w:val="18"/>
                <w:lang w:val="sq-AL"/>
              </w:rPr>
              <w:lastRenderedPageBreak/>
              <w:t xml:space="preserve">financiare ose administrative që pengojnë ekzekutimin në kohë të projekteve dhe reformave të planifikuara mund ta pengojnë sektorin e ujit të përmbushë kërkesën në rritje, duke rritur rrezikun e krizave të ardhshme. </w:t>
            </w:r>
          </w:p>
          <w:p w14:paraId="32A1322B" w14:textId="58EEE48D" w:rsidR="00BC00BE" w:rsidRPr="001C61AE" w:rsidRDefault="00BC00BE" w:rsidP="00646A72">
            <w:pPr>
              <w:pStyle w:val="ListParagraph"/>
              <w:numPr>
                <w:ilvl w:val="0"/>
                <w:numId w:val="8"/>
              </w:numPr>
              <w:spacing w:before="100" w:beforeAutospacing="1" w:after="100" w:afterAutospacing="1"/>
              <w:ind w:left="211" w:hanging="239"/>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Urbanizimi dhe presionet demografike: </w:t>
            </w:r>
            <w:r w:rsidRPr="001C61AE">
              <w:rPr>
                <w:rFonts w:ascii="Arial" w:hAnsi="Arial" w:cs="Arial"/>
                <w:sz w:val="18"/>
                <w:szCs w:val="18"/>
                <w:lang w:val="sq-AL"/>
              </w:rPr>
              <w:t xml:space="preserve">Zgjerimi i shpejtë urban, nëse nuk shoqërohet me zhvillim të përshtatshëm të infrastrukturës ujore, mund të tejkalojë kapacitetin e sistemeve ekzistuese, duke rezultuar në ndërprerje më të shpeshta të shërbimit dhe nxjerrje të paqëndrueshme të </w:t>
            </w:r>
            <w:r w:rsidR="002C0E8B" w:rsidRPr="001C61AE">
              <w:rPr>
                <w:rFonts w:ascii="Arial" w:hAnsi="Arial" w:cs="Arial"/>
                <w:sz w:val="18"/>
                <w:szCs w:val="18"/>
                <w:lang w:val="sq-AL"/>
              </w:rPr>
              <w:t>resurseve</w:t>
            </w:r>
            <w:r w:rsidRPr="001C61AE">
              <w:rPr>
                <w:rFonts w:ascii="Arial" w:hAnsi="Arial" w:cs="Arial"/>
                <w:sz w:val="18"/>
                <w:szCs w:val="18"/>
                <w:lang w:val="sq-AL"/>
              </w:rPr>
              <w:t xml:space="preserve"> lokale ujore.</w:t>
            </w:r>
          </w:p>
          <w:p w14:paraId="6D0E5829" w14:textId="77777777" w:rsidR="00BC00BE" w:rsidRPr="001C61AE" w:rsidRDefault="00BC00BE" w:rsidP="00A7068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p>
        </w:tc>
      </w:tr>
    </w:tbl>
    <w:p w14:paraId="683BD415" w14:textId="01BB3C70" w:rsidR="002C0E8B" w:rsidRPr="001C61AE" w:rsidRDefault="002C0E8B" w:rsidP="001D4FA1">
      <w:pPr>
        <w:spacing w:line="240" w:lineRule="auto"/>
        <w:jc w:val="both"/>
        <w:rPr>
          <w:rFonts w:ascii="Arial" w:hAnsi="Arial" w:cs="Arial"/>
          <w:b/>
          <w:bCs/>
          <w:lang w:val="sq-AL"/>
        </w:rPr>
      </w:pPr>
      <w:r w:rsidRPr="001C61AE">
        <w:rPr>
          <w:rFonts w:ascii="Arial" w:hAnsi="Arial" w:cs="Arial"/>
          <w:b/>
          <w:bCs/>
          <w:lang w:val="sq-AL"/>
        </w:rPr>
        <w:lastRenderedPageBreak/>
        <w:t>Objektivi strategjik dhe masat kyçe të përshtatjes</w:t>
      </w:r>
    </w:p>
    <w:p w14:paraId="634F2EE2" w14:textId="70FCC6DC" w:rsidR="001D4FA1" w:rsidRPr="001C61AE" w:rsidRDefault="0066683F" w:rsidP="001D4FA1">
      <w:pPr>
        <w:spacing w:line="240" w:lineRule="auto"/>
        <w:jc w:val="both"/>
        <w:rPr>
          <w:rFonts w:ascii="Arial" w:hAnsi="Arial" w:cs="Arial"/>
          <w:lang w:val="sq-AL"/>
        </w:rPr>
      </w:pPr>
      <w:r w:rsidRPr="001C61AE">
        <w:rPr>
          <w:rFonts w:ascii="Arial" w:hAnsi="Arial" w:cs="Arial"/>
          <w:noProof/>
        </w:rPr>
        <mc:AlternateContent>
          <mc:Choice Requires="wps">
            <w:drawing>
              <wp:anchor distT="0" distB="0" distL="114300" distR="114300" simplePos="0" relativeHeight="251712512" behindDoc="0" locked="0" layoutInCell="1" allowOverlap="1" wp14:anchorId="27FFEE57" wp14:editId="3A0FE00F">
                <wp:simplePos x="0" y="0"/>
                <wp:positionH relativeFrom="column">
                  <wp:posOffset>12065</wp:posOffset>
                </wp:positionH>
                <wp:positionV relativeFrom="paragraph">
                  <wp:posOffset>375285</wp:posOffset>
                </wp:positionV>
                <wp:extent cx="6496050" cy="1009650"/>
                <wp:effectExtent l="0" t="0" r="19050" b="19050"/>
                <wp:wrapTopAndBottom/>
                <wp:docPr id="2038887439" name="Cuadro de texto 12"/>
                <wp:cNvGraphicFramePr/>
                <a:graphic xmlns:a="http://schemas.openxmlformats.org/drawingml/2006/main">
                  <a:graphicData uri="http://schemas.microsoft.com/office/word/2010/wordprocessingShape">
                    <wps:wsp>
                      <wps:cNvSpPr txBox="1"/>
                      <wps:spPr>
                        <a:xfrm>
                          <a:off x="0" y="0"/>
                          <a:ext cx="6496050" cy="1009650"/>
                        </a:xfrm>
                        <a:prstGeom prst="rect">
                          <a:avLst/>
                        </a:prstGeom>
                        <a:solidFill>
                          <a:srgbClr val="0F4761"/>
                        </a:solidFill>
                        <a:ln w="6350">
                          <a:solidFill>
                            <a:schemeClr val="accent1"/>
                          </a:solidFill>
                        </a:ln>
                      </wps:spPr>
                      <wps:txbx>
                        <w:txbxContent>
                          <w:p w14:paraId="41DD3CB0" w14:textId="48CB7181" w:rsidR="007065D4" w:rsidRPr="004C6E93" w:rsidRDefault="007065D4" w:rsidP="008E17FD">
                            <w:pPr>
                              <w:jc w:val="center"/>
                              <w:rPr>
                                <w:b/>
                                <w:bCs/>
                                <w:i/>
                                <w:iCs/>
                                <w:color w:val="FFFFFF" w:themeColor="background1"/>
                                <w:sz w:val="24"/>
                                <w:szCs w:val="24"/>
                              </w:rPr>
                            </w:pPr>
                            <w:r w:rsidRPr="004C6E93">
                              <w:rPr>
                                <w:b/>
                                <w:bCs/>
                                <w:i/>
                                <w:iCs/>
                                <w:color w:val="FFFFFF" w:themeColor="background1"/>
                                <w:sz w:val="24"/>
                                <w:szCs w:val="24"/>
                              </w:rPr>
                              <w:t>I. Forcimi i sigurisë së ujit përmes menaxhimit të qëndrueshëm të resurseve, infrastrukturës</w:t>
                            </w:r>
                            <w:r w:rsidR="004379C7" w:rsidRPr="004C6E93">
                              <w:rPr>
                                <w:b/>
                                <w:bCs/>
                                <w:i/>
                                <w:iCs/>
                                <w:color w:val="FFFFFF" w:themeColor="background1"/>
                                <w:sz w:val="24"/>
                                <w:szCs w:val="24"/>
                              </w:rPr>
                              <w:t xml:space="preserve"> rezistuese </w:t>
                            </w:r>
                            <w:r w:rsidRPr="004C6E93">
                              <w:rPr>
                                <w:b/>
                                <w:bCs/>
                                <w:i/>
                                <w:iCs/>
                                <w:color w:val="FFFFFF" w:themeColor="background1"/>
                                <w:sz w:val="24"/>
                                <w:szCs w:val="24"/>
                              </w:rPr>
                              <w:t xml:space="preserve"> ndaj </w:t>
                            </w:r>
                            <w:r w:rsidR="00F02F85" w:rsidRPr="004C6E93">
                              <w:rPr>
                                <w:b/>
                                <w:bCs/>
                                <w:i/>
                                <w:iCs/>
                                <w:color w:val="FFFFFF" w:themeColor="background1"/>
                                <w:sz w:val="24"/>
                                <w:szCs w:val="24"/>
                              </w:rPr>
                              <w:t xml:space="preserve">ndryshimit të </w:t>
                            </w:r>
                            <w:r w:rsidRPr="004C6E93">
                              <w:rPr>
                                <w:b/>
                                <w:bCs/>
                                <w:i/>
                                <w:iCs/>
                                <w:color w:val="FFFFFF" w:themeColor="background1"/>
                                <w:sz w:val="24"/>
                                <w:szCs w:val="24"/>
                              </w:rPr>
                              <w:t>klimës , duke siguruar sasi të mjaftueshme të ujit cilësor dhe të pastër për të përmbushur nevojat e të gjithë sektorëve dhe ekosistemeve.</w:t>
                            </w:r>
                          </w:p>
                          <w:p w14:paraId="3586771E" w14:textId="77777777" w:rsidR="007065D4" w:rsidRDefault="007065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FFEE57" id="Cuadro de texto 12" o:spid="_x0000_s1047" type="#_x0000_t202" style="position:absolute;left:0;text-align:left;margin-left:.95pt;margin-top:29.55pt;width:511.5pt;height:79.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" fillcolor="#0f4761" strokecolor="#156082 [3204]" strokeweight=".5pt">
                <v:textbox>
                  <w:txbxContent>
                    <w:p w14:paraId="41DD3CB0" w14:textId="48CB7181" w:rsidR="007065D4" w:rsidRPr="004C6E93" w:rsidRDefault="007065D4" w:rsidP="008E17FD">
                      <w:pPr>
                        <w:jc w:val="center"/>
                        <w:rPr>
                          <w:b/>
                          <w:bCs/>
                          <w:i/>
                          <w:iCs/>
                          <w:color w:val="FFFFFF" w:themeColor="background1"/>
                          <w:sz w:val="24"/>
                          <w:szCs w:val="24"/>
                        </w:rPr>
                      </w:pPr>
                      <w:r w:rsidRPr="004C6E93">
                        <w:rPr>
                          <w:b/>
                          <w:bCs/>
                          <w:i/>
                          <w:iCs/>
                          <w:color w:val="FFFFFF" w:themeColor="background1"/>
                          <w:sz w:val="24"/>
                          <w:szCs w:val="24"/>
                        </w:rPr>
                        <w:t xml:space="preserve">I. </w:t>
                      </w:r>
                      <w:r w:rsidRPr="004C6E93">
                        <w:rPr>
                          <w:b/>
                          <w:bCs/>
                          <w:i/>
                          <w:iCs/>
                          <w:color w:val="FFFFFF" w:themeColor="background1"/>
                          <w:sz w:val="24"/>
                          <w:szCs w:val="24"/>
                        </w:rPr>
                        <w:t>Forcimi i sigurisë së ujit përmes menaxhimit të qëndrueshëm të resurseve, infrastrukturës</w:t>
                      </w:r>
                      <w:r w:rsidR="004379C7" w:rsidRPr="004C6E93">
                        <w:rPr>
                          <w:b/>
                          <w:bCs/>
                          <w:i/>
                          <w:iCs/>
                          <w:color w:val="FFFFFF" w:themeColor="background1"/>
                          <w:sz w:val="24"/>
                          <w:szCs w:val="24"/>
                        </w:rPr>
                        <w:t xml:space="preserve"> </w:t>
                      </w:r>
                      <w:proofErr w:type="gramStart"/>
                      <w:r w:rsidR="004379C7" w:rsidRPr="004C6E93">
                        <w:rPr>
                          <w:b/>
                          <w:bCs/>
                          <w:i/>
                          <w:iCs/>
                          <w:color w:val="FFFFFF" w:themeColor="background1"/>
                          <w:sz w:val="24"/>
                          <w:szCs w:val="24"/>
                        </w:rPr>
                        <w:t xml:space="preserve">rezistuese </w:t>
                      </w:r>
                      <w:r w:rsidRPr="004C6E93">
                        <w:rPr>
                          <w:b/>
                          <w:bCs/>
                          <w:i/>
                          <w:iCs/>
                          <w:color w:val="FFFFFF" w:themeColor="background1"/>
                          <w:sz w:val="24"/>
                          <w:szCs w:val="24"/>
                        </w:rPr>
                        <w:t xml:space="preserve"> ndaj</w:t>
                      </w:r>
                      <w:proofErr w:type="gramEnd"/>
                      <w:r w:rsidRPr="004C6E93">
                        <w:rPr>
                          <w:b/>
                          <w:bCs/>
                          <w:i/>
                          <w:iCs/>
                          <w:color w:val="FFFFFF" w:themeColor="background1"/>
                          <w:sz w:val="24"/>
                          <w:szCs w:val="24"/>
                        </w:rPr>
                        <w:t xml:space="preserve"> </w:t>
                      </w:r>
                      <w:r w:rsidR="00F02F85" w:rsidRPr="004C6E93">
                        <w:rPr>
                          <w:b/>
                          <w:bCs/>
                          <w:i/>
                          <w:iCs/>
                          <w:color w:val="FFFFFF" w:themeColor="background1"/>
                          <w:sz w:val="24"/>
                          <w:szCs w:val="24"/>
                        </w:rPr>
                        <w:t xml:space="preserve">ndryshimit të </w:t>
                      </w:r>
                      <w:proofErr w:type="gramStart"/>
                      <w:r w:rsidRPr="004C6E93">
                        <w:rPr>
                          <w:b/>
                          <w:bCs/>
                          <w:i/>
                          <w:iCs/>
                          <w:color w:val="FFFFFF" w:themeColor="background1"/>
                          <w:sz w:val="24"/>
                          <w:szCs w:val="24"/>
                        </w:rPr>
                        <w:t>klimës ,</w:t>
                      </w:r>
                      <w:proofErr w:type="gramEnd"/>
                      <w:r w:rsidRPr="004C6E93">
                        <w:rPr>
                          <w:b/>
                          <w:bCs/>
                          <w:i/>
                          <w:iCs/>
                          <w:color w:val="FFFFFF" w:themeColor="background1"/>
                          <w:sz w:val="24"/>
                          <w:szCs w:val="24"/>
                        </w:rPr>
                        <w:t xml:space="preserve"> duke siguruar sasi të mjaftueshme të ujit cilësor dhe të pastër për të përmbushur nevojat e të gjithë sektorëve dhe ekosistemeve.</w:t>
                      </w:r>
                    </w:p>
                    <w:p w14:paraId="3586771E" w14:textId="77777777" w:rsidR="007065D4" w:rsidRDefault="007065D4"/>
                  </w:txbxContent>
                </v:textbox>
                <w10:wrap type="topAndBottom"/>
              </v:shape>
            </w:pict>
          </mc:Fallback>
        </mc:AlternateContent>
      </w:r>
      <w:r w:rsidR="002C0E8B" w:rsidRPr="001C61AE">
        <w:rPr>
          <w:rFonts w:ascii="Arial" w:hAnsi="Arial" w:cs="Arial"/>
          <w:lang w:val="sq-AL"/>
        </w:rPr>
        <w:t>Objektivi strategjik që drejton përshtatjen ndaj klimës në sektorin e resurseve ujore të Kosovës përcaktohet si më poshtë</w:t>
      </w:r>
      <w:r w:rsidRPr="001C61AE">
        <w:rPr>
          <w:rFonts w:ascii="Arial" w:hAnsi="Arial" w:cs="Arial"/>
          <w:lang w:val="sq-AL"/>
        </w:rPr>
        <w:t>:</w:t>
      </w:r>
    </w:p>
    <w:p w14:paraId="6BA952D6" w14:textId="00C5177E" w:rsidR="002C0E8B" w:rsidRPr="001C61AE" w:rsidRDefault="002C0E8B" w:rsidP="002C0E8B">
      <w:pPr>
        <w:spacing w:before="160" w:line="240" w:lineRule="auto"/>
        <w:jc w:val="both"/>
        <w:rPr>
          <w:rFonts w:ascii="Arial" w:hAnsi="Arial" w:cs="Arial"/>
          <w:lang w:val="sq-AL"/>
        </w:rPr>
      </w:pPr>
      <w:r w:rsidRPr="001C61AE">
        <w:rPr>
          <w:rFonts w:ascii="Arial" w:hAnsi="Arial" w:cs="Arial"/>
          <w:lang w:val="sq-AL"/>
        </w:rPr>
        <w:t>Ky objektiv synon të garantojë furnizimin me ujë të mjaftueshëm, cilësor dhe të pastër për të përmbushur nevojat e të gjitha sektorëve ekonomikë, komuniteteve dhe ekosistemeve natyrore – si në të tashmen ashtu edhe përballë sfidave të ardhshme klimatike. Përmes një qasjeje të integruar dhe me vizion afatgjatë, ky objektiv nënvizon rolin jetik të ujit si resurs themelor për zhvillim të qëndrueshëm, shëndet publik, mbrojtje të mjedisit dhe qëndrueshmëri ndaj ndryshimeve klimatike në Kosovë.</w:t>
      </w:r>
    </w:p>
    <w:p w14:paraId="59DBD546" w14:textId="1EFED246" w:rsidR="002C0E8B" w:rsidRPr="001C61AE" w:rsidRDefault="002C0E8B" w:rsidP="002C0E8B">
      <w:pPr>
        <w:spacing w:before="160" w:line="240" w:lineRule="auto"/>
        <w:jc w:val="both"/>
        <w:rPr>
          <w:rFonts w:ascii="Arial" w:hAnsi="Arial" w:cs="Arial"/>
          <w:lang w:val="sq-AL"/>
        </w:rPr>
      </w:pPr>
      <w:r w:rsidRPr="001C61AE">
        <w:rPr>
          <w:rFonts w:ascii="Arial" w:hAnsi="Arial" w:cs="Arial"/>
          <w:lang w:val="sq-AL"/>
        </w:rPr>
        <w:t xml:space="preserve">Për ta shndërruar këtë synim në veprim konkret, sektori i resurseve ujore ka identifikuar një sërë </w:t>
      </w:r>
      <w:r w:rsidR="00E55236" w:rsidRPr="001C61AE">
        <w:rPr>
          <w:rFonts w:ascii="Arial" w:hAnsi="Arial" w:cs="Arial"/>
          <w:lang w:val="sq-AL"/>
        </w:rPr>
        <w:t>m</w:t>
      </w:r>
      <w:r w:rsidRPr="001C61AE">
        <w:rPr>
          <w:rFonts w:ascii="Arial" w:hAnsi="Arial" w:cs="Arial"/>
          <w:lang w:val="sq-AL"/>
        </w:rPr>
        <w:t xml:space="preserve">asash </w:t>
      </w:r>
      <w:r w:rsidR="00E55236" w:rsidRPr="001C61AE">
        <w:rPr>
          <w:rFonts w:ascii="Arial" w:hAnsi="Arial" w:cs="Arial"/>
          <w:lang w:val="sq-AL"/>
        </w:rPr>
        <w:t>k</w:t>
      </w:r>
      <w:r w:rsidRPr="001C61AE">
        <w:rPr>
          <w:rFonts w:ascii="Arial" w:hAnsi="Arial" w:cs="Arial"/>
          <w:lang w:val="sq-AL"/>
        </w:rPr>
        <w:t xml:space="preserve">yçe të </w:t>
      </w:r>
      <w:r w:rsidR="00E55236" w:rsidRPr="001C61AE">
        <w:rPr>
          <w:rFonts w:ascii="Arial" w:hAnsi="Arial" w:cs="Arial"/>
          <w:lang w:val="sq-AL"/>
        </w:rPr>
        <w:t>p</w:t>
      </w:r>
      <w:r w:rsidRPr="001C61AE">
        <w:rPr>
          <w:rFonts w:ascii="Arial" w:hAnsi="Arial" w:cs="Arial"/>
          <w:lang w:val="sq-AL"/>
        </w:rPr>
        <w:t>ërshtatjes. Këto përfaqësojnë fushat kryesore të ndërhyrjes që janë të nevojshme për të reduktuar rreziqet klimatike, për të rritur qëndrueshmërinë dhe për të siguruar disponueshmërinë afatgjatë të ujit. Secili prioritet shoqërohet me përpjekje të synuara që pasqyrojnë cenueshmëritë klimatike specifike të Kosovës dhe kapacitetet institucionale ekzistuese.</w:t>
      </w:r>
    </w:p>
    <w:p w14:paraId="11F33EE2" w14:textId="23D1C7D4" w:rsidR="001F6550" w:rsidRPr="001C61AE" w:rsidRDefault="002C0E8B" w:rsidP="001F6550">
      <w:pPr>
        <w:spacing w:before="160" w:line="240" w:lineRule="auto"/>
        <w:jc w:val="both"/>
        <w:rPr>
          <w:rFonts w:ascii="Arial" w:hAnsi="Arial" w:cs="Arial"/>
          <w:lang w:val="sq-AL"/>
        </w:rPr>
      </w:pPr>
      <w:r w:rsidRPr="001C61AE">
        <w:rPr>
          <w:rFonts w:ascii="Arial" w:hAnsi="Arial" w:cs="Arial"/>
          <w:noProof/>
        </w:rPr>
        <w:lastRenderedPageBreak/>
        <mc:AlternateContent>
          <mc:Choice Requires="wpg">
            <w:drawing>
              <wp:anchor distT="0" distB="0" distL="114300" distR="114300" simplePos="0" relativeHeight="251741184" behindDoc="0" locked="0" layoutInCell="1" allowOverlap="1" wp14:anchorId="54EC40B0" wp14:editId="6B5A00A9">
                <wp:simplePos x="0" y="0"/>
                <wp:positionH relativeFrom="margin">
                  <wp:posOffset>1564640</wp:posOffset>
                </wp:positionH>
                <wp:positionV relativeFrom="paragraph">
                  <wp:posOffset>183515</wp:posOffset>
                </wp:positionV>
                <wp:extent cx="3352800" cy="1876425"/>
                <wp:effectExtent l="0" t="0" r="0" b="28575"/>
                <wp:wrapTopAndBottom/>
                <wp:docPr id="494997084" name="Grupo 25"/>
                <wp:cNvGraphicFramePr/>
                <a:graphic xmlns:a="http://schemas.openxmlformats.org/drawingml/2006/main">
                  <a:graphicData uri="http://schemas.microsoft.com/office/word/2010/wordprocessingGroup">
                    <wpg:wgp>
                      <wpg:cNvGrpSpPr/>
                      <wpg:grpSpPr>
                        <a:xfrm>
                          <a:off x="0" y="0"/>
                          <a:ext cx="3352800" cy="1876425"/>
                          <a:chOff x="0" y="0"/>
                          <a:chExt cx="3352800" cy="1228725"/>
                        </a:xfrm>
                      </wpg:grpSpPr>
                      <wps:wsp>
                        <wps:cNvPr id="219196703" name="Cuadro de texto 13"/>
                        <wps:cNvSpPr txBox="1"/>
                        <wps:spPr>
                          <a:xfrm>
                            <a:off x="0" y="171450"/>
                            <a:ext cx="3248025" cy="1057275"/>
                          </a:xfrm>
                          <a:prstGeom prst="rect">
                            <a:avLst/>
                          </a:prstGeom>
                          <a:solidFill>
                            <a:schemeClr val="lt1"/>
                          </a:solidFill>
                          <a:ln w="6350">
                            <a:solidFill>
                              <a:srgbClr val="0F4761"/>
                            </a:solidFill>
                            <a:prstDash val="dash"/>
                          </a:ln>
                        </wps:spPr>
                        <wps:txbx>
                          <w:txbxContent>
                            <w:p w14:paraId="06AC7A8D" w14:textId="48AD4287" w:rsidR="007065D4" w:rsidRPr="002C0E8B" w:rsidRDefault="007065D4" w:rsidP="00F36447">
                              <w:pPr>
                                <w:numPr>
                                  <w:ilvl w:val="0"/>
                                  <w:numId w:val="14"/>
                                </w:numPr>
                                <w:rPr>
                                  <w:b/>
                                  <w:bCs/>
                                  <w:color w:val="0F4761"/>
                                  <w:lang w:val="en-GB"/>
                                </w:rPr>
                              </w:pPr>
                              <w:r w:rsidRPr="002C0E8B">
                                <w:rPr>
                                  <w:b/>
                                  <w:bCs/>
                                  <w:color w:val="0F4761"/>
                                </w:rPr>
                                <w:t>Infrastrukturë ujore</w:t>
                              </w:r>
                              <w:r w:rsidR="00FA3E3A">
                                <w:rPr>
                                  <w:b/>
                                  <w:bCs/>
                                  <w:color w:val="0F4761"/>
                                </w:rPr>
                                <w:t xml:space="preserve"> rezistuese</w:t>
                              </w:r>
                              <w:r w:rsidR="00646A72">
                                <w:rPr>
                                  <w:b/>
                                  <w:bCs/>
                                  <w:color w:val="FF0000"/>
                                </w:rPr>
                                <w:t xml:space="preserve"> </w:t>
                              </w:r>
                              <w:r w:rsidRPr="002C0E8B">
                                <w:rPr>
                                  <w:b/>
                                  <w:bCs/>
                                  <w:color w:val="0F4761"/>
                                </w:rPr>
                                <w:t>ndaj ndryshimeve klimatike</w:t>
                              </w:r>
                            </w:p>
                            <w:p w14:paraId="59136F8A" w14:textId="77777777" w:rsidR="007065D4" w:rsidRPr="002C0E8B" w:rsidRDefault="007065D4" w:rsidP="00F36447">
                              <w:pPr>
                                <w:numPr>
                                  <w:ilvl w:val="0"/>
                                  <w:numId w:val="14"/>
                                </w:numPr>
                                <w:rPr>
                                  <w:b/>
                                  <w:bCs/>
                                  <w:color w:val="0F4761"/>
                                  <w:lang w:val="en-GB"/>
                                </w:rPr>
                              </w:pPr>
                              <w:r w:rsidRPr="002C0E8B">
                                <w:rPr>
                                  <w:b/>
                                  <w:bCs/>
                                  <w:color w:val="0F4761"/>
                                </w:rPr>
                                <w:t>Menaxhim i qëndrueshëm i pellgjeve ujore</w:t>
                              </w:r>
                            </w:p>
                            <w:p w14:paraId="1B01E7F2" w14:textId="77777777" w:rsidR="007065D4" w:rsidRPr="002C0E8B" w:rsidRDefault="007065D4" w:rsidP="00F36447">
                              <w:pPr>
                                <w:numPr>
                                  <w:ilvl w:val="0"/>
                                  <w:numId w:val="14"/>
                                </w:numPr>
                                <w:rPr>
                                  <w:b/>
                                  <w:bCs/>
                                  <w:color w:val="0F4761"/>
                                  <w:lang w:val="en-GB"/>
                                </w:rPr>
                              </w:pPr>
                              <w:r w:rsidRPr="002C0E8B">
                                <w:rPr>
                                  <w:b/>
                                  <w:bCs/>
                                  <w:color w:val="0F4761"/>
                                </w:rPr>
                                <w:t>Zvogëlimi i rrezikut nga thatësira dhe përmbytjet</w:t>
                              </w:r>
                            </w:p>
                            <w:p w14:paraId="3CC41BA5" w14:textId="77777777" w:rsidR="007065D4" w:rsidRPr="008E17FD" w:rsidRDefault="007065D4">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96938585" name="Grupo 22"/>
                        <wpg:cNvGrpSpPr/>
                        <wpg:grpSpPr>
                          <a:xfrm>
                            <a:off x="2943225" y="0"/>
                            <a:ext cx="409575" cy="409575"/>
                            <a:chOff x="0" y="0"/>
                            <a:chExt cx="409575" cy="409575"/>
                          </a:xfrm>
                        </wpg:grpSpPr>
                        <pic:pic xmlns:pic="http://schemas.openxmlformats.org/drawingml/2006/picture">
                          <pic:nvPicPr>
                            <pic:cNvPr id="1442371812" name="Imagen 14"/>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pic:spPr>
                        </pic:pic>
                        <pic:pic xmlns:pic="http://schemas.openxmlformats.org/drawingml/2006/picture">
                          <pic:nvPicPr>
                            <pic:cNvPr id="1797691353" name="Graphic 6" descr="Water outline"/>
                            <pic:cNvPicPr>
                              <a:picLocks noChangeAspect="1"/>
                            </pic:cNvPicPr>
                          </pic:nvPicPr>
                          <pic:blipFill>
                            <a:blip r:embed="rId8">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9"/>
                                </a:ext>
                              </a:extLst>
                            </a:blip>
                            <a:stretch>
                              <a:fillRect/>
                            </a:stretch>
                          </pic:blipFill>
                          <pic:spPr>
                            <a:xfrm>
                              <a:off x="65314" y="60290"/>
                              <a:ext cx="285750" cy="285750"/>
                            </a:xfrm>
                            <a:prstGeom prst="rect">
                              <a:avLst/>
                            </a:prstGeom>
                          </pic:spPr>
                        </pic:pic>
                      </wpg:grpSp>
                    </wpg:wgp>
                  </a:graphicData>
                </a:graphic>
                <wp14:sizeRelV relativeFrom="margin">
                  <wp14:pctHeight>0</wp14:pctHeight>
                </wp14:sizeRelV>
              </wp:anchor>
            </w:drawing>
          </mc:Choice>
          <mc:Fallback>
            <w:pict>
              <v:group w14:anchorId="54EC40B0" id="Grupo 25" o:spid="_x0000_s1048" style="position:absolute;left:0;text-align:left;margin-left:123.2pt;margin-top:14.45pt;width:264pt;height:147.75pt;z-index:251741184;mso-position-horizontal-relative:margin;mso-height-relative:margin" coordsize="33528,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">
                <v:shape id="_x0000_s1049" type="#_x0000_t202" style="position:absolute;top:1714;width:32480;height:1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" fillcolor="white [3201]" strokecolor="#0f4761" strokeweight=".5pt">
                  <v:stroke dashstyle="dash"/>
                  <v:textbox>
                    <w:txbxContent>
                      <w:p w14:paraId="06AC7A8D" w14:textId="48AD4287" w:rsidR="007065D4" w:rsidRPr="002C0E8B" w:rsidRDefault="007065D4" w:rsidP="00F36447">
                        <w:pPr>
                          <w:numPr>
                            <w:ilvl w:val="0"/>
                            <w:numId w:val="14"/>
                          </w:numPr>
                          <w:rPr>
                            <w:b/>
                            <w:bCs/>
                            <w:color w:val="0F4761"/>
                            <w:lang w:val="en-GB"/>
                          </w:rPr>
                        </w:pPr>
                        <w:r w:rsidRPr="002C0E8B">
                          <w:rPr>
                            <w:b/>
                            <w:bCs/>
                            <w:color w:val="0F4761"/>
                          </w:rPr>
                          <w:t>Infrastrukturë ujore</w:t>
                        </w:r>
                        <w:r w:rsidR="00FA3E3A">
                          <w:rPr>
                            <w:b/>
                            <w:bCs/>
                            <w:color w:val="0F4761"/>
                          </w:rPr>
                          <w:t xml:space="preserve"> rezistuese</w:t>
                        </w:r>
                        <w:r w:rsidR="00646A72">
                          <w:rPr>
                            <w:b/>
                            <w:bCs/>
                            <w:color w:val="FF0000"/>
                          </w:rPr>
                          <w:t xml:space="preserve"> </w:t>
                        </w:r>
                        <w:r w:rsidRPr="002C0E8B">
                          <w:rPr>
                            <w:b/>
                            <w:bCs/>
                            <w:color w:val="0F4761"/>
                          </w:rPr>
                          <w:t>ndaj ndryshimeve klimatike</w:t>
                        </w:r>
                      </w:p>
                      <w:p w14:paraId="59136F8A" w14:textId="77777777" w:rsidR="007065D4" w:rsidRPr="002C0E8B" w:rsidRDefault="007065D4" w:rsidP="00F36447">
                        <w:pPr>
                          <w:numPr>
                            <w:ilvl w:val="0"/>
                            <w:numId w:val="14"/>
                          </w:numPr>
                          <w:rPr>
                            <w:b/>
                            <w:bCs/>
                            <w:color w:val="0F4761"/>
                            <w:lang w:val="en-GB"/>
                          </w:rPr>
                        </w:pPr>
                        <w:r w:rsidRPr="002C0E8B">
                          <w:rPr>
                            <w:b/>
                            <w:bCs/>
                            <w:color w:val="0F4761"/>
                          </w:rPr>
                          <w:t>Menaxhim i qëndrueshëm i pellgjeve ujore</w:t>
                        </w:r>
                      </w:p>
                      <w:p w14:paraId="1B01E7F2" w14:textId="77777777" w:rsidR="007065D4" w:rsidRPr="002C0E8B" w:rsidRDefault="007065D4" w:rsidP="00F36447">
                        <w:pPr>
                          <w:numPr>
                            <w:ilvl w:val="0"/>
                            <w:numId w:val="14"/>
                          </w:numPr>
                          <w:rPr>
                            <w:b/>
                            <w:bCs/>
                            <w:color w:val="0F4761"/>
                            <w:lang w:val="en-GB"/>
                          </w:rPr>
                        </w:pPr>
                        <w:r w:rsidRPr="002C0E8B">
                          <w:rPr>
                            <w:b/>
                            <w:bCs/>
                            <w:color w:val="0F4761"/>
                          </w:rPr>
                          <w:t>Zvogëlimi i rrezikut nga thatësira dhe përmbytjet</w:t>
                        </w:r>
                      </w:p>
                      <w:p w14:paraId="3CC41BA5" w14:textId="77777777" w:rsidR="007065D4" w:rsidRPr="008E17FD" w:rsidRDefault="007065D4">
                        <w:pPr>
                          <w:rPr>
                            <w:b/>
                            <w:bCs/>
                          </w:rPr>
                        </w:pPr>
                      </w:p>
                    </w:txbxContent>
                  </v:textbox>
                </v:shape>
                <v:group id="Grupo 22" o:spid="_x0000_s1050" style="position:absolute;left:29432;width:4096;height:4095" coordsize="4095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51" type="#_x0000_t75" style="position:absolute;width:409575;height:40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">
                    <v:imagedata r:id="rId49" o:title=""/>
                    <v:path arrowok="t"/>
                  </v:shape>
                  <v:shape id="Graphic 6" o:spid="_x0000_s1052" type="#_x0000_t75" alt="Water outline" style="position:absolute;left:65314;top:60290;width:285750;height:285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">
                    <v:imagedata r:id="rId50" o:title="Water outline"/>
                    <v:path arrowok="t"/>
                  </v:shape>
                </v:group>
                <w10:wrap type="topAndBottom" anchorx="margin"/>
              </v:group>
            </w:pict>
          </mc:Fallback>
        </mc:AlternateContent>
      </w:r>
      <w:r w:rsidRPr="001C61AE">
        <w:rPr>
          <w:rFonts w:ascii="Arial" w:hAnsi="Arial" w:cs="Arial"/>
          <w:lang w:val="sq-AL"/>
        </w:rPr>
        <w:t>Tre prioritetet kyçe të përshtatjes për sektorin e ujit janë si më poshtë:</w:t>
      </w:r>
      <w:r w:rsidR="008C007F" w:rsidRPr="001C61AE">
        <w:rPr>
          <w:rFonts w:ascii="Arial" w:eastAsia="Arial" w:hAnsi="Arial" w:cs="Arial"/>
          <w:lang w:val="sq-AL"/>
        </w:rPr>
        <w:t xml:space="preserve"> </w:t>
      </w:r>
    </w:p>
    <w:p w14:paraId="1A343CCA" w14:textId="77777777" w:rsidR="004C6E93" w:rsidRPr="001C61AE" w:rsidRDefault="005A1BC8" w:rsidP="004C6E93">
      <w:pPr>
        <w:pStyle w:val="Heading3"/>
        <w:rPr>
          <w:rFonts w:ascii="Arial" w:hAnsi="Arial" w:cs="Arial"/>
          <w:lang w:val="sq-AL"/>
        </w:rPr>
      </w:pPr>
      <w:r w:rsidRPr="001C61AE">
        <w:rPr>
          <w:rFonts w:ascii="Arial" w:hAnsi="Arial" w:cs="Arial"/>
          <w:lang w:val="sq-AL"/>
        </w:rPr>
        <w:t>Infrastrukturë ujore e qëndrueshme ndaj ndryshimit të klimës</w:t>
      </w:r>
      <w:r w:rsidRPr="001C61AE" w:rsidDel="005A1BC8">
        <w:rPr>
          <w:rFonts w:ascii="Arial" w:hAnsi="Arial" w:cs="Arial"/>
          <w:lang w:val="sq-AL"/>
        </w:rPr>
        <w:t xml:space="preserve"> </w:t>
      </w:r>
    </w:p>
    <w:p w14:paraId="68411E79" w14:textId="442D5575" w:rsidR="00E55236" w:rsidRPr="001C61AE" w:rsidRDefault="00E55236" w:rsidP="00E55236">
      <w:pPr>
        <w:spacing w:line="240" w:lineRule="auto"/>
        <w:jc w:val="both"/>
        <w:rPr>
          <w:rFonts w:ascii="Arial" w:hAnsi="Arial" w:cs="Arial"/>
          <w:lang w:val="sq-AL"/>
        </w:rPr>
      </w:pPr>
      <w:r w:rsidRPr="001C61AE">
        <w:rPr>
          <w:rFonts w:ascii="Arial" w:hAnsi="Arial" w:cs="Arial"/>
          <w:lang w:val="sq-AL"/>
        </w:rPr>
        <w:t xml:space="preserve">Qasja e Kosovës ndaj infrastrukturës së ujit të qëndrueshme ndaj klimës identifikon disa sektorë prioritarë që kërkojnë masa të synuara përshtatjeje. Këto përfshijnë furnizimin me ujë dhe kanalizimin urban, sistemet rurale të ujit, bujqësinë me ujitje, kontrollin e përmbytjeve dhe menaxhimin e rreziqeve nga fatkeqësitë, infrastrukturën e rezervuarëve dhe digave, rrjetet e shpërndarjes së ujit dhe menaxhimin e resurseve ujore nëntokësore. Secili prej këtyre sektorëve është i ndjeshëm ndaj efekteve të përbashkëta të mungesës së ujit, degradimit të infrastrukturës dhe rritjes së ndryshueshmërisë klimatike. Si përgjigje, </w:t>
      </w:r>
      <w:r w:rsidR="00DF1F32" w:rsidRPr="001C61AE">
        <w:rPr>
          <w:rFonts w:ascii="Arial" w:hAnsi="Arial" w:cs="Arial"/>
          <w:lang w:val="sq-AL"/>
        </w:rPr>
        <w:t>kemi</w:t>
      </w:r>
      <w:r w:rsidRPr="001C61AE">
        <w:rPr>
          <w:rFonts w:ascii="Arial" w:hAnsi="Arial" w:cs="Arial"/>
          <w:lang w:val="sq-AL"/>
        </w:rPr>
        <w:t xml:space="preserve"> përcaktuar një sërë ndërhyrjesh kyçe për përshtatje me qëllim forcimin e qëndrueshmërisë së sistemeve, garantimin e sigurisë së ujit dhe përmirësimin e vazhdimësisë së shërbimeve përballë kushteve të ardhshme klimatike.</w:t>
      </w:r>
    </w:p>
    <w:p w14:paraId="6910DC38" w14:textId="173571A0" w:rsidR="001D4FA1" w:rsidRPr="001C61AE" w:rsidRDefault="00E55236" w:rsidP="001D4FA1">
      <w:pPr>
        <w:spacing w:line="240" w:lineRule="auto"/>
        <w:jc w:val="both"/>
        <w:rPr>
          <w:rFonts w:ascii="Arial" w:hAnsi="Arial" w:cs="Arial"/>
          <w:lang w:val="sq-AL"/>
        </w:rPr>
      </w:pPr>
      <w:r w:rsidRPr="001C61AE">
        <w:rPr>
          <w:rFonts w:ascii="Arial" w:hAnsi="Arial" w:cs="Arial"/>
          <w:lang w:val="sq-AL"/>
        </w:rPr>
        <w:t xml:space="preserve">Një prioritet qendror është zgjerimi i kapacitetit të depozitimit të ujit, duke pasur parasysh se Kosova ka ndër volumin më të ulët për banor të rezervuarëve në Evropë. Për të adresuar këtë sfidë, </w:t>
      </w:r>
      <w:r w:rsidR="00DF1F32" w:rsidRPr="001C61AE">
        <w:rPr>
          <w:rFonts w:ascii="Arial" w:hAnsi="Arial" w:cs="Arial"/>
          <w:lang w:val="sq-AL"/>
        </w:rPr>
        <w:t>kemi</w:t>
      </w:r>
      <w:r w:rsidRPr="001C61AE">
        <w:rPr>
          <w:rFonts w:ascii="Arial" w:hAnsi="Arial" w:cs="Arial"/>
          <w:lang w:val="sq-AL"/>
        </w:rPr>
        <w:t xml:space="preserve"> nisur ndërtimin e rezervuarëve të rinj, më së shumti digat Firaja dhe Desivojcë. Këto projekte infrastrukturore janë konceptuar për të përmirësuar besueshmërinë e furnizimit me ujë në zonat e prirura ndaj thatësirave në pjesën qendrore dhe lindore të Kosovës, si Ferizaj dhe Gjilani. Si plotësim i këtyre përpjekjeve, </w:t>
      </w:r>
      <w:r w:rsidR="000940CE" w:rsidRPr="001C61AE">
        <w:rPr>
          <w:rFonts w:ascii="Arial" w:hAnsi="Arial" w:cs="Arial"/>
          <w:lang w:val="sq-AL"/>
        </w:rPr>
        <w:t>jemi duke</w:t>
      </w:r>
      <w:r w:rsidRPr="001C61AE">
        <w:rPr>
          <w:rFonts w:ascii="Arial" w:hAnsi="Arial" w:cs="Arial"/>
          <w:lang w:val="sq-AL"/>
        </w:rPr>
        <w:t xml:space="preserve"> invest</w:t>
      </w:r>
      <w:r w:rsidR="000940CE" w:rsidRPr="001C61AE">
        <w:rPr>
          <w:rFonts w:ascii="Arial" w:hAnsi="Arial" w:cs="Arial"/>
          <w:lang w:val="sq-AL"/>
        </w:rPr>
        <w:t>uar</w:t>
      </w:r>
      <w:r w:rsidRPr="001C61AE">
        <w:rPr>
          <w:rFonts w:ascii="Arial" w:hAnsi="Arial" w:cs="Arial"/>
          <w:lang w:val="sq-AL"/>
        </w:rPr>
        <w:t xml:space="preserve"> gjithashtu në rehabilitimin dhe përmirësimin e sigurisë së rezervuarëve ekzistues, përfshirë Ujmanin, Batllavën, Badovcin, Radoniqin dhe Përlepnicën. Programi FLOWS i financuar nga Banka Botërore luan një rol kritik në mbështetjen e vlerësimeve të sigurisë së digave dhe forcimeve të domosdoshme strukturore, të cilat po bëhen gjithnjë e më të rëndësishme për shkak të shtimit të ngjarjeve ekstreme të motit</w:t>
      </w:r>
      <w:r w:rsidR="001D4FA1" w:rsidRPr="001C61AE">
        <w:rPr>
          <w:rFonts w:ascii="Arial" w:hAnsi="Arial" w:cs="Arial"/>
          <w:lang w:val="sq-AL"/>
        </w:rPr>
        <w:t>.</w:t>
      </w:r>
    </w:p>
    <w:p w14:paraId="76EF7873" w14:textId="64E39EFD" w:rsidR="00E55236" w:rsidRPr="001C61AE" w:rsidRDefault="00E55236" w:rsidP="00E55236">
      <w:pPr>
        <w:spacing w:line="240" w:lineRule="auto"/>
        <w:jc w:val="both"/>
        <w:rPr>
          <w:rFonts w:ascii="Arial" w:hAnsi="Arial" w:cs="Arial"/>
          <w:lang w:val="sq-AL"/>
        </w:rPr>
      </w:pPr>
      <w:r w:rsidRPr="001C61AE">
        <w:rPr>
          <w:rFonts w:ascii="Arial" w:hAnsi="Arial" w:cs="Arial"/>
          <w:lang w:val="sq-AL"/>
        </w:rPr>
        <w:t xml:space="preserve">Adresimi i rreziqeve nga përmbytjet është shndërruar në një komponent thelbësor të strategjisë së përshtatjes ndaj ndryshimeve klimatike. Ngjarje historike si përmbytja e rëndë në Skenderaj në janar të vitit 2023 kanë theksuar urgjencën për forcimin e sistemeve të mbrojtjes nga përmbytjet. Vlerësimi Paraprak i Rrezikut nga Përmbytjet ka identifikuar 398 zona me rrezik të lartë përmbytjeje, prej të cilave 20 janë konsideruar si zona me rrezik ekstrem. Si përgjigje, </w:t>
      </w:r>
      <w:r w:rsidR="00BE39C7" w:rsidRPr="001C61AE">
        <w:rPr>
          <w:rFonts w:ascii="Arial" w:hAnsi="Arial" w:cs="Arial"/>
          <w:lang w:val="sq-AL"/>
        </w:rPr>
        <w:t>Strategjia</w:t>
      </w:r>
      <w:r w:rsidRPr="001C61AE">
        <w:rPr>
          <w:rFonts w:ascii="Arial" w:hAnsi="Arial" w:cs="Arial"/>
          <w:lang w:val="sq-AL"/>
        </w:rPr>
        <w:t xml:space="preserve"> përfshin ndërtimin e argjinaturave, pragjeve të rregullimit të rrjedhjes, pellgjeve të mbajtjes dhe digave ndihmëse për menaxhimin e ujërave të tepërta. Këto masa strukturore shoqërohen me ndërhyrje jostrukturore, si zhvillimi i sistemeve të paralajmërimit të hershëm, zgjerimi i rrjeteve të monitorimit hidrometeorologjik dhe nismat e përgatitjes komunitare për përmbytje. Së bashku, këto veprime synojnë të zvogëlojnë ndikimet fizike dhe shoqërore të modeleve gjithnjë e më të paqëndrueshme të reshjeve.</w:t>
      </w:r>
    </w:p>
    <w:p w14:paraId="5BECD27B" w14:textId="2A9034EC" w:rsidR="00E55236" w:rsidRPr="001C61AE" w:rsidRDefault="00E55236" w:rsidP="00E55236">
      <w:pPr>
        <w:spacing w:line="240" w:lineRule="auto"/>
        <w:jc w:val="both"/>
        <w:rPr>
          <w:rFonts w:ascii="Arial" w:hAnsi="Arial" w:cs="Arial"/>
          <w:lang w:val="sq-AL"/>
        </w:rPr>
      </w:pPr>
      <w:r w:rsidRPr="001C61AE">
        <w:rPr>
          <w:rFonts w:ascii="Arial" w:hAnsi="Arial" w:cs="Arial"/>
          <w:lang w:val="sq-AL"/>
        </w:rPr>
        <w:t xml:space="preserve">Përmirësimi i efikasitetit të sistemeve të shpërndarjes së ujit përbën gjithashtu një fokus madhor. Aktualisht, Kosova përballet me humbje të ujit jo të faturuar mbi 55%, si pasojë e tubacioneve të vjetruara, rrjedhjeve, lidhjeve të paautorizuara dhe sistemeve të vjetruara të matjes. Për </w:t>
      </w:r>
      <w:r w:rsidR="00FA3E3A" w:rsidRPr="001C61AE">
        <w:rPr>
          <w:rFonts w:ascii="Arial" w:hAnsi="Arial" w:cs="Arial"/>
          <w:lang w:val="sq-AL"/>
        </w:rPr>
        <w:t xml:space="preserve">t’i zvogëluar </w:t>
      </w:r>
      <w:r w:rsidRPr="001C61AE">
        <w:rPr>
          <w:rFonts w:ascii="Arial" w:hAnsi="Arial" w:cs="Arial"/>
          <w:lang w:val="sq-AL"/>
        </w:rPr>
        <w:t xml:space="preserve">këto humbje dhe për të rritur qëndrueshmërinë e sistemeve, po </w:t>
      </w:r>
      <w:r w:rsidR="00DF1F32" w:rsidRPr="001C61AE">
        <w:rPr>
          <w:rFonts w:ascii="Arial" w:hAnsi="Arial" w:cs="Arial"/>
          <w:lang w:val="sq-AL"/>
        </w:rPr>
        <w:t xml:space="preserve">promovojmë </w:t>
      </w:r>
      <w:r w:rsidRPr="001C61AE">
        <w:rPr>
          <w:rFonts w:ascii="Arial" w:hAnsi="Arial" w:cs="Arial"/>
          <w:lang w:val="sq-AL"/>
        </w:rPr>
        <w:t>instalimin e matësve të mençur, teknologjive për zbulimin në kohë reale të rrjedhjeve, si dhe rehabilitimin gjithëpërfshirës të infrastrukturës së shpërndarjes së degraduar. Këto masa pritet të ulin humbjet e ujit duke ruajtur burimet e çmuara dhe përmirësuar qëndrueshmërinë financiare të Kompanive Rajonale të Ujësjellësit.</w:t>
      </w:r>
    </w:p>
    <w:p w14:paraId="46DF4F9C" w14:textId="5009381C" w:rsidR="001D4FA1" w:rsidRPr="001C61AE" w:rsidRDefault="00E55236" w:rsidP="001D4FA1">
      <w:pPr>
        <w:spacing w:line="240" w:lineRule="auto"/>
        <w:jc w:val="both"/>
        <w:rPr>
          <w:rFonts w:ascii="Arial" w:hAnsi="Arial" w:cs="Arial"/>
          <w:lang w:val="sq-AL"/>
        </w:rPr>
      </w:pPr>
      <w:r w:rsidRPr="001C61AE">
        <w:rPr>
          <w:rFonts w:ascii="Arial" w:hAnsi="Arial" w:cs="Arial"/>
          <w:lang w:val="sq-AL"/>
        </w:rPr>
        <w:t xml:space="preserve">Në zonat rurale, ofrimi i shërbimeve të ujit mbetet një sfidë e vazhdueshme. Shumë komunitete mbështeten në puse lokale apo sisteme të vogla të menaxhuara nga vetë komuniteti, të cilat shpesh mungojnë në kapacitete të duhura të magazinimit dhe trajtimit. Thatësirat e kaluara, veçanërisht ato të viteve 2007, 2014 dhe 2019, kanë treguar ndjeshmërinë e këtyre sistemeve ndaj stresit klimatik. Për ta adresuar këtë, </w:t>
      </w:r>
      <w:r w:rsidR="00BE39C7" w:rsidRPr="001C61AE">
        <w:rPr>
          <w:rFonts w:ascii="Arial" w:hAnsi="Arial" w:cs="Arial"/>
          <w:lang w:val="sq-AL"/>
        </w:rPr>
        <w:t>Strategjia</w:t>
      </w:r>
      <w:r w:rsidRPr="001C61AE">
        <w:rPr>
          <w:rFonts w:ascii="Arial" w:hAnsi="Arial" w:cs="Arial"/>
          <w:lang w:val="sq-AL"/>
        </w:rPr>
        <w:t xml:space="preserve"> parashikon zgjerimin e rrjetit të furnizimit me ujë të pijshëm përmes tubacioneve, </w:t>
      </w:r>
      <w:r w:rsidRPr="001C61AE">
        <w:rPr>
          <w:rFonts w:ascii="Arial" w:hAnsi="Arial" w:cs="Arial"/>
          <w:lang w:val="sq-AL"/>
        </w:rPr>
        <w:lastRenderedPageBreak/>
        <w:t>duke synuar që deri në vitin 2030 të sigurohet qasje në ujë të sigurt për të paktën 95% të popullsisë. Theksi vendoset jo vetëm në rritjen e mbulueshmërisë gjeografike, por edhe në sigurimin e furnizimit të pandërprerë dhe të qëndrueshëm, veçanërisht në komunat juglindore që përballen shpesh me mungesa sezonale të ujit</w:t>
      </w:r>
      <w:r w:rsidR="001D4FA1" w:rsidRPr="001C61AE">
        <w:rPr>
          <w:rFonts w:ascii="Arial" w:hAnsi="Arial" w:cs="Arial"/>
          <w:lang w:val="sq-AL"/>
        </w:rPr>
        <w:t>.</w:t>
      </w:r>
    </w:p>
    <w:p w14:paraId="250F427B" w14:textId="0CBA7001" w:rsidR="00E55236" w:rsidRPr="001C61AE" w:rsidRDefault="00E55236" w:rsidP="00E55236">
      <w:pPr>
        <w:spacing w:line="240" w:lineRule="auto"/>
        <w:jc w:val="both"/>
        <w:rPr>
          <w:rFonts w:ascii="Arial" w:hAnsi="Arial" w:cs="Arial"/>
          <w:color w:val="FF0000"/>
          <w:lang w:val="sq-AL"/>
        </w:rPr>
      </w:pPr>
      <w:r w:rsidRPr="001C61AE">
        <w:rPr>
          <w:rFonts w:ascii="Arial" w:hAnsi="Arial" w:cs="Arial"/>
          <w:lang w:val="sq-AL"/>
        </w:rPr>
        <w:t xml:space="preserve">Edhe infrastruktura e ujitjes në Kosovë ka nevojë urgjente për modernizim. Sistemet më të mëdha—skema e Radoniqit në Dukagjin dhe kanali Ibër-Lepenc—aktualisht mbulojnë vetëm një pjesë të kufizuar të tokës bujqësore, me më pak se gjysma e tokës së pajisur që ujitet realisht për shkak të kanaleve të vjetruara dhe mungesës së ujit të mjaftueshëm. Si pjesë e përgjigjes së saj të përshtatjes, </w:t>
      </w:r>
      <w:r w:rsidR="00DF1F32" w:rsidRPr="001C61AE">
        <w:rPr>
          <w:rFonts w:ascii="Arial" w:hAnsi="Arial" w:cs="Arial"/>
          <w:lang w:val="sq-AL"/>
        </w:rPr>
        <w:t>jemi duke ndjekur</w:t>
      </w:r>
      <w:r w:rsidRPr="001C61AE">
        <w:rPr>
          <w:rFonts w:ascii="Arial" w:hAnsi="Arial" w:cs="Arial"/>
          <w:lang w:val="sq-AL"/>
        </w:rPr>
        <w:t xml:space="preserve"> rehabilitimin dhe zgjerimin e këtyre rrjeteve të ujitjes, së bashku me promovimin e teknologjive </w:t>
      </w:r>
      <w:r w:rsidR="00AF6C69" w:rsidRPr="001C61AE">
        <w:rPr>
          <w:rFonts w:ascii="Arial" w:hAnsi="Arial" w:cs="Arial"/>
          <w:lang w:val="sq-AL"/>
        </w:rPr>
        <w:t>efiçiente</w:t>
      </w:r>
      <w:r w:rsidRPr="001C61AE">
        <w:rPr>
          <w:rFonts w:ascii="Arial" w:hAnsi="Arial" w:cs="Arial"/>
          <w:lang w:val="sq-AL"/>
        </w:rPr>
        <w:t xml:space="preserve">për përdorimin e ujit si sistemet me pika dhe ato me spërkatje. Këto përmirësime synojnë </w:t>
      </w:r>
      <w:r w:rsidR="00955E05" w:rsidRPr="001C61AE">
        <w:rPr>
          <w:rFonts w:ascii="Arial" w:hAnsi="Arial" w:cs="Arial"/>
          <w:lang w:val="sq-AL"/>
        </w:rPr>
        <w:t xml:space="preserve">t’i zvogëlojnë </w:t>
      </w:r>
      <w:r w:rsidRPr="001C61AE">
        <w:rPr>
          <w:rFonts w:ascii="Arial" w:hAnsi="Arial" w:cs="Arial"/>
          <w:lang w:val="sq-AL"/>
        </w:rPr>
        <w:t>humbjet përmes avullimit dhe të sigurojnë furnizim më të besueshëm me ujë gjatë periudhave kritike, duke mbështetur kështu produktivitetin bujqësor dhe sigurinë ushqimore në kushte klimatike më të thata.</w:t>
      </w:r>
    </w:p>
    <w:p w14:paraId="55763569" w14:textId="596B8C75" w:rsidR="00E55236" w:rsidRPr="001C61AE" w:rsidRDefault="00E55236" w:rsidP="00E55236">
      <w:pPr>
        <w:spacing w:line="240" w:lineRule="auto"/>
        <w:jc w:val="both"/>
        <w:rPr>
          <w:rFonts w:ascii="Arial" w:hAnsi="Arial" w:cs="Arial"/>
          <w:lang w:val="sq-AL"/>
        </w:rPr>
      </w:pPr>
      <w:r w:rsidRPr="001C61AE">
        <w:rPr>
          <w:rFonts w:ascii="Arial" w:hAnsi="Arial" w:cs="Arial"/>
          <w:lang w:val="sq-AL"/>
        </w:rPr>
        <w:t>Burimet e ujërave nëntokësore gjithashtu përbëjnë një komponent kyç të strategjisë së qëndrueshmërisë klimatike në Kosovë. Në pjesën perëndimore të vendit, akuiferët ofrojnë burime shtesë të rëndësishme, veçanërisht gjatë sezoneve të thata. Megjithatë, shqetësimet për tej-shfrytëzimin dhe</w:t>
      </w:r>
      <w:r w:rsidR="00955E05" w:rsidRPr="001C61AE">
        <w:rPr>
          <w:rFonts w:ascii="Arial" w:hAnsi="Arial" w:cs="Arial"/>
          <w:lang w:val="sq-AL"/>
        </w:rPr>
        <w:t xml:space="preserve"> zvogëlimin</w:t>
      </w:r>
      <w:r w:rsidRPr="001C61AE">
        <w:rPr>
          <w:rFonts w:ascii="Arial" w:hAnsi="Arial" w:cs="Arial"/>
          <w:lang w:val="sq-AL"/>
        </w:rPr>
        <w:t xml:space="preserve"> e ngarkesave për shkak të ndryshimeve klimatike kanë nxitur ndërmarrjen e masave për të forcuar monitorimin dhe rregullimin. Investimet e planifikuara përfshijnë instalimin e matësve të rinj të rrjedhës së lumenjve dhe puseve të vrojtimit të ujërave nëntokësore, të cilat do të ushqejnë mjetet për parashikim dhe do të mbështesin menaxhimin e qëndrueshëm të këtyre resurseve.</w:t>
      </w:r>
    </w:p>
    <w:p w14:paraId="32EBD6FC" w14:textId="094278BD" w:rsidR="00E55236" w:rsidRPr="001C61AE" w:rsidRDefault="00E55236" w:rsidP="00E55236">
      <w:pPr>
        <w:spacing w:line="240" w:lineRule="auto"/>
        <w:jc w:val="both"/>
        <w:rPr>
          <w:rFonts w:ascii="Arial" w:hAnsi="Arial" w:cs="Arial"/>
          <w:lang w:val="sq-AL"/>
        </w:rPr>
      </w:pPr>
      <w:r w:rsidRPr="001C61AE">
        <w:rPr>
          <w:rFonts w:ascii="Arial" w:hAnsi="Arial" w:cs="Arial"/>
          <w:lang w:val="sq-AL"/>
        </w:rPr>
        <w:t xml:space="preserve">Në bazë të këtyre masave teknike qëndron një agjendë më e gjerë për reforma institucionale dhe qeverisje. Po shqyrtohet themelimi i një autoriteti të posaçëm për menaxhimin e qëndrueshëm klimatik të ujërave, me qëllim të centralizimit të planifikimit të përshtatjes dhe përmirësimit të koherencës së politikave. </w:t>
      </w:r>
      <w:r w:rsidR="00BE39C7" w:rsidRPr="001C61AE">
        <w:rPr>
          <w:rFonts w:ascii="Arial" w:hAnsi="Arial" w:cs="Arial"/>
          <w:lang w:val="sq-AL"/>
        </w:rPr>
        <w:t>Strategjia</w:t>
      </w:r>
      <w:r w:rsidRPr="001C61AE">
        <w:rPr>
          <w:rFonts w:ascii="Arial" w:hAnsi="Arial" w:cs="Arial"/>
          <w:lang w:val="sq-AL"/>
        </w:rPr>
        <w:t xml:space="preserve"> gjithashtu thekson nevojën për koordinim më të fortë ndërmjet ministrive dhe komunave, për të harmonizuar investimet infrastrukturore me prioritetet klimatike. Në nivel rajonal, </w:t>
      </w:r>
      <w:r w:rsidR="007241F7" w:rsidRPr="001C61AE">
        <w:rPr>
          <w:rFonts w:ascii="Arial" w:hAnsi="Arial" w:cs="Arial"/>
          <w:lang w:val="sq-AL"/>
        </w:rPr>
        <w:t xml:space="preserve">jemi </w:t>
      </w:r>
      <w:r w:rsidRPr="001C61AE">
        <w:rPr>
          <w:rFonts w:ascii="Arial" w:hAnsi="Arial" w:cs="Arial"/>
          <w:lang w:val="sq-AL"/>
        </w:rPr>
        <w:t>duke punuar për të përmirësuar qeverisjen e ujërave ndërkufitare, veçanërisht në lidhje me pellgjet e përbashkëta me Shqipërinë, Maqedoninë e Veriut dhe Serbinë. Këto përpjekje bashkëpunuese janë thelbësore për të siguruar përdorimin e barabartë dhe të qëndrueshëm të resurseve ujore që kalojnë kufijtë kombëtarë dhe që janë gjithnjë e më të ndikuara nga ndryshimet klimatike.</w:t>
      </w:r>
    </w:p>
    <w:p w14:paraId="23D72F16" w14:textId="7123C52F" w:rsidR="001D4FA1" w:rsidRPr="001C61AE" w:rsidRDefault="00E55236" w:rsidP="001D4FA1">
      <w:pPr>
        <w:spacing w:line="240" w:lineRule="auto"/>
        <w:jc w:val="both"/>
        <w:rPr>
          <w:rFonts w:ascii="Arial" w:hAnsi="Arial" w:cs="Arial"/>
          <w:lang w:val="sq-AL"/>
        </w:rPr>
      </w:pPr>
      <w:r w:rsidRPr="001C61AE">
        <w:rPr>
          <w:rFonts w:ascii="Arial" w:hAnsi="Arial" w:cs="Arial"/>
          <w:lang w:val="sq-AL"/>
        </w:rPr>
        <w:t xml:space="preserve">Në tërësi, </w:t>
      </w:r>
      <w:r w:rsidR="00BE39C7" w:rsidRPr="001C61AE">
        <w:rPr>
          <w:rFonts w:ascii="Arial" w:hAnsi="Arial" w:cs="Arial"/>
          <w:lang w:val="sq-AL"/>
        </w:rPr>
        <w:t>Strategjia</w:t>
      </w:r>
      <w:r w:rsidRPr="001C61AE">
        <w:rPr>
          <w:rFonts w:ascii="Arial" w:hAnsi="Arial" w:cs="Arial"/>
          <w:lang w:val="sq-AL"/>
        </w:rPr>
        <w:t xml:space="preserve"> është gjithëpërfshirëse dhe shumëdimensionale, me qëllim të zgjerimit të kapaciteteve fizike, përmirësimit të efikasitetit operacional, </w:t>
      </w:r>
      <w:r w:rsidR="00955E05" w:rsidRPr="001C61AE">
        <w:rPr>
          <w:rFonts w:ascii="Arial" w:hAnsi="Arial" w:cs="Arial"/>
          <w:lang w:val="sq-AL"/>
        </w:rPr>
        <w:t xml:space="preserve">zvogëlimit </w:t>
      </w:r>
      <w:r w:rsidRPr="001C61AE">
        <w:rPr>
          <w:rFonts w:ascii="Arial" w:hAnsi="Arial" w:cs="Arial"/>
          <w:lang w:val="sq-AL"/>
        </w:rPr>
        <w:t>të rreziqeve nga fatkeqësitë dhe forcimit të gatishmërisë institucionale. Përmes një kombinimi të investimeve strukturore, përmirësimeve teknologjike dhe avancimeve në qeverisje, vendi synon të ndërtojë një sistem ujor më të fortë dhe më</w:t>
      </w:r>
      <w:r w:rsidR="00E01381" w:rsidRPr="001C61AE">
        <w:rPr>
          <w:rFonts w:ascii="Arial" w:hAnsi="Arial" w:cs="Arial"/>
          <w:lang w:val="sq-AL"/>
        </w:rPr>
        <w:t xml:space="preserve"> përshtatës</w:t>
      </w:r>
      <w:r w:rsidRPr="001C61AE">
        <w:rPr>
          <w:rFonts w:ascii="Arial" w:hAnsi="Arial" w:cs="Arial"/>
          <w:lang w:val="sq-AL"/>
        </w:rPr>
        <w:t>, i aftë për të përballuar presionet klimatike në të ardhmen</w:t>
      </w:r>
      <w:r w:rsidR="001D4FA1" w:rsidRPr="001C61AE">
        <w:rPr>
          <w:rFonts w:ascii="Arial" w:hAnsi="Arial" w:cs="Arial"/>
          <w:lang w:val="sq-AL"/>
        </w:rPr>
        <w:t>.</w:t>
      </w:r>
    </w:p>
    <w:p w14:paraId="11363131" w14:textId="07C9DAD4" w:rsidR="001D4FA1" w:rsidRPr="001C61AE" w:rsidRDefault="00E55236" w:rsidP="001D4FA1">
      <w:pPr>
        <w:spacing w:line="240" w:lineRule="auto"/>
        <w:jc w:val="both"/>
        <w:rPr>
          <w:rFonts w:ascii="Arial" w:hAnsi="Arial" w:cs="Arial"/>
          <w:b/>
          <w:bCs/>
          <w:lang w:val="sq-AL"/>
        </w:rPr>
      </w:pPr>
      <w:r w:rsidRPr="001C61AE">
        <w:rPr>
          <w:rFonts w:ascii="Arial" w:hAnsi="Arial" w:cs="Arial"/>
          <w:b/>
          <w:bCs/>
          <w:color w:val="0F4761"/>
          <w:lang w:val="sq-AL"/>
        </w:rPr>
        <w:t>Objektivat specifikë</w:t>
      </w:r>
      <w:r w:rsidR="001D4FA1" w:rsidRPr="001C61AE">
        <w:rPr>
          <w:rFonts w:ascii="Arial" w:hAnsi="Arial" w:cs="Arial"/>
          <w:b/>
          <w:bCs/>
          <w:lang w:val="sq-AL"/>
        </w:rPr>
        <w:t xml:space="preserve"> </w:t>
      </w:r>
    </w:p>
    <w:p w14:paraId="11FD75F7" w14:textId="35FB76FF" w:rsidR="00502FBE" w:rsidRPr="001C61AE" w:rsidRDefault="00E55236" w:rsidP="001D4FA1">
      <w:pPr>
        <w:spacing w:line="240" w:lineRule="auto"/>
        <w:jc w:val="both"/>
        <w:rPr>
          <w:rFonts w:ascii="Arial" w:hAnsi="Arial" w:cs="Arial"/>
          <w:lang w:val="sq-AL"/>
        </w:rPr>
      </w:pPr>
      <w:r w:rsidRPr="001C61AE">
        <w:rPr>
          <w:rFonts w:ascii="Arial" w:hAnsi="Arial" w:cs="Arial"/>
          <w:lang w:val="sq-AL"/>
        </w:rPr>
        <w:t>Për të udhëhequr zbatimin sipas secilit prioritet kyç të përshtatjes, është përcaktuar një sërë objektivash specifikë. Këto objektiva i përkthejnë fushat e gjera prioritare në objektiva të zbatueshëm, duke ofruar drejtim strategjik</w:t>
      </w:r>
      <w:r w:rsidR="00502FBE" w:rsidRPr="001C61AE">
        <w:rPr>
          <w:rFonts w:ascii="Arial" w:hAnsi="Arial" w:cs="Arial"/>
          <w:lang w:val="sq-AL"/>
        </w:rPr>
        <w:t xml:space="preserve">. </w:t>
      </w:r>
    </w:p>
    <w:p w14:paraId="6709E23D" w14:textId="2BF66D54" w:rsidR="001D4FA1" w:rsidRPr="001C61AE" w:rsidRDefault="00862AC4" w:rsidP="008E17FD">
      <w:pPr>
        <w:spacing w:line="240" w:lineRule="auto"/>
        <w:ind w:firstLine="708"/>
        <w:jc w:val="both"/>
        <w:rPr>
          <w:rFonts w:ascii="Arial" w:hAnsi="Arial" w:cs="Arial"/>
          <w:color w:val="0F4761"/>
          <w:lang w:val="sq-AL"/>
        </w:rPr>
      </w:pPr>
      <w:r w:rsidRPr="001C61AE">
        <w:rPr>
          <w:rFonts w:ascii="Arial" w:hAnsi="Arial" w:cs="Arial"/>
          <w:b/>
          <w:bCs/>
          <w:color w:val="0F4761"/>
          <w:lang w:val="sq-AL"/>
        </w:rPr>
        <w:t>I</w:t>
      </w:r>
      <w:r w:rsidR="007A22DD" w:rsidRPr="001C61AE">
        <w:rPr>
          <w:rFonts w:ascii="Arial" w:hAnsi="Arial" w:cs="Arial"/>
          <w:b/>
          <w:bCs/>
          <w:color w:val="0F4761"/>
          <w:lang w:val="sq-AL"/>
        </w:rPr>
        <w:t xml:space="preserve">.1 </w:t>
      </w:r>
      <w:r w:rsidR="00E55236" w:rsidRPr="001C61AE">
        <w:rPr>
          <w:rFonts w:ascii="Arial" w:hAnsi="Arial" w:cs="Arial"/>
          <w:b/>
          <w:bCs/>
          <w:color w:val="0F4761"/>
          <w:lang w:val="sq-AL"/>
        </w:rPr>
        <w:t>Përmirësimi i infrastrukturës për ruajtjen e ujit.</w:t>
      </w:r>
    </w:p>
    <w:p w14:paraId="1EECF22D" w14:textId="77777777" w:rsidR="00E55236" w:rsidRPr="001C61AE" w:rsidRDefault="00E55236" w:rsidP="00E55236">
      <w:pPr>
        <w:spacing w:line="240" w:lineRule="auto"/>
        <w:jc w:val="both"/>
        <w:rPr>
          <w:rFonts w:ascii="Arial" w:hAnsi="Arial" w:cs="Arial"/>
          <w:lang w:val="sq-AL"/>
        </w:rPr>
      </w:pPr>
      <w:r w:rsidRPr="001C61AE">
        <w:rPr>
          <w:rFonts w:ascii="Arial" w:hAnsi="Arial" w:cs="Arial"/>
          <w:lang w:val="sq-AL"/>
        </w:rPr>
        <w:t>Sigurimi i një furnizimi të qëndrueshëm me ujë dhe kapaciteti të mjaftueshëm për ruajtjen e tij është thelbësor për të zbutur ndikimet e ndryshueshmërisë klimatike dhe për të garantuar sigurinë afatgjatë të ujit në Kosovë. Vendi tashmë po përjeton një stres të konsiderueshëm ujor, duke u renditur ndër më të ultat në rajon për sa i përket disponueshmërisë së ujit për frymë. Parashikimet klimatike tregojnë për një rënie të vazhdueshme të reshjeve vjetore, e shoqëruar me rritje të shkallës së avullim-transpirimit, që do të përkeqësojë më tej presionet mbi burimet ujore tashmë të kufizuara. Këto sfida në zhvillim pritet të ndikojnë në disa sektorë, përfshirë furnizimin me ujë për konsum shtëpiak, bujqësinë, prodhimin e energjisë dhe industrinë.</w:t>
      </w:r>
    </w:p>
    <w:p w14:paraId="0313693D" w14:textId="40313AF3" w:rsidR="00E55236" w:rsidRPr="001C61AE" w:rsidRDefault="00E55236" w:rsidP="00E55236">
      <w:pPr>
        <w:spacing w:line="240" w:lineRule="auto"/>
        <w:jc w:val="both"/>
        <w:rPr>
          <w:rFonts w:ascii="Arial" w:hAnsi="Arial" w:cs="Arial"/>
          <w:lang w:val="sq-AL"/>
        </w:rPr>
      </w:pPr>
      <w:r w:rsidRPr="001C61AE">
        <w:rPr>
          <w:rFonts w:ascii="Arial" w:hAnsi="Arial" w:cs="Arial"/>
          <w:lang w:val="sq-AL"/>
        </w:rPr>
        <w:t>Mungesa e ujit në Kosovë shkaktohet nga një kombinim faktorësh: praktika jo</w:t>
      </w:r>
      <w:r w:rsidR="00AF6C69" w:rsidRPr="001C61AE">
        <w:rPr>
          <w:rFonts w:ascii="Arial" w:hAnsi="Arial" w:cs="Arial"/>
          <w:lang w:val="sq-AL"/>
        </w:rPr>
        <w:t>efiçiente</w:t>
      </w:r>
      <w:r w:rsidRPr="001C61AE">
        <w:rPr>
          <w:rFonts w:ascii="Arial" w:hAnsi="Arial" w:cs="Arial"/>
          <w:lang w:val="sq-AL"/>
        </w:rPr>
        <w:t>të përdorimit të ujit, infrastrukturë e kufizuar për ruajtje dhe shpërndarje, si dhe një varësi e madhe nga reshjet sezonale për rimbushjen e rezervave. Për të adresuar këto dobësi, nevojitet një kombinim i investimeve strukturore dhe planifikimit strategjik.</w:t>
      </w:r>
    </w:p>
    <w:p w14:paraId="1AB9082D" w14:textId="77777777" w:rsidR="00E55236" w:rsidRPr="001C61AE" w:rsidRDefault="00E55236" w:rsidP="00E55236">
      <w:pPr>
        <w:spacing w:line="240" w:lineRule="auto"/>
        <w:jc w:val="both"/>
        <w:rPr>
          <w:rFonts w:ascii="Arial" w:hAnsi="Arial" w:cs="Arial"/>
          <w:lang w:val="sq-AL"/>
        </w:rPr>
      </w:pPr>
      <w:r w:rsidRPr="001C61AE">
        <w:rPr>
          <w:rFonts w:ascii="Arial" w:hAnsi="Arial" w:cs="Arial"/>
          <w:lang w:val="sq-AL"/>
        </w:rPr>
        <w:t xml:space="preserve">Në përgjigje të kësaj, forcimi i qëndrueshmërisë së furnizimit me ujë dhe zgjerimi i infrastrukturës së ruajtjes janë përcaktuar si objektiva kyçe në kuadër të strategjisë kombëtare të përshtatjes klimatike. </w:t>
      </w:r>
      <w:r w:rsidRPr="001C61AE">
        <w:rPr>
          <w:rFonts w:ascii="Arial" w:hAnsi="Arial" w:cs="Arial"/>
          <w:lang w:val="sq-AL"/>
        </w:rPr>
        <w:lastRenderedPageBreak/>
        <w:t>Ndërtimi i planifikuar i rezervuarëve të rinj—si Firaja dhe Desivojca—së bashku me projekte më të mëdha në Pollatë, Kuçicë dhe Dragaqinë, përfaqësojnë një qasje proaktive për të përmirësuar besueshmërinë e furnizimit me ujë, veçanërisht në rajonet e prekura nga thatësira në pjesën qendrore dhe juglindore të Kosovës.</w:t>
      </w:r>
    </w:p>
    <w:p w14:paraId="477B76F9" w14:textId="77777777" w:rsidR="00E55236" w:rsidRPr="001C61AE" w:rsidRDefault="00E55236" w:rsidP="00E55236">
      <w:pPr>
        <w:spacing w:line="240" w:lineRule="auto"/>
        <w:jc w:val="both"/>
        <w:rPr>
          <w:rFonts w:ascii="Arial" w:hAnsi="Arial" w:cs="Arial"/>
          <w:lang w:val="sq-AL"/>
        </w:rPr>
      </w:pPr>
      <w:r w:rsidRPr="001C61AE">
        <w:rPr>
          <w:rFonts w:ascii="Arial" w:hAnsi="Arial" w:cs="Arial"/>
          <w:lang w:val="sq-AL"/>
        </w:rPr>
        <w:t>Të mbështetura nga iniciativat kombëtare dhe partnerët ndërkombëtarë, përfshirë Komisionin Evropian / Kornizën e Investimeve për Ballkanin Perëndimor (EC/WBIF), Bankën Botërore dhe Bankën Evropiane për Rindërtim dhe Zhvillim (BERZH), këto projekte pritet të rrisin ndjeshëm kapacitetin e ruajtjes së ujit dhe të ofrojnë një tampon kundër mungesës së ujit të shkaktuar nga ndryshimet klimatike. Duke përmirësuar disponueshmërinë e ujit për komuna si Ferizaj, Gjilan, Partesh, Kamenicë, Ranillug, Viti, Kllokot, Shtërpcë, Kaçanik, Shtime dhe Lipjan, këto investime do të forcojnë qëndrueshmërinë rajonale, do të nxisin zhvillimin e qëndrueshëm dhe do të përforcojnë përpjekjet për përshtatje klimatike në disa sektorë.</w:t>
      </w:r>
    </w:p>
    <w:p w14:paraId="696B400E" w14:textId="50692217" w:rsidR="007A22DD" w:rsidRPr="001C61AE" w:rsidRDefault="00E55236" w:rsidP="001D4FA1">
      <w:pPr>
        <w:spacing w:line="240" w:lineRule="auto"/>
        <w:jc w:val="both"/>
        <w:rPr>
          <w:rFonts w:ascii="Arial" w:hAnsi="Arial" w:cs="Arial"/>
          <w:lang w:val="sq-AL"/>
        </w:rPr>
      </w:pPr>
      <w:r w:rsidRPr="001C61AE">
        <w:rPr>
          <w:rFonts w:ascii="Arial" w:hAnsi="Arial" w:cs="Arial"/>
          <w:lang w:val="sq-AL"/>
        </w:rPr>
        <w:t>Ndërtimi dhe vënia në funksion e digave të Desivojcës (</w:t>
      </w:r>
      <w:r w:rsidR="00B527C8" w:rsidRPr="001C61AE">
        <w:rPr>
          <w:rFonts w:ascii="Arial" w:hAnsi="Arial" w:cs="Arial"/>
          <w:lang w:val="sq-AL"/>
        </w:rPr>
        <w:t xml:space="preserve">5.9 </w:t>
      </w:r>
      <w:r w:rsidRPr="001C61AE">
        <w:rPr>
          <w:rFonts w:ascii="Arial" w:hAnsi="Arial" w:cs="Arial"/>
          <w:lang w:val="sq-AL"/>
        </w:rPr>
        <w:t>milionë m³), Firajës (7 milionë m³), Pollatës (</w:t>
      </w:r>
      <w:r w:rsidR="00B527C8" w:rsidRPr="001C61AE">
        <w:rPr>
          <w:rFonts w:ascii="Arial" w:hAnsi="Arial" w:cs="Arial"/>
          <w:lang w:val="sq-AL"/>
        </w:rPr>
        <w:t xml:space="preserve">30 </w:t>
      </w:r>
      <w:r w:rsidRPr="001C61AE">
        <w:rPr>
          <w:rFonts w:ascii="Arial" w:hAnsi="Arial" w:cs="Arial"/>
          <w:lang w:val="sq-AL"/>
        </w:rPr>
        <w:t>milionë m³), Kuçicës (18.</w:t>
      </w:r>
      <w:r w:rsidR="00B527C8" w:rsidRPr="001C61AE">
        <w:rPr>
          <w:rFonts w:ascii="Arial" w:hAnsi="Arial" w:cs="Arial"/>
          <w:lang w:val="sq-AL"/>
        </w:rPr>
        <w:t>5</w:t>
      </w:r>
      <w:r w:rsidRPr="001C61AE">
        <w:rPr>
          <w:rFonts w:ascii="Arial" w:hAnsi="Arial" w:cs="Arial"/>
          <w:lang w:val="sq-AL"/>
        </w:rPr>
        <w:t xml:space="preserve"> milionë m³) dhe Dragaqinës (12.2 milionë m³) do të luajnë një rol qendror në realizimin e këtij objektivi, duke rritur ndjeshëm kapacitetin e ruajtjes dhe duke përmirësuar besueshmërinë e furnizimit me ujë në zonat më të prekura</w:t>
      </w:r>
      <w:r w:rsidR="007A22DD" w:rsidRPr="001C61AE">
        <w:rPr>
          <w:rFonts w:ascii="Arial" w:hAnsi="Arial" w:cs="Arial"/>
          <w:lang w:val="sq-AL"/>
        </w:rPr>
        <w:t>.</w:t>
      </w:r>
    </w:p>
    <w:p w14:paraId="3D64BA27" w14:textId="0013316C" w:rsidR="001D4FA1" w:rsidRPr="001C61AE" w:rsidRDefault="00862AC4" w:rsidP="008E17FD">
      <w:pPr>
        <w:spacing w:line="240" w:lineRule="auto"/>
        <w:ind w:firstLine="708"/>
        <w:jc w:val="both"/>
        <w:rPr>
          <w:rFonts w:ascii="Arial" w:hAnsi="Arial" w:cs="Arial"/>
          <w:b/>
          <w:bCs/>
          <w:color w:val="0F4761"/>
          <w:lang w:val="sq-AL"/>
        </w:rPr>
      </w:pPr>
      <w:r w:rsidRPr="001C61AE">
        <w:rPr>
          <w:rFonts w:ascii="Arial" w:hAnsi="Arial" w:cs="Arial"/>
          <w:b/>
          <w:bCs/>
          <w:color w:val="0F4761"/>
          <w:lang w:val="sq-AL"/>
        </w:rPr>
        <w:t>I</w:t>
      </w:r>
      <w:r w:rsidR="007A22DD" w:rsidRPr="001C61AE">
        <w:rPr>
          <w:rFonts w:ascii="Arial" w:hAnsi="Arial" w:cs="Arial"/>
          <w:b/>
          <w:bCs/>
          <w:color w:val="0F4761"/>
          <w:lang w:val="sq-AL"/>
        </w:rPr>
        <w:t>.2</w:t>
      </w:r>
      <w:r w:rsidR="00E55236" w:rsidRPr="001C61AE">
        <w:rPr>
          <w:rFonts w:ascii="Arial" w:hAnsi="Arial" w:cs="Arial"/>
          <w:lang w:val="sq-AL"/>
        </w:rPr>
        <w:t xml:space="preserve"> </w:t>
      </w:r>
      <w:r w:rsidR="00E55236" w:rsidRPr="001C61AE">
        <w:rPr>
          <w:rFonts w:ascii="Arial" w:hAnsi="Arial" w:cs="Arial"/>
          <w:b/>
          <w:bCs/>
          <w:color w:val="0F4761"/>
          <w:lang w:val="sq-AL"/>
        </w:rPr>
        <w:t>Hartimi i një masterplani kombëtar për diga dhe infrastrukturë ujore me funksione të shumëfishta</w:t>
      </w:r>
    </w:p>
    <w:p w14:paraId="14FC72BB" w14:textId="35908EDD" w:rsidR="00045E47" w:rsidRPr="001C61AE" w:rsidRDefault="00045E47" w:rsidP="00045E47">
      <w:pPr>
        <w:spacing w:line="240" w:lineRule="auto"/>
        <w:jc w:val="both"/>
        <w:rPr>
          <w:rFonts w:ascii="Arial" w:hAnsi="Arial" w:cs="Arial"/>
          <w:lang w:val="sq-AL"/>
        </w:rPr>
      </w:pPr>
      <w:r w:rsidRPr="001C61AE">
        <w:rPr>
          <w:rFonts w:ascii="Arial" w:hAnsi="Arial" w:cs="Arial"/>
          <w:lang w:val="sq-AL"/>
        </w:rPr>
        <w:t xml:space="preserve">Infrastruktura ekzistuese dhe ajo e planifikuar e digave në Kosovë luan një rol thelbësor në sigurimin e </w:t>
      </w:r>
      <w:r w:rsidR="001E1A6F" w:rsidRPr="001C61AE">
        <w:rPr>
          <w:rFonts w:ascii="Arial" w:hAnsi="Arial" w:cs="Arial"/>
          <w:lang w:val="sq-AL"/>
        </w:rPr>
        <w:t>resurseve</w:t>
      </w:r>
      <w:r w:rsidRPr="001C61AE">
        <w:rPr>
          <w:rFonts w:ascii="Arial" w:hAnsi="Arial" w:cs="Arial"/>
          <w:lang w:val="sq-AL"/>
        </w:rPr>
        <w:t xml:space="preserve"> ujore për disa sektorë, përfshirë furnizimin me ujë të pijshëm, bujqësinë, hidroenergjinë dhe kontrollin e përmbytjeve. Megjithatë, gjendja aktuale e këtyre digave—e karakterizuar nga struktura të vjetruara, mungesë monitorimi adekuat dhe paqartësi institucionale—shfaq një sistem të fragmentuar që mungon një kuadër të unifikuar për të udhëhequr investimet dhe menaxhimin e ardhshëm. Në kushtet kur ndikimet e ndryshimeve klimatike në disponueshmërinë e ujit po rriten, është thelbësore që kapacitetet e ruajtjes së ujit të optimizohen dhe të zgjerohen përmes një qasjeje të koordinuar dhe të qëndrueshme ndaj klimës.</w:t>
      </w:r>
    </w:p>
    <w:p w14:paraId="33CA3AB7" w14:textId="77777777" w:rsidR="00045E47" w:rsidRPr="001C61AE" w:rsidRDefault="00045E47" w:rsidP="00045E47">
      <w:pPr>
        <w:spacing w:line="240" w:lineRule="auto"/>
        <w:jc w:val="both"/>
        <w:rPr>
          <w:rFonts w:ascii="Arial" w:hAnsi="Arial" w:cs="Arial"/>
          <w:lang w:val="sq-AL"/>
        </w:rPr>
      </w:pPr>
      <w:r w:rsidRPr="001C61AE">
        <w:rPr>
          <w:rFonts w:ascii="Arial" w:hAnsi="Arial" w:cs="Arial"/>
          <w:lang w:val="sq-AL"/>
        </w:rPr>
        <w:t>Studimi për Përgatitjen e Investimeve në Burimet e Ujit (WRIPS), i mbështetur nga Banka Botërore, paraqet një mundësi në kohë për të zhvilluar një Plan Kombëtar për Digat. Ky plan do të vlerësojë gjendjen dhe potencialin e digave ekzistuese, do të identifikojë vendndodhjet prioritare për ndërtimin e digave të reja, si dhe do të integrojë konsiderata ndërsektoriale si mbrojtja nga përmbytjet, ujitja dhe restaurimi ekologjik. Përmes përfshirjes së modelimit hidro-ekonomik dhe parashikimeve klimatike, plani do të sigurojë që investimet të jenë jo vetëm teknikisht dhe financiarisht të realizueshme, por edhe të qëndrueshme ndaj rreziqeve klimatike. Mbi të gjitha, ky plan do të shërbejë si një mjet strategjik për marrjen e vendimeve, duke e përafruar zhvillimin e ardhshëm të digave me Strategjinë Kombëtare për Ujin të Kosovës, Planet e Menaxhimit të Pellgjeve Lumore dhe standardet mjedisore të BE-së.</w:t>
      </w:r>
    </w:p>
    <w:p w14:paraId="138D3099" w14:textId="49EC037D" w:rsidR="00EA6770" w:rsidRPr="001C61AE" w:rsidRDefault="00045E47" w:rsidP="001D4FA1">
      <w:pPr>
        <w:spacing w:line="240" w:lineRule="auto"/>
        <w:jc w:val="both"/>
        <w:rPr>
          <w:rFonts w:ascii="Arial" w:hAnsi="Arial" w:cs="Arial"/>
          <w:lang w:val="sq-AL"/>
        </w:rPr>
      </w:pPr>
      <w:r w:rsidRPr="001C61AE">
        <w:rPr>
          <w:rFonts w:ascii="Arial" w:hAnsi="Arial" w:cs="Arial"/>
          <w:lang w:val="sq-AL"/>
        </w:rPr>
        <w:t>Për të mbështetur këto objektiva, përfundimi dhe miratimi zyrtar i Planit Kombëtar për Digat do t’i sigurojë Kosovës një kuadër koherent dhe vizionar për të udhëhequr investimet e ardhshme në ruajtjen e ujit dhe për të forcuar qëndrueshmërinë dhe qëndrueshmërinë afatgjatë të infrastrukturës së saj të digave</w:t>
      </w:r>
      <w:r w:rsidR="00EA6770" w:rsidRPr="001C61AE">
        <w:rPr>
          <w:rFonts w:ascii="Arial" w:hAnsi="Arial" w:cs="Arial"/>
          <w:lang w:val="sq-AL"/>
        </w:rPr>
        <w:t>.</w:t>
      </w:r>
    </w:p>
    <w:p w14:paraId="473F7CB9" w14:textId="438D8EF7" w:rsidR="001D4FA1" w:rsidRPr="001C61AE" w:rsidRDefault="00862AC4" w:rsidP="008E17FD">
      <w:pPr>
        <w:spacing w:line="240" w:lineRule="auto"/>
        <w:ind w:left="708"/>
        <w:jc w:val="both"/>
        <w:rPr>
          <w:rFonts w:ascii="Arial" w:hAnsi="Arial" w:cs="Arial"/>
          <w:b/>
          <w:bCs/>
          <w:color w:val="0F4761"/>
          <w:lang w:val="sq-AL"/>
        </w:rPr>
      </w:pPr>
      <w:r w:rsidRPr="001C61AE">
        <w:rPr>
          <w:rFonts w:ascii="Arial" w:hAnsi="Arial" w:cs="Arial"/>
          <w:b/>
          <w:bCs/>
          <w:color w:val="0F4761"/>
          <w:lang w:val="sq-AL"/>
        </w:rPr>
        <w:t>I</w:t>
      </w:r>
      <w:r w:rsidR="007A22DD" w:rsidRPr="001C61AE">
        <w:rPr>
          <w:rFonts w:ascii="Arial" w:hAnsi="Arial" w:cs="Arial"/>
          <w:b/>
          <w:bCs/>
          <w:color w:val="0F4761"/>
          <w:lang w:val="sq-AL"/>
        </w:rPr>
        <w:t xml:space="preserve">.3 </w:t>
      </w:r>
      <w:r w:rsidR="00045E47" w:rsidRPr="001C61AE">
        <w:rPr>
          <w:rFonts w:ascii="Arial" w:hAnsi="Arial" w:cs="Arial"/>
          <w:b/>
          <w:bCs/>
          <w:color w:val="0F4761"/>
          <w:lang w:val="sq-AL"/>
        </w:rPr>
        <w:t>Përmirësimi i sigurisë së digave dhe vendimmarrjes për infrastrukturën e vjetër, për të rritur sigurinë klimatike dhe ujore</w:t>
      </w:r>
    </w:p>
    <w:p w14:paraId="1B3A5243" w14:textId="6B64642B" w:rsidR="00045E47" w:rsidRPr="001C61AE" w:rsidRDefault="00045E47" w:rsidP="00045E47">
      <w:pPr>
        <w:spacing w:line="240" w:lineRule="auto"/>
        <w:jc w:val="both"/>
        <w:rPr>
          <w:rFonts w:ascii="Arial" w:hAnsi="Arial" w:cs="Arial"/>
          <w:lang w:val="sq-AL"/>
        </w:rPr>
      </w:pPr>
      <w:r w:rsidRPr="001C61AE">
        <w:rPr>
          <w:rFonts w:ascii="Arial" w:hAnsi="Arial" w:cs="Arial"/>
          <w:lang w:val="sq-AL"/>
        </w:rPr>
        <w:t xml:space="preserve">Gjashtë digat kryesore të Kosovës—Ujmani, Radoniqi, Batllava, Badovci, Përlepnicë dhe Livoçi—përbëjnë shtyllat kryesore të infrastrukturës ujore të vendit, duke shërbyer funksione të rëndësishme për furnizimin me ujë, ujitjen dhe prodhimin e energjisë. Shumica e këtyre strukturave janë ndërtuar më shumë se katër dekada më parë dhe, për shkak të gjendjes së tyre të vjetruar, boshllëqeve në monitorim dhe mbikëqyrjes së paplotë, janë ngritur shqetësime serioze për sigurinë e tyre afatgjatë operacionale, sidomos përballë </w:t>
      </w:r>
      <w:r w:rsidR="00E01381" w:rsidRPr="001C61AE">
        <w:rPr>
          <w:rFonts w:ascii="Arial" w:hAnsi="Arial" w:cs="Arial"/>
          <w:lang w:val="sq-AL"/>
        </w:rPr>
        <w:t xml:space="preserve">ndryshimit </w:t>
      </w:r>
      <w:r w:rsidRPr="001C61AE">
        <w:rPr>
          <w:rFonts w:ascii="Arial" w:hAnsi="Arial" w:cs="Arial"/>
          <w:lang w:val="sq-AL"/>
        </w:rPr>
        <w:t>në rritje të klimës. Vlerësimet e fundit, të financuara nga Ministria e Mjedisit, Planifikimit Hapësinor dhe Infrastrukturës (MMPHI) dhe Banka Botërore, kanë nxjerrë në pah nevoja urgjente, përfshirë monitorimin gjeodetik dhe sizmik, testimin e integritetit të betonit dhe analizën e sedimentit. Megjithë këto gjetje, shumë prej digave ende nuk janë të pajisura me instrumente moderne dhe nuk zbatojnë protokolle të standardizuara të sigurisë.</w:t>
      </w:r>
    </w:p>
    <w:p w14:paraId="27728259" w14:textId="77777777" w:rsidR="00045E47" w:rsidRPr="001C61AE" w:rsidRDefault="00045E47" w:rsidP="00045E47">
      <w:pPr>
        <w:spacing w:line="240" w:lineRule="auto"/>
        <w:jc w:val="both"/>
        <w:rPr>
          <w:rFonts w:ascii="Arial" w:hAnsi="Arial" w:cs="Arial"/>
          <w:lang w:val="sq-AL"/>
        </w:rPr>
      </w:pPr>
      <w:r w:rsidRPr="001C61AE">
        <w:rPr>
          <w:rFonts w:ascii="Arial" w:hAnsi="Arial" w:cs="Arial"/>
          <w:lang w:val="sq-AL"/>
        </w:rPr>
        <w:t xml:space="preserve">Situata e Digës së Livoçit ilustron në mënyrë të qartë këto sfida: aktualisht, kjo digë nuk ka një autoritet menaxhues të caktuar, ndonëse ka potencial të konsiderueshëm për të mbështetur furnizimin lokal me ujë </w:t>
      </w:r>
      <w:r w:rsidRPr="001C61AE">
        <w:rPr>
          <w:rFonts w:ascii="Arial" w:hAnsi="Arial" w:cs="Arial"/>
          <w:lang w:val="sq-AL"/>
        </w:rPr>
        <w:lastRenderedPageBreak/>
        <w:t>dhe sistemet e ujitjes në zonën e Gjilanit. Kërkohet një vendim institucional i qartë për të rehabilituar dhe funksionalizuar digën nën një menaxhim të përcaktuar, ose për të filluar procesin e dekomisionimit të saj në mënyrë të përgjegjshme, për të shmangur rreziqe afatgjata për sigurinë dhe mjedisin. Një vendim i tillë duhet të mbështetet në vlerësime të përditësuara të sigurisë, studime të sedimentimit dhe analiza të rrezikut për komunitetet përreth.</w:t>
      </w:r>
    </w:p>
    <w:p w14:paraId="5EF7B197" w14:textId="151E9C6C" w:rsidR="001D4FA1" w:rsidRPr="001C61AE" w:rsidRDefault="00045E47" w:rsidP="008E17FD">
      <w:pPr>
        <w:spacing w:line="240" w:lineRule="auto"/>
        <w:jc w:val="both"/>
        <w:rPr>
          <w:rFonts w:ascii="Arial" w:hAnsi="Arial" w:cs="Arial"/>
          <w:lang w:val="sq-AL"/>
        </w:rPr>
      </w:pPr>
      <w:r w:rsidRPr="001C61AE">
        <w:rPr>
          <w:rFonts w:ascii="Arial" w:hAnsi="Arial" w:cs="Arial"/>
          <w:lang w:val="sq-AL"/>
        </w:rPr>
        <w:t>Në këtë kontekst, modernizimi i sistemeve të monitorimit të sigurisë së digave, rehabilitimi strukturor i infrastrukturës së vjetruar dhe zhvillimi i planeve të veprimit emergjent—sidomos për digat me rrezik të lartë—dalin si përparësi kritike. Këto veprime përfshijnë pajisjen e gjashtë digave kryesore të Kosovës me instrumente moderne të sigurisë dhe protokolle të standardizuara, si dhe përcaktimin e qartë të së ardhmes së Digës së Livoçit përmes një vendimmarrjeje të informuar institucionale. Këto përpjekje janë në përputhje me strategjinë e gjerë të Kosovës për të mbrojtur infrastrukturën dhe komunitetet poshtë digave, duke plotësuar gjithashtu përpjekjet në vazhdim të programit FLOWS të financuar nga Banka Botërore për sigurinë e digave dhe rritjen e qëndrueshmërisë së sektorit të ujit</w:t>
      </w:r>
      <w:r w:rsidR="005E742C" w:rsidRPr="001C61AE">
        <w:rPr>
          <w:rFonts w:ascii="Arial" w:hAnsi="Arial" w:cs="Arial"/>
          <w:lang w:val="sq-AL"/>
        </w:rPr>
        <w:t>.</w:t>
      </w:r>
    </w:p>
    <w:p w14:paraId="5F64E06B" w14:textId="2EAD2211" w:rsidR="001D4FA1" w:rsidRPr="001C61AE" w:rsidRDefault="00862AC4" w:rsidP="008E17FD">
      <w:pPr>
        <w:spacing w:line="240" w:lineRule="auto"/>
        <w:ind w:left="708"/>
        <w:jc w:val="both"/>
        <w:rPr>
          <w:rFonts w:ascii="Arial" w:hAnsi="Arial" w:cs="Arial"/>
          <w:b/>
          <w:bCs/>
          <w:color w:val="0F4761"/>
          <w:lang w:val="sq-AL"/>
        </w:rPr>
      </w:pPr>
      <w:r w:rsidRPr="001C61AE">
        <w:rPr>
          <w:rFonts w:ascii="Arial" w:hAnsi="Arial" w:cs="Arial"/>
          <w:b/>
          <w:bCs/>
          <w:color w:val="0F4761"/>
          <w:lang w:val="sq-AL"/>
        </w:rPr>
        <w:t>I</w:t>
      </w:r>
      <w:r w:rsidR="007A22DD" w:rsidRPr="001C61AE">
        <w:rPr>
          <w:rFonts w:ascii="Arial" w:hAnsi="Arial" w:cs="Arial"/>
          <w:b/>
          <w:bCs/>
          <w:color w:val="0F4761"/>
          <w:lang w:val="sq-AL"/>
        </w:rPr>
        <w:t xml:space="preserve">.4 </w:t>
      </w:r>
      <w:r w:rsidR="00045E47" w:rsidRPr="001C61AE">
        <w:rPr>
          <w:rFonts w:ascii="Arial" w:hAnsi="Arial" w:cs="Arial"/>
          <w:b/>
          <w:bCs/>
          <w:color w:val="0F4761"/>
          <w:lang w:val="sq-AL"/>
        </w:rPr>
        <w:t>Zgjerimi i impiantit për trajtimin e ujit në Shkabaj për të përmirësuar efiçiencën dhe besueshmërinë e furnizimit në rajonin e Prishtinës</w:t>
      </w:r>
    </w:p>
    <w:p w14:paraId="76AF0828" w14:textId="43093C06" w:rsidR="001E1A6F" w:rsidRPr="001C61AE" w:rsidRDefault="001E1A6F" w:rsidP="001E1A6F">
      <w:pPr>
        <w:spacing w:line="240" w:lineRule="auto"/>
        <w:jc w:val="both"/>
        <w:rPr>
          <w:rFonts w:ascii="Arial" w:hAnsi="Arial" w:cs="Arial"/>
          <w:lang w:val="sq-AL"/>
        </w:rPr>
      </w:pPr>
      <w:r w:rsidRPr="001C61AE">
        <w:rPr>
          <w:rFonts w:ascii="Arial" w:hAnsi="Arial" w:cs="Arial"/>
          <w:lang w:val="sq-AL"/>
        </w:rPr>
        <w:t xml:space="preserve">Sigurimi i një furnizimi të besueshëm dhe energjetikisht efikas me ujë të pijshëm për rajonin e Prishtinës është thelbësor për forcimin e qëndrueshmërisë urbane dhe mbrojtjen e shëndetit publik, veçanërisht përballë sfidave në rritje që vijnë nga urbanizimi, ndryshimet klimatike dhe </w:t>
      </w:r>
      <w:r w:rsidR="00E01381" w:rsidRPr="001C61AE">
        <w:rPr>
          <w:rFonts w:ascii="Arial" w:hAnsi="Arial" w:cs="Arial"/>
          <w:lang w:val="sq-AL"/>
        </w:rPr>
        <w:t xml:space="preserve">ndryshueshmëria e </w:t>
      </w:r>
      <w:r w:rsidRPr="001C61AE">
        <w:rPr>
          <w:rFonts w:ascii="Arial" w:hAnsi="Arial" w:cs="Arial"/>
          <w:lang w:val="sq-AL"/>
        </w:rPr>
        <w:t>resurseve ujore. Zgjerimi i planifikuar i Impiantit për Trajtimin e Ujit në Shkabaj (ITU Shkabaj), me një rritje kapaciteti prej 500 litra për sekondë, paraqet një zgjidhje me kosto të përballueshme, teknikisht të realizueshme dhe me ndikim minimal në mjedis për përforcimin e qëndrueshmërisë së sistemit të furnizimit me ujë të kryeqytetit.</w:t>
      </w:r>
    </w:p>
    <w:p w14:paraId="33D8D2BB" w14:textId="65A1FCE5" w:rsidR="001E1A6F" w:rsidRPr="001C61AE" w:rsidRDefault="001E1A6F" w:rsidP="001E1A6F">
      <w:pPr>
        <w:spacing w:line="240" w:lineRule="auto"/>
        <w:jc w:val="both"/>
        <w:rPr>
          <w:rFonts w:ascii="Arial" w:hAnsi="Arial" w:cs="Arial"/>
          <w:lang w:val="sq-AL"/>
        </w:rPr>
      </w:pPr>
      <w:r w:rsidRPr="001C61AE">
        <w:rPr>
          <w:rFonts w:ascii="Arial" w:hAnsi="Arial" w:cs="Arial"/>
          <w:lang w:val="sq-AL"/>
        </w:rPr>
        <w:t>Ky ndërhyrje është e kufizuar në përmirësime të brendshme brenda objektit ekzistues të Shkabajt dhe instalimin e tre pompave në stacionin e pompimit në Milloshevë, një vend tashmë i përgatitur për këtë zgjerim. Racionalja operacionale për këtë investim është e qartë: duke</w:t>
      </w:r>
      <w:r w:rsidR="00E01381" w:rsidRPr="001C61AE">
        <w:rPr>
          <w:rFonts w:ascii="Arial" w:hAnsi="Arial" w:cs="Arial"/>
          <w:lang w:val="sq-AL"/>
        </w:rPr>
        <w:t xml:space="preserve"> zvogëluar</w:t>
      </w:r>
      <w:r w:rsidRPr="001C61AE">
        <w:rPr>
          <w:rFonts w:ascii="Arial" w:hAnsi="Arial" w:cs="Arial"/>
          <w:lang w:val="sq-AL"/>
        </w:rPr>
        <w:t xml:space="preserve"> numrin e fazave të pompimit nga tre në një, projekti do të ulë ndjeshëm konsumin e energjisë, kostot operacionale dhe ekspozimin ndaj defekteve mekanike apo ndërprerjeve të energjisë elektrike.</w:t>
      </w:r>
    </w:p>
    <w:p w14:paraId="56F4139C" w14:textId="12FD1613" w:rsidR="005E742C" w:rsidRPr="001C61AE" w:rsidRDefault="001E1A6F" w:rsidP="005E742C">
      <w:pPr>
        <w:spacing w:line="240" w:lineRule="auto"/>
        <w:jc w:val="both"/>
        <w:rPr>
          <w:rFonts w:ascii="Arial" w:hAnsi="Arial" w:cs="Arial"/>
          <w:lang w:val="sq-AL"/>
        </w:rPr>
      </w:pPr>
      <w:r w:rsidRPr="001C61AE">
        <w:rPr>
          <w:rFonts w:ascii="Arial" w:hAnsi="Arial" w:cs="Arial"/>
          <w:lang w:val="sq-AL"/>
        </w:rPr>
        <w:t>Në paralel, optimizimi i korridorit Shkabaj–Milloshevë do të mundësojë rialokimin e Impiantit të Trajtimit të Ujit në Badovc për të shërbyer zhvillimin në rritje të Prishtina e Re dhe zonën e Graçanicës. Kjo ndarje strategjike e zonave të furnizimit do të zvogëlojë varësinë e ndërsjellë ndërmjet sistemeve dhe do të përmirësojë fleksibilitetin operativ, duke mundësuar reagim më efektiv gjatë kërkesës maksimale ose në situata emergjente.</w:t>
      </w:r>
      <w:r w:rsidR="00B5207D" w:rsidRPr="001C61AE">
        <w:rPr>
          <w:rFonts w:ascii="Arial" w:hAnsi="Arial" w:cs="Arial"/>
          <w:lang w:val="sq-AL"/>
        </w:rPr>
        <w:t xml:space="preserve"> </w:t>
      </w:r>
      <w:r w:rsidRPr="001C61AE">
        <w:rPr>
          <w:rFonts w:ascii="Arial" w:hAnsi="Arial" w:cs="Arial"/>
          <w:lang w:val="sq-AL"/>
        </w:rPr>
        <w:t>Së bashku, këto masa pritet të përmirësojnë efikasitetin operativ, qëndrueshmërinë klimatike dhe besueshmërinë afatgjatë të shërbimit për zonën metropolitane të Prishtinës, duke siguruar një sistem të qëndrueshëm dhe të besueshëm të furnizimit me ujë që mund t’u bëjë ballë presioneve aktuale dhe të ardhshme</w:t>
      </w:r>
      <w:r w:rsidR="005E742C" w:rsidRPr="001C61AE">
        <w:rPr>
          <w:rFonts w:ascii="Arial" w:hAnsi="Arial" w:cs="Arial"/>
          <w:lang w:val="sq-AL"/>
        </w:rPr>
        <w:t>.</w:t>
      </w:r>
    </w:p>
    <w:p w14:paraId="01B43514" w14:textId="1CFA0B58" w:rsidR="001D4FA1" w:rsidRPr="001C61AE" w:rsidRDefault="00862AC4" w:rsidP="00DE7A14">
      <w:pPr>
        <w:keepNext/>
        <w:spacing w:line="240" w:lineRule="auto"/>
        <w:ind w:left="709"/>
        <w:jc w:val="both"/>
        <w:rPr>
          <w:rFonts w:ascii="Arial" w:hAnsi="Arial" w:cs="Arial"/>
          <w:b/>
          <w:bCs/>
          <w:color w:val="0F4761"/>
          <w:lang w:val="sq-AL"/>
        </w:rPr>
      </w:pPr>
      <w:r w:rsidRPr="001C61AE">
        <w:rPr>
          <w:rFonts w:ascii="Arial" w:hAnsi="Arial" w:cs="Arial"/>
          <w:b/>
          <w:bCs/>
          <w:color w:val="0F4761"/>
          <w:lang w:val="sq-AL"/>
        </w:rPr>
        <w:t>I</w:t>
      </w:r>
      <w:r w:rsidR="007A22DD" w:rsidRPr="001C61AE">
        <w:rPr>
          <w:rFonts w:ascii="Arial" w:hAnsi="Arial" w:cs="Arial"/>
          <w:b/>
          <w:bCs/>
          <w:color w:val="0F4761"/>
          <w:lang w:val="sq-AL"/>
        </w:rPr>
        <w:t xml:space="preserve">.5 </w:t>
      </w:r>
      <w:r w:rsidR="00045E47" w:rsidRPr="001C61AE">
        <w:rPr>
          <w:rFonts w:ascii="Arial" w:hAnsi="Arial" w:cs="Arial"/>
          <w:b/>
          <w:bCs/>
          <w:color w:val="0F4761"/>
          <w:lang w:val="sq-AL"/>
        </w:rPr>
        <w:t>Përmirësimi i qëndrueshmërisë ndaj thatësirave dhe besueshmërisë së furnizimit me ujë përmes ndërlidhjes emergjente ndërmjet Liqenit të Ujmanit dhe rezervuarit të Badovcit</w:t>
      </w:r>
    </w:p>
    <w:p w14:paraId="3A1782E3" w14:textId="77777777" w:rsidR="001E1A6F" w:rsidRPr="001C61AE" w:rsidRDefault="001E1A6F" w:rsidP="001E1A6F">
      <w:pPr>
        <w:spacing w:line="240" w:lineRule="auto"/>
        <w:jc w:val="both"/>
        <w:rPr>
          <w:rFonts w:ascii="Arial" w:hAnsi="Arial" w:cs="Arial"/>
          <w:lang w:val="sq-AL"/>
        </w:rPr>
      </w:pPr>
      <w:r w:rsidRPr="001C61AE">
        <w:rPr>
          <w:rFonts w:ascii="Arial" w:hAnsi="Arial" w:cs="Arial"/>
          <w:lang w:val="sq-AL"/>
        </w:rPr>
        <w:t>Liqeni i Badovcit përbën një burim jetik uji për zonën lindore të furnizimit të rajonit të Prishtinës, duke përfshirë Komunën e Graçanicës dhe zonën në zgjerim të Prishtina e Re. Si një rezervuar artificial i vjetër që varet ekskluzivisht nga reshjet atmosferike, Badovci është jashtëzakonisht i ndjeshëm ndaj thatësirave të shkaktuara nga ndryshimet klimatike. Ngjarje të mëparshme të thatësirës në vitet 2007, 2012 dhe 2019 kanë çuar në rënie të ndjeshme të niveleve të ujit, duke rezultuar me kufizime në furnizim dhe duke ekspozuar mijëra banorë ndaj ndërprerjeve të mundshme. Në vitin 2014, liqeni arriti një nivel kritik, me vetëm një muaj rezervë të mbetur, duke nënvizuar cenueshmërinë e këtij sistemi të izoluar.</w:t>
      </w:r>
    </w:p>
    <w:p w14:paraId="330518FB" w14:textId="77777777" w:rsidR="001E1A6F" w:rsidRPr="001C61AE" w:rsidRDefault="001E1A6F" w:rsidP="001E1A6F">
      <w:pPr>
        <w:spacing w:line="240" w:lineRule="auto"/>
        <w:jc w:val="both"/>
        <w:rPr>
          <w:rFonts w:ascii="Arial" w:hAnsi="Arial" w:cs="Arial"/>
          <w:lang w:val="sq-AL"/>
        </w:rPr>
      </w:pPr>
      <w:r w:rsidRPr="001C61AE">
        <w:rPr>
          <w:rFonts w:ascii="Arial" w:hAnsi="Arial" w:cs="Arial"/>
          <w:lang w:val="sq-AL"/>
        </w:rPr>
        <w:t>Trendet afatgjata e përkeqësojnë më tej këtë situatë, me reshje gjithnjë e më të pakta, avullim të shtuar dhe akumulim sedimentesh—të matur deri në katër metra të volumit të vdekur—që po reduktojnë vazhdimisht kapacitetin efektiv të rezervuarit. Njëkohësisht, zhvillimi i shpejtë urban në zonën e furnizimit të Badovcit, përfshirë Prishtina e Re, ka rritur ndjeshëm kërkesën për ujë, duke intensifikuar presionin mbi sistemin.</w:t>
      </w:r>
    </w:p>
    <w:p w14:paraId="659C18D8" w14:textId="77777777" w:rsidR="001E1A6F" w:rsidRPr="001C61AE" w:rsidRDefault="001E1A6F" w:rsidP="001E1A6F">
      <w:pPr>
        <w:spacing w:line="240" w:lineRule="auto"/>
        <w:jc w:val="both"/>
        <w:rPr>
          <w:rFonts w:ascii="Arial" w:hAnsi="Arial" w:cs="Arial"/>
          <w:lang w:val="sq-AL"/>
        </w:rPr>
      </w:pPr>
      <w:r w:rsidRPr="001C61AE">
        <w:rPr>
          <w:rFonts w:ascii="Arial" w:hAnsi="Arial" w:cs="Arial"/>
          <w:lang w:val="sq-AL"/>
        </w:rPr>
        <w:t xml:space="preserve">Për të adresuar këto sfida, ekziston nevoja urgjente për të investuar në rehabilitimin ose ndërtimin e një tubacioni ndërlidhës direkt që lidh Liqenin e Ujmanit me Impiantin e Trajtimit të Ujit në Badovc. Ky tubacion do të mundësonte transferimin emergjent të ujit të papërpunuar—duke e anashkaluar vetë liqenin e </w:t>
      </w:r>
      <w:r w:rsidRPr="001C61AE">
        <w:rPr>
          <w:rFonts w:ascii="Arial" w:hAnsi="Arial" w:cs="Arial"/>
          <w:lang w:val="sq-AL"/>
        </w:rPr>
        <w:lastRenderedPageBreak/>
        <w:t>Badovcit dhe duke e dërguar ujin direkt në impiantin e trajtimit—duke ruajtur ndarjen midis dy truproreve ujore dhe duke garantuar vazhdimësinë e furnizimit gjatë kushteve të thatësirës.</w:t>
      </w:r>
    </w:p>
    <w:p w14:paraId="4652BCBF" w14:textId="0EE2A21E" w:rsidR="001D4FA1" w:rsidRPr="001C61AE" w:rsidRDefault="001E1A6F" w:rsidP="001D4FA1">
      <w:pPr>
        <w:spacing w:line="240" w:lineRule="auto"/>
        <w:jc w:val="both"/>
        <w:rPr>
          <w:rFonts w:ascii="Arial" w:hAnsi="Arial" w:cs="Arial"/>
          <w:lang w:val="sq-AL"/>
        </w:rPr>
      </w:pPr>
      <w:r w:rsidRPr="001C61AE">
        <w:rPr>
          <w:rFonts w:ascii="Arial" w:hAnsi="Arial" w:cs="Arial"/>
          <w:lang w:val="sq-AL"/>
        </w:rPr>
        <w:t>Kjo ndërlidhje strategjike do të zvogëlonte varësinë nga një burim i vetëm uji, do të rrite fleksibilitetin operativ gjatë ekstremeve klimatike dhe do të zbusë rrezikun e ndërprerjeve të furnizimit në zonat kritike në zhvillim. Për më tepër, ajo përputhet me objektivat kombëtare për përshtatje ndaj ndryshimeve klimatike, qëndrueshmëri të sistemeve urbane të ujit dhe krijimin e kapaciteteve rezervë infrastrukturore, duke e bërë këtë një investim me përparësi të lartë për vitet në vijim</w:t>
      </w:r>
      <w:r w:rsidR="001D4FA1" w:rsidRPr="001C61AE">
        <w:rPr>
          <w:rFonts w:ascii="Arial" w:hAnsi="Arial" w:cs="Arial"/>
          <w:lang w:val="sq-AL"/>
        </w:rPr>
        <w:t>.</w:t>
      </w:r>
    </w:p>
    <w:p w14:paraId="7C0E4C2F" w14:textId="4E93799C" w:rsidR="001D4FA1" w:rsidRPr="001C61AE" w:rsidRDefault="00862AC4" w:rsidP="008E17FD">
      <w:pPr>
        <w:spacing w:line="240" w:lineRule="auto"/>
        <w:ind w:left="708"/>
        <w:jc w:val="both"/>
        <w:rPr>
          <w:rFonts w:ascii="Arial" w:hAnsi="Arial" w:cs="Arial"/>
          <w:b/>
          <w:bCs/>
          <w:color w:val="0F4761"/>
          <w:lang w:val="sq-AL"/>
        </w:rPr>
      </w:pPr>
      <w:r w:rsidRPr="001C61AE">
        <w:rPr>
          <w:rFonts w:ascii="Arial" w:hAnsi="Arial" w:cs="Arial"/>
          <w:b/>
          <w:bCs/>
          <w:color w:val="0F4761"/>
          <w:lang w:val="sq-AL"/>
        </w:rPr>
        <w:t>I</w:t>
      </w:r>
      <w:r w:rsidR="007A22DD" w:rsidRPr="001C61AE">
        <w:rPr>
          <w:rFonts w:ascii="Arial" w:hAnsi="Arial" w:cs="Arial"/>
          <w:b/>
          <w:bCs/>
          <w:color w:val="0F4761"/>
          <w:lang w:val="sq-AL"/>
        </w:rPr>
        <w:t xml:space="preserve">.6 </w:t>
      </w:r>
      <w:r w:rsidR="001E1A6F" w:rsidRPr="001C61AE">
        <w:rPr>
          <w:rFonts w:ascii="Arial" w:hAnsi="Arial" w:cs="Arial"/>
          <w:b/>
          <w:bCs/>
          <w:color w:val="0F4761"/>
          <w:lang w:val="sq-AL"/>
        </w:rPr>
        <w:t>Fuqizimi i sigurisë së ujit në Kosovën qendrore përmes rishqyrtimit të ndërtimit të rezervuarit të Mihaliqit</w:t>
      </w:r>
    </w:p>
    <w:p w14:paraId="4675C54C" w14:textId="77777777" w:rsidR="001E1A6F" w:rsidRPr="001C61AE" w:rsidRDefault="001E1A6F" w:rsidP="001E1A6F">
      <w:pPr>
        <w:spacing w:line="240" w:lineRule="auto"/>
        <w:jc w:val="both"/>
        <w:rPr>
          <w:rFonts w:ascii="Arial" w:hAnsi="Arial" w:cs="Arial"/>
          <w:lang w:val="sq-AL"/>
        </w:rPr>
      </w:pPr>
      <w:r w:rsidRPr="001C61AE">
        <w:rPr>
          <w:rFonts w:ascii="Arial" w:hAnsi="Arial" w:cs="Arial"/>
          <w:lang w:val="sq-AL"/>
        </w:rPr>
        <w:t>Rajoni qendror i Kosovës, përfshirë kryeqytetin Prishtina, varet në masë të madhe nga kanali Ibër-Lepenc për të plotësuar nevojat për ujë në sektorët e banimit, industrisë dhe energjisë. Megjithatë, ky sistem kanalizimi po përballet me cenueshmëri në rritje si rezultat i infrastrukturës së vjetruar, kërkesës sezonale të paqëndrueshme, rreziqeve të ndotjes dhe rreziqeve fizike si rrëshqitjet e dheut. Këto sfida pritet të përkeqësohen për shkak të ndryshimeve klimatike, të cilat do të shtojnë variabilitetin e rrjedhës dhe kërkesën për ujë nga impiantet e reja të trajtimit dhe objektet energjetike. Sulmi terrorist i 29 nëntorit 2024 në Zubin Potok, i cili dëmtoi rëndë kanalin, thekson më tej urgjencën për ndërtimin e infrastrukturës rezervë të sigurt dhe të qëndrueshme.</w:t>
      </w:r>
    </w:p>
    <w:p w14:paraId="2F1EE11B" w14:textId="77777777" w:rsidR="001E1A6F" w:rsidRPr="001C61AE" w:rsidRDefault="001E1A6F" w:rsidP="001E1A6F">
      <w:pPr>
        <w:spacing w:line="240" w:lineRule="auto"/>
        <w:jc w:val="both"/>
        <w:rPr>
          <w:rFonts w:ascii="Arial" w:hAnsi="Arial" w:cs="Arial"/>
          <w:lang w:val="sq-AL"/>
        </w:rPr>
      </w:pPr>
      <w:r w:rsidRPr="001C61AE">
        <w:rPr>
          <w:rFonts w:ascii="Arial" w:hAnsi="Arial" w:cs="Arial"/>
          <w:lang w:val="sq-AL"/>
        </w:rPr>
        <w:t>Në këtë kontekst, rezervuari Mihaliq—me një kapacitet të vlerësuar deri në 4.7 milionë metra kub—përbën një investim strategjik në sigurinë e ujit. Ai është projektuar për të ofruar depozitë emergjente, për të përmirësuar fleksibilitetin operacional dhe për të ofruar kapacitete rezervë gjatë ngjarjeve me turbullirë të lartë ose sabotimeve të mundshme të kanalit, duke garantuar vazhdimësinë e furnizimit me ujë për gjenerimin e energjisë. Rezervuari mundëson mbylljen e përkohshme të kanalit për mirëmbajtje ose reagim emergjent pa kompromentuar furnizimin e poshtëm, duke forcuar ndjeshëm qëndrueshmërinë e sistemit.</w:t>
      </w:r>
    </w:p>
    <w:p w14:paraId="4EAEA33F" w14:textId="624A1897" w:rsidR="001E1A6F" w:rsidRPr="001C61AE" w:rsidRDefault="001E1A6F" w:rsidP="001E1A6F">
      <w:pPr>
        <w:spacing w:line="240" w:lineRule="auto"/>
        <w:jc w:val="both"/>
        <w:rPr>
          <w:rFonts w:ascii="Arial" w:hAnsi="Arial" w:cs="Arial"/>
          <w:lang w:val="sq-AL"/>
        </w:rPr>
      </w:pPr>
      <w:r w:rsidRPr="001C61AE">
        <w:rPr>
          <w:rFonts w:ascii="Arial" w:hAnsi="Arial" w:cs="Arial"/>
          <w:lang w:val="sq-AL"/>
        </w:rPr>
        <w:t>Ky projekt kontribuon drejtpërdrejt në objektivat e Kosovës për përshtatje ndaj ndryshimeve klimatike, duke adresuar rreziqet në rritje që lidhen me thatësirën, turbullirën dhe ndryshueshmërinë e kërkesës së shkaktuar nga klima. Për më tepër, ai kontribuon në gatishmërinë për sigurinë kombëtare: ndryshe nga rezervuarët për ujë të pijshëm—ku aktivitetet e motorizuara ndalohen për shkak të mbrojtjes së cilësisë së ujit—rezervuari Mihaliq lejon përdorime rekreative të kontrolluara, përfshirë sportet ujore dhe ushtrimet</w:t>
      </w:r>
      <w:r w:rsidR="00E01381" w:rsidRPr="001C61AE">
        <w:rPr>
          <w:rFonts w:ascii="Arial" w:hAnsi="Arial" w:cs="Arial"/>
          <w:lang w:val="sq-AL"/>
        </w:rPr>
        <w:t xml:space="preserve"> </w:t>
      </w:r>
      <w:r w:rsidR="00E01381" w:rsidRPr="001C61AE">
        <w:rPr>
          <w:rFonts w:ascii="Arial" w:hAnsi="Arial" w:cs="Arial"/>
        </w:rPr>
        <w:t xml:space="preserve">për gatishmëri operacionale të strukturave për mbrojtje, shpëtim dhe ndihmë, përfshirë Forcën e sigurisësë Kosovës (FSK). </w:t>
      </w:r>
      <w:r w:rsidR="00F1735C" w:rsidRPr="001C61AE">
        <w:rPr>
          <w:rFonts w:ascii="Arial" w:hAnsi="Arial" w:cs="Arial"/>
          <w:lang w:val="sq-AL"/>
        </w:rPr>
        <w:t xml:space="preserve"> </w:t>
      </w:r>
    </w:p>
    <w:p w14:paraId="652AE9B8" w14:textId="4F9E56F6" w:rsidR="001D4FA1" w:rsidRPr="001C61AE" w:rsidRDefault="001E1A6F" w:rsidP="001D4FA1">
      <w:pPr>
        <w:spacing w:line="240" w:lineRule="auto"/>
        <w:jc w:val="both"/>
        <w:rPr>
          <w:rFonts w:ascii="Arial" w:hAnsi="Arial" w:cs="Arial"/>
          <w:lang w:val="sq-AL"/>
        </w:rPr>
      </w:pPr>
      <w:r w:rsidRPr="001C61AE">
        <w:rPr>
          <w:rFonts w:ascii="Arial" w:hAnsi="Arial" w:cs="Arial"/>
          <w:lang w:val="sq-AL"/>
        </w:rPr>
        <w:t>I vendosur në mënyrë strategjike pranë fshatit Mihaliq (Komuna e Vushtrrisë), vendndodhja e rezervuarit lehtëson mbylljen e kanalit për mirëmbajtje ose emergjenca pa cenuar furnizimin me ujë të poshtëm. Lokacioni është përzgjedhur me qëllim për të shmangur zhvendosjen e popullsisë dhe për të minimizuar ndikimet mjedisore dhe sociale. Projekti është në përputhje me rekomandimet e raportit të Departamentit të Energjisë së SHBA për Liqenin e Ujmanit, i cili thekson rëndësinë e modernizimit të infrastrukturës ujore, përfshirë kanalin Ibër-Lepenc dhe rezervuarët përkatës, për të përmirësuar sigurinë rajonale të ujit</w:t>
      </w:r>
      <w:r w:rsidR="003E057B" w:rsidRPr="001C61AE">
        <w:rPr>
          <w:rFonts w:ascii="Arial" w:hAnsi="Arial" w:cs="Arial"/>
          <w:lang w:val="sq-AL"/>
        </w:rPr>
        <w:t>.</w:t>
      </w:r>
      <w:r w:rsidR="001D4FA1" w:rsidRPr="001C61AE">
        <w:rPr>
          <w:rStyle w:val="FootnoteReference"/>
          <w:rFonts w:ascii="Arial" w:hAnsi="Arial" w:cs="Arial"/>
          <w:lang w:val="sq-AL"/>
        </w:rPr>
        <w:footnoteReference w:id="62"/>
      </w:r>
      <w:r w:rsidR="001D4FA1" w:rsidRPr="001C61AE">
        <w:rPr>
          <w:rFonts w:ascii="Arial" w:hAnsi="Arial" w:cs="Arial"/>
          <w:lang w:val="sq-AL"/>
        </w:rPr>
        <w:t xml:space="preserve"> </w:t>
      </w:r>
    </w:p>
    <w:p w14:paraId="670AC63E" w14:textId="5BC85528" w:rsidR="001D4FA1" w:rsidRPr="001C61AE" w:rsidRDefault="001E1A6F" w:rsidP="00233010">
      <w:pPr>
        <w:pStyle w:val="Heading3"/>
        <w:rPr>
          <w:rFonts w:ascii="Arial" w:hAnsi="Arial" w:cs="Arial"/>
          <w:lang w:val="sq-AL"/>
        </w:rPr>
      </w:pPr>
      <w:bookmarkStart w:id="74" w:name="_Toc211532704"/>
      <w:r w:rsidRPr="001C61AE">
        <w:rPr>
          <w:rFonts w:ascii="Arial" w:hAnsi="Arial" w:cs="Arial"/>
          <w:lang w:val="sq-AL"/>
        </w:rPr>
        <w:t>Menaxhimi i qëndrueshëm i pellgjeve lumore</w:t>
      </w:r>
      <w:bookmarkEnd w:id="74"/>
    </w:p>
    <w:p w14:paraId="4369AFF2" w14:textId="77777777" w:rsidR="0011214D" w:rsidRPr="001C61AE" w:rsidRDefault="0011214D" w:rsidP="0011214D">
      <w:pPr>
        <w:spacing w:line="240" w:lineRule="auto"/>
        <w:jc w:val="both"/>
        <w:rPr>
          <w:rFonts w:ascii="Arial" w:hAnsi="Arial" w:cs="Arial"/>
          <w:lang w:val="sq-AL"/>
        </w:rPr>
      </w:pPr>
      <w:r w:rsidRPr="001C61AE">
        <w:rPr>
          <w:rFonts w:ascii="Arial" w:hAnsi="Arial" w:cs="Arial"/>
          <w:lang w:val="sq-AL"/>
        </w:rPr>
        <w:t>Menaxhimi i qëndrueshëm i pellgjeve lumore në Kosovë fokusohet në disa sektorë kyç që janë thelbësorë për të garantuar sigurinë afatgjatë të burimeve ujore dhe integritetin ekologjik. Këta sektorë përfshijnë qeverisjen ndërkufitare të pellgjeve lumore, mbrojtjen e mjedisit dhe biodiversitetit, rregullimin e pellgjeve në zonat urbane dhe periurbane, bujqësinë dhe planifikimin e përdorimit të tokës, menaxhimin e rrezikut nga përmbytjet dhe fatkeqësitë, kujdesin në nivel komunal për pellgjet ujore, si dhe sistemet e monitorimit hidrologjik dhe meteorologjik. Secili nga këto sektorë luan një rol kritik në ruajtjen e shëndetit dhe funksionalitetit të pellgjeve në kushtet e ndryshueshmërisë së klimës dhe presioneve antropogjene në rritje.</w:t>
      </w:r>
    </w:p>
    <w:p w14:paraId="488FAAFC" w14:textId="79DC5E9C" w:rsidR="0011214D" w:rsidRPr="001C61AE" w:rsidRDefault="0011214D" w:rsidP="0011214D">
      <w:pPr>
        <w:spacing w:line="240" w:lineRule="auto"/>
        <w:jc w:val="both"/>
        <w:rPr>
          <w:rFonts w:ascii="Arial" w:hAnsi="Arial" w:cs="Arial"/>
          <w:lang w:val="sq-AL"/>
        </w:rPr>
      </w:pPr>
      <w:r w:rsidRPr="001C61AE">
        <w:rPr>
          <w:rFonts w:ascii="Arial" w:hAnsi="Arial" w:cs="Arial"/>
          <w:lang w:val="sq-AL"/>
        </w:rPr>
        <w:t xml:space="preserve">Për të adresuar sfidat që përballen këto sektorë, </w:t>
      </w:r>
      <w:r w:rsidR="007241F7" w:rsidRPr="001C61AE">
        <w:rPr>
          <w:rFonts w:ascii="Arial" w:hAnsi="Arial" w:cs="Arial"/>
          <w:lang w:val="sq-AL"/>
        </w:rPr>
        <w:t xml:space="preserve"> janë</w:t>
      </w:r>
      <w:r w:rsidRPr="001C61AE">
        <w:rPr>
          <w:rFonts w:ascii="Arial" w:hAnsi="Arial" w:cs="Arial"/>
          <w:lang w:val="sq-AL"/>
        </w:rPr>
        <w:t xml:space="preserve"> identifikuar një gamë</w:t>
      </w:r>
      <w:r w:rsidR="007241F7" w:rsidRPr="001C61AE">
        <w:rPr>
          <w:rFonts w:ascii="Arial" w:hAnsi="Arial" w:cs="Arial"/>
          <w:lang w:val="sq-AL"/>
        </w:rPr>
        <w:t>e</w:t>
      </w:r>
      <w:r w:rsidRPr="001C61AE">
        <w:rPr>
          <w:rFonts w:ascii="Arial" w:hAnsi="Arial" w:cs="Arial"/>
          <w:lang w:val="sq-AL"/>
        </w:rPr>
        <w:t xml:space="preserve"> gjerë masash strategjike për përshtatje klimatike. Një nga masat qendrore është rikthimi i brigjeve të degraduara të lumenjve dhe ligatinave. Këto ndërhyrje janë thelbësore për përmirësimin e cilësisë së habitateve dhe rikthimin e </w:t>
      </w:r>
      <w:r w:rsidRPr="001C61AE">
        <w:rPr>
          <w:rFonts w:ascii="Arial" w:hAnsi="Arial" w:cs="Arial"/>
          <w:lang w:val="sq-AL"/>
        </w:rPr>
        <w:lastRenderedPageBreak/>
        <w:t>funksioneve natyrore të pellgjeve, veçanërisht për rregullimin e rrjedhave bazë dhe zbutjen e kulmeve të përmbytjeve. Krahas tyre, implementimi i nismave të ripyllëzimit në shkallë të gjerë dhe mbrojtjes së baseneve ujore, veçanërisht në zonat e sipërme të prirura ndaj erozionit, kontribuon në stabilizimin e tokës, përmirësimin e infiltrimit dhe rritjen e rimbushjes së akuifereve.</w:t>
      </w:r>
    </w:p>
    <w:p w14:paraId="4A9F57BE" w14:textId="77777777" w:rsidR="0011214D" w:rsidRPr="001C61AE" w:rsidRDefault="0011214D" w:rsidP="0011214D">
      <w:pPr>
        <w:spacing w:line="240" w:lineRule="auto"/>
        <w:jc w:val="both"/>
        <w:rPr>
          <w:rFonts w:ascii="Arial" w:hAnsi="Arial" w:cs="Arial"/>
          <w:lang w:val="sq-AL"/>
        </w:rPr>
      </w:pPr>
      <w:r w:rsidRPr="001C61AE">
        <w:rPr>
          <w:rFonts w:ascii="Arial" w:hAnsi="Arial" w:cs="Arial"/>
          <w:lang w:val="sq-AL"/>
        </w:rPr>
        <w:t>Një aspekt kyç i menaxhimit të qëndrueshëm të pellgjeve lumore është kontrolli i erozionit të tokës dhe sedimentimit që rezulton në lumenj dhe rezervuarë. Erozioni në zonat e sipërme të basenit—i nxitur nga shpyllëzimi, praktikat e dobëta bujqësore, ndërtimet e pakontrolluara dhe reshjet ekstreme të shkaktuara nga klima—kontribuon me ngarkesa të konsiderueshme sedimentesh në trupat ujorë të poshtëm. Ky proces sedimentimi kompromenton kapacitetin depozitues të rezervuarëve, bllokon kanalet e ujitjes, përshpejton degradimin e infrastrukturës hidraulike dhe redukton jetëgjatësinë funksionale të digave. Për më tepër, grumbullimi i sedimenteve ndikon në cilësinë e ujit përmes transportimit të lëndëve ushqyese, ndotësve dhe patogjenëve, duke rritur rrezikun për eutrofikim dhe për shëndetin publik.</w:t>
      </w:r>
    </w:p>
    <w:p w14:paraId="03C346FC" w14:textId="09D7B939" w:rsidR="00B72434" w:rsidRPr="001C61AE" w:rsidRDefault="0011214D" w:rsidP="00B72434">
      <w:pPr>
        <w:spacing w:line="240" w:lineRule="auto"/>
        <w:jc w:val="both"/>
        <w:rPr>
          <w:rFonts w:ascii="Arial" w:hAnsi="Arial" w:cs="Arial"/>
          <w:lang w:val="sq-AL"/>
        </w:rPr>
      </w:pPr>
      <w:r w:rsidRPr="001C61AE">
        <w:rPr>
          <w:rFonts w:ascii="Arial" w:hAnsi="Arial" w:cs="Arial"/>
          <w:lang w:val="sq-AL"/>
        </w:rPr>
        <w:t>Si përgjigje, masa të synuara kundër erozionit, si stabilizimi vegjetativ i shpatëve, ndërtimi i tarracave dhe praktikat e kontrolluara të kullotjes, po integrohen në planifikimin e menaxhimit të pellgjeve ujore. Këto përpjekje janë thelbësore jo vetëm për ruajtjen e tokës dhe rritjen e produktivitetit bujqësor, por edhe për mbrojtjen e funksionalitetit dhe qëndrueshmërisë së infrastrukturës së rëndësishme ujore</w:t>
      </w:r>
      <w:r w:rsidR="00B72434" w:rsidRPr="001C61AE">
        <w:rPr>
          <w:rFonts w:ascii="Arial" w:hAnsi="Arial" w:cs="Arial"/>
          <w:lang w:val="sq-AL"/>
        </w:rPr>
        <w:t>.</w:t>
      </w:r>
    </w:p>
    <w:p w14:paraId="077AC1EC" w14:textId="40444143" w:rsidR="00FB535F" w:rsidRPr="001C61AE" w:rsidRDefault="00FB535F" w:rsidP="00FB535F">
      <w:pPr>
        <w:spacing w:line="240" w:lineRule="auto"/>
        <w:jc w:val="both"/>
        <w:rPr>
          <w:rFonts w:ascii="Arial" w:hAnsi="Arial" w:cs="Arial"/>
          <w:lang w:val="sq-AL"/>
        </w:rPr>
      </w:pPr>
      <w:r w:rsidRPr="001C61AE">
        <w:rPr>
          <w:rFonts w:ascii="Arial" w:hAnsi="Arial" w:cs="Arial"/>
          <w:lang w:val="sq-AL"/>
        </w:rPr>
        <w:t>Në sektorin e bujqësisë, veprimet për përshtatje klimatike fokusohen në rregullimin e përdorimit të tokës për të reduktuar ndotjen difuze nga plehrat kimike dhe pesticidet. Kjo përfshin krijimin e zonave mbrojtëse përgjatë brigjeve të lumenjve (riparian buffer zones) dhe forcimin e zbatimit të masave për të parandaluar ngarkesën e lëndëve ushqyese dhe eutrofikimin e trupave ujorë. Paralelisht, po forcohet kapaciteti i Autoritetit të Rajonit të Pellgjeve Lumore (RBDA). Kjo përfshin rritjen e ekspertizës teknike, burimeve financiare dhe kompetencave ligjore për të zbatuar dhe monitoruar planet për menaxhimin e pellgjeve lumore në përputhje me standardet e BE-së.</w:t>
      </w:r>
      <w:r w:rsidR="00F6096B" w:rsidRPr="001C61AE">
        <w:rPr>
          <w:rFonts w:ascii="Arial" w:hAnsi="Arial" w:cs="Arial"/>
          <w:lang w:val="sq-AL"/>
        </w:rPr>
        <w:t xml:space="preserve"> </w:t>
      </w:r>
      <w:r w:rsidRPr="001C61AE">
        <w:rPr>
          <w:rFonts w:ascii="Arial" w:hAnsi="Arial" w:cs="Arial"/>
          <w:lang w:val="sq-AL"/>
        </w:rPr>
        <w:t>Koordinimi institucional po përparon gjithashtu përmes Këshillit Ndërministror për Ujëra, i kryesuar nga Kryeministri, i cili shërben si një platformë për harmonizimin e politikave të ujit në sektorët e bujqësisë, energjisë dhe mjedisit. Kjo përputhje ndërsektoriale është thelbësore për të adresuar sfidat në nivel pellgu lumor që kapërcejnë kufijtë administrativë.</w:t>
      </w:r>
    </w:p>
    <w:p w14:paraId="157630A0" w14:textId="5CF4A96F" w:rsidR="00B72434" w:rsidRPr="001C61AE" w:rsidRDefault="00FB535F" w:rsidP="00B72434">
      <w:pPr>
        <w:spacing w:line="240" w:lineRule="auto"/>
        <w:jc w:val="both"/>
        <w:rPr>
          <w:rFonts w:ascii="Arial" w:hAnsi="Arial" w:cs="Arial"/>
          <w:lang w:val="sq-AL"/>
        </w:rPr>
      </w:pPr>
      <w:r w:rsidRPr="001C61AE">
        <w:rPr>
          <w:rFonts w:ascii="Arial" w:hAnsi="Arial" w:cs="Arial"/>
          <w:lang w:val="sq-AL"/>
        </w:rPr>
        <w:t xml:space="preserve">Për të mbështetur vendimmarrjen e bazuar në të dhëna, </w:t>
      </w:r>
      <w:r w:rsidR="00E806F8" w:rsidRPr="001C61AE">
        <w:rPr>
          <w:rFonts w:ascii="Arial" w:hAnsi="Arial" w:cs="Arial"/>
          <w:lang w:val="sq-AL"/>
        </w:rPr>
        <w:t>jemi duke investuar</w:t>
      </w:r>
      <w:r w:rsidRPr="001C61AE">
        <w:rPr>
          <w:rFonts w:ascii="Arial" w:hAnsi="Arial" w:cs="Arial"/>
          <w:lang w:val="sq-AL"/>
        </w:rPr>
        <w:t xml:space="preserve"> në zgjerimin dhe modernizimin e sistemeve të të monitorimit hidrologjik dhe meteorologjik. Këto përmirësime përfshijnë mbylljen e boshllëqeve të të dhënave në zonat e largëta dhe integrimin e të gjithë informacionit hidrologjik në një platformë dixhitale qendrore. Të dhënat të sakta dhe në kohë reale për reshjet, rrjedhat e lumenjve dhe nivelet e ujërave nëntokësore janë të domosdoshme për modelimin e dinamikës së pellgjeve dhe për parashikimin e ndikimeve klimatike</w:t>
      </w:r>
      <w:r w:rsidR="00B72434" w:rsidRPr="001C61AE">
        <w:rPr>
          <w:rFonts w:ascii="Arial" w:hAnsi="Arial" w:cs="Arial"/>
          <w:lang w:val="sq-AL"/>
        </w:rPr>
        <w:t>.</w:t>
      </w:r>
    </w:p>
    <w:p w14:paraId="27F04D47" w14:textId="3114EF2D" w:rsidR="00FB535F" w:rsidRPr="001C61AE" w:rsidRDefault="00FB535F" w:rsidP="00FB535F">
      <w:pPr>
        <w:spacing w:line="240" w:lineRule="auto"/>
        <w:jc w:val="both"/>
        <w:rPr>
          <w:rFonts w:ascii="Arial" w:hAnsi="Arial" w:cs="Arial"/>
          <w:lang w:val="sq-AL"/>
        </w:rPr>
      </w:pPr>
      <w:r w:rsidRPr="001C61AE">
        <w:rPr>
          <w:rFonts w:ascii="Arial" w:hAnsi="Arial" w:cs="Arial"/>
          <w:lang w:val="sq-AL"/>
        </w:rPr>
        <w:t xml:space="preserve">Një masë tjetër e rëndësishme është formalizimi i bashkëpunimit ndërkufitar. Si një vend në rrjedhën e sipërme të pellgjeve lumore të përbashkëta me Shqipërinë, Maqedoninë e Veriut dhe Serbinë, </w:t>
      </w:r>
      <w:r w:rsidR="006E2AAF" w:rsidRPr="001C61AE">
        <w:rPr>
          <w:rFonts w:ascii="Arial" w:hAnsi="Arial" w:cs="Arial"/>
          <w:lang w:val="sq-AL"/>
        </w:rPr>
        <w:t>jemi duke i dhënë</w:t>
      </w:r>
      <w:r w:rsidRPr="001C61AE">
        <w:rPr>
          <w:rFonts w:ascii="Arial" w:hAnsi="Arial" w:cs="Arial"/>
          <w:lang w:val="sq-AL"/>
        </w:rPr>
        <w:t xml:space="preserve"> përparësi marrëveshjeve bilaterale dhe multilaterale për të siguruar kontroll të koordinuar të përmbytjeve, zbutjen e thatësirave dhe ruajtjen e rrjedhjeve ekologjike. Ky bashkëpunim është thelbësor për ruajtjen e integritetit dhe qëndrueshmërisë së burimeve të përbashkëta ujore.</w:t>
      </w:r>
    </w:p>
    <w:p w14:paraId="35D48BFA" w14:textId="6994A762" w:rsidR="00B72434" w:rsidRPr="001C61AE" w:rsidRDefault="00FB535F" w:rsidP="00FB535F">
      <w:pPr>
        <w:spacing w:line="240" w:lineRule="auto"/>
        <w:jc w:val="both"/>
        <w:rPr>
          <w:rFonts w:ascii="Arial" w:hAnsi="Arial" w:cs="Arial"/>
          <w:lang w:val="sq-AL"/>
        </w:rPr>
      </w:pPr>
      <w:r w:rsidRPr="001C61AE">
        <w:rPr>
          <w:rFonts w:ascii="Arial" w:hAnsi="Arial" w:cs="Arial"/>
          <w:lang w:val="sq-AL"/>
        </w:rPr>
        <w:t>Së fundmi, forcimi i rolit të komunave në menaxhimin e pellgjeve lumore përbën një strategji kyçe për përshtatjen klimatike. Qeverisjet lokale mbajnë përgjegjësi ligjore për rregullimin e brigjeve të lumenjve, mirëmbajtjen e sistemeve kulluese dhe zbatimin e planeve të përdorimit të tokës. Sigurimi i pjesëmarrjes aktive të tyre dhe forcimi i kapaciteteve për të përmbushur këto përgjegjësi janë thelbësore për menaxhimin efektiv të pellgjeve në terren.</w:t>
      </w:r>
      <w:r w:rsidR="00B5207D" w:rsidRPr="001C61AE">
        <w:rPr>
          <w:rFonts w:ascii="Arial" w:hAnsi="Arial" w:cs="Arial"/>
          <w:lang w:val="sq-AL"/>
        </w:rPr>
        <w:t xml:space="preserve"> </w:t>
      </w:r>
      <w:r w:rsidRPr="001C61AE">
        <w:rPr>
          <w:rFonts w:ascii="Arial" w:hAnsi="Arial" w:cs="Arial"/>
          <w:lang w:val="sq-AL"/>
        </w:rPr>
        <w:t>Në tërësi, këto masa përshtatëse përfaqësojnë një strategji gjithëpërfshirëse për të forcuar menaxhimin e qëndrueshëm të pellgjeve lumore në Kosovë. Duke integruar restaurimin ekologjik, reformën institucionale dhe bashkëpunimin rajonal, vendi synon të ndërtojë sisteme të qëndrueshme të pellgjeve që mund t’i përshtaten ndryshimeve klimatike, duke mbështetur njëkohësisht zhvillimin e qëndrueshëm dhe mbrojtjen e mjedisit</w:t>
      </w:r>
      <w:r w:rsidR="00B72434" w:rsidRPr="001C61AE">
        <w:rPr>
          <w:rFonts w:ascii="Arial" w:hAnsi="Arial" w:cs="Arial"/>
          <w:lang w:val="sq-AL"/>
        </w:rPr>
        <w:t>.</w:t>
      </w:r>
    </w:p>
    <w:p w14:paraId="6ACDC9DB" w14:textId="70C119E3" w:rsidR="001D4FA1" w:rsidRPr="001C61AE" w:rsidRDefault="00FB535F" w:rsidP="001D4FA1">
      <w:pPr>
        <w:spacing w:line="240" w:lineRule="auto"/>
        <w:jc w:val="both"/>
        <w:rPr>
          <w:rFonts w:ascii="Arial" w:hAnsi="Arial" w:cs="Arial"/>
          <w:b/>
          <w:bCs/>
          <w:color w:val="0F4761"/>
          <w:lang w:val="sq-AL"/>
        </w:rPr>
      </w:pPr>
      <w:r w:rsidRPr="001C61AE">
        <w:rPr>
          <w:rFonts w:ascii="Arial" w:hAnsi="Arial" w:cs="Arial"/>
          <w:b/>
          <w:bCs/>
          <w:color w:val="0F4761"/>
          <w:lang w:val="sq-AL"/>
        </w:rPr>
        <w:t>Objektivat specifikë</w:t>
      </w:r>
    </w:p>
    <w:p w14:paraId="68A961AB" w14:textId="6AF8182E" w:rsidR="005E742C" w:rsidRPr="001C61AE" w:rsidRDefault="00FB535F" w:rsidP="001D4FA1">
      <w:pPr>
        <w:spacing w:line="240" w:lineRule="auto"/>
        <w:jc w:val="both"/>
        <w:rPr>
          <w:rFonts w:ascii="Arial" w:hAnsi="Arial" w:cs="Arial"/>
          <w:lang w:val="sq-AL"/>
        </w:rPr>
      </w:pPr>
      <w:r w:rsidRPr="001C61AE">
        <w:rPr>
          <w:rFonts w:ascii="Arial" w:hAnsi="Arial" w:cs="Arial"/>
          <w:lang w:val="sq-AL"/>
        </w:rPr>
        <w:t>Për të udhëhequr zbatimin sipas secilit prioritet kyç të përshtatjes, është përcaktuar një sërë objektivash specifikë. Këto objektiva i përkthejnë fushat e gjera prioritare në objektiva të zbatueshëm, duke ofruar drejtim strategjik</w:t>
      </w:r>
      <w:r w:rsidR="005E742C" w:rsidRPr="001C61AE">
        <w:rPr>
          <w:rFonts w:ascii="Arial" w:hAnsi="Arial" w:cs="Arial"/>
          <w:lang w:val="sq-AL"/>
        </w:rPr>
        <w:t>.</w:t>
      </w:r>
    </w:p>
    <w:p w14:paraId="73C5BC88" w14:textId="0E553E14" w:rsidR="001D4FA1" w:rsidRPr="001C61AE" w:rsidRDefault="00862AC4" w:rsidP="008E17FD">
      <w:pPr>
        <w:spacing w:line="240" w:lineRule="auto"/>
        <w:ind w:left="708"/>
        <w:jc w:val="both"/>
        <w:rPr>
          <w:rFonts w:ascii="Arial" w:hAnsi="Arial" w:cs="Arial"/>
          <w:b/>
          <w:bCs/>
          <w:color w:val="0F4761"/>
          <w:lang w:val="sq-AL"/>
        </w:rPr>
      </w:pPr>
      <w:r w:rsidRPr="001C61AE">
        <w:rPr>
          <w:rFonts w:ascii="Arial" w:hAnsi="Arial" w:cs="Arial"/>
          <w:b/>
          <w:bCs/>
          <w:color w:val="0F4761"/>
          <w:lang w:val="sq-AL"/>
        </w:rPr>
        <w:t>I</w:t>
      </w:r>
      <w:r w:rsidR="005E742C" w:rsidRPr="001C61AE">
        <w:rPr>
          <w:rFonts w:ascii="Arial" w:hAnsi="Arial" w:cs="Arial"/>
          <w:b/>
          <w:bCs/>
          <w:color w:val="0F4761"/>
          <w:lang w:val="sq-AL"/>
        </w:rPr>
        <w:t xml:space="preserve">.7 </w:t>
      </w:r>
      <w:r w:rsidR="00FB535F" w:rsidRPr="001C61AE">
        <w:rPr>
          <w:rFonts w:ascii="Arial" w:hAnsi="Arial" w:cs="Arial"/>
          <w:b/>
          <w:bCs/>
          <w:color w:val="0F4761"/>
          <w:lang w:val="sq-AL"/>
        </w:rPr>
        <w:t>Ulja e humbjeve të ujit</w:t>
      </w:r>
    </w:p>
    <w:p w14:paraId="75D7F39A" w14:textId="087AE9BF" w:rsidR="00812D20" w:rsidRPr="001C61AE" w:rsidRDefault="00812D20" w:rsidP="00812D20">
      <w:pPr>
        <w:spacing w:line="240" w:lineRule="auto"/>
        <w:jc w:val="both"/>
        <w:rPr>
          <w:rFonts w:ascii="Arial" w:hAnsi="Arial" w:cs="Arial"/>
          <w:lang w:val="sq-AL"/>
        </w:rPr>
      </w:pPr>
      <w:r w:rsidRPr="001C61AE">
        <w:rPr>
          <w:rFonts w:ascii="Arial" w:hAnsi="Arial" w:cs="Arial"/>
          <w:lang w:val="sq-AL"/>
        </w:rPr>
        <w:lastRenderedPageBreak/>
        <w:t>Norma e lartë e humbjes së ujit në rrjetet e shpërndarjes në Kosovë përbën një sfidë serioze për ndërtimin e një sistemi ujor të qëndrueshëm ndaj ndryshimeve klimatike. Aktualisht, rreth 61% e ujit të trajtuar humbet para se të arrijë tek konsumatorët—një shifër shqetësuese që reflekton mangësi teknike si rrjedhjet në gypa dhe infrastrukturën e vjetëruar, si dhe probleme komerciale përfshirë lidhjet e paligjshme, matjen jo</w:t>
      </w:r>
      <w:r w:rsidR="00AF6C69" w:rsidRPr="001C61AE">
        <w:rPr>
          <w:rFonts w:ascii="Arial" w:hAnsi="Arial" w:cs="Arial"/>
          <w:lang w:val="sq-AL"/>
        </w:rPr>
        <w:t>efiçiente</w:t>
      </w:r>
      <w:r w:rsidRPr="001C61AE">
        <w:rPr>
          <w:rFonts w:ascii="Arial" w:hAnsi="Arial" w:cs="Arial"/>
          <w:lang w:val="sq-AL"/>
        </w:rPr>
        <w:t>dhe çështje në faturim. Këto humbje minojnë përdorimin efektiv të burimeve ekzistuese të ujit dhe vendosin barrë të shtuar financiare dhe operative mbi ofruesit e shërbimeve—sfida që pritet të thellohen për shkak të kufizimeve të shtuar në disponueshmërinë e ujit si pasojë e ndryshimeve klimatike.</w:t>
      </w:r>
    </w:p>
    <w:p w14:paraId="78A956E0" w14:textId="0B2861C0" w:rsidR="00812D20" w:rsidRPr="001C61AE" w:rsidRDefault="00812D20" w:rsidP="00812D20">
      <w:pPr>
        <w:spacing w:line="240" w:lineRule="auto"/>
        <w:jc w:val="both"/>
        <w:rPr>
          <w:rFonts w:ascii="Arial" w:hAnsi="Arial" w:cs="Arial"/>
          <w:lang w:val="sq-AL"/>
        </w:rPr>
      </w:pPr>
      <w:r w:rsidRPr="001C61AE">
        <w:rPr>
          <w:rFonts w:ascii="Arial" w:hAnsi="Arial" w:cs="Arial"/>
          <w:lang w:val="sq-AL"/>
        </w:rPr>
        <w:t xml:space="preserve">Për të adresuar këto çështje, </w:t>
      </w:r>
      <w:r w:rsidR="007464B3" w:rsidRPr="001C61AE">
        <w:rPr>
          <w:rFonts w:ascii="Arial" w:hAnsi="Arial" w:cs="Arial"/>
          <w:lang w:val="sq-AL"/>
        </w:rPr>
        <w:t xml:space="preserve">është vendos </w:t>
      </w:r>
      <w:r w:rsidR="00444A63" w:rsidRPr="001C61AE">
        <w:rPr>
          <w:rFonts w:ascii="Arial" w:hAnsi="Arial" w:cs="Arial"/>
          <w:lang w:val="sq-AL"/>
        </w:rPr>
        <w:t xml:space="preserve">prioritet </w:t>
      </w:r>
      <w:r w:rsidR="007464B3" w:rsidRPr="001C61AE">
        <w:rPr>
          <w:rFonts w:ascii="Arial" w:hAnsi="Arial" w:cs="Arial"/>
          <w:lang w:val="sq-AL"/>
        </w:rPr>
        <w:t xml:space="preserve">për </w:t>
      </w:r>
      <w:r w:rsidR="00444A63" w:rsidRPr="001C61AE">
        <w:rPr>
          <w:rFonts w:ascii="Arial" w:hAnsi="Arial" w:cs="Arial"/>
          <w:lang w:val="sq-AL"/>
        </w:rPr>
        <w:t xml:space="preserve">modernizimin e sistemeve të shpërndarjes së ujit </w:t>
      </w:r>
      <w:r w:rsidRPr="001C61AE">
        <w:rPr>
          <w:rFonts w:ascii="Arial" w:hAnsi="Arial" w:cs="Arial"/>
          <w:lang w:val="sq-AL"/>
        </w:rPr>
        <w:t xml:space="preserve"> përmes investimeve të targetuara në rehabilitimin e gypave, menaxhimin e presionit, dhe implementimin e teknologjive digjitale për matje të zgjuar dhe zbulim të rrjedhjeve. Këto mjete digjitale do të përmirësojnë efikasitetin operacional duke reduktuar humbjet e panevojshme të ujit, duke mundësuar monitorim në kohë reale dhe optimizimin e performancës së sistemit.</w:t>
      </w:r>
    </w:p>
    <w:p w14:paraId="3B7F6834" w14:textId="29CAD758" w:rsidR="001D4FA1" w:rsidRPr="001C61AE" w:rsidRDefault="00812D20" w:rsidP="008E17FD">
      <w:pPr>
        <w:spacing w:line="240" w:lineRule="auto"/>
        <w:jc w:val="both"/>
        <w:rPr>
          <w:rFonts w:ascii="Arial" w:hAnsi="Arial" w:cs="Arial"/>
          <w:lang w:val="sq-AL"/>
        </w:rPr>
      </w:pPr>
      <w:r w:rsidRPr="001C61AE">
        <w:rPr>
          <w:rFonts w:ascii="Arial" w:hAnsi="Arial" w:cs="Arial"/>
          <w:lang w:val="sq-AL"/>
        </w:rPr>
        <w:t>Në zonat rurale, ku infrastruktura shpesh është e fragmentuar dhe e pamjaftueshme, përmirësimet në kapacitetin e ruajtjes, trajtimit dhe shpërndarjes së ujit janë po ashtu thelbësore. Reduktimi i ujit pa të ardhura dhe rritja e besueshmërisë së furnizimit do të kontribuojnë ndjeshëm në sigurinë afatgjatë të ujit, qëndrueshmërinë financiare të Kompanive Rajonale të Ujësjellësit dhe në përmbushjen e objektivave të përshtatjes klimatike në sektorin e ujit</w:t>
      </w:r>
      <w:r w:rsidR="001D4FA1" w:rsidRPr="001C61AE">
        <w:rPr>
          <w:rFonts w:ascii="Arial" w:hAnsi="Arial" w:cs="Arial"/>
          <w:lang w:val="sq-AL"/>
        </w:rPr>
        <w:t>.</w:t>
      </w:r>
    </w:p>
    <w:p w14:paraId="389AD581" w14:textId="009A08DB" w:rsidR="001D4FA1" w:rsidRPr="001C61AE" w:rsidRDefault="00862AC4" w:rsidP="008E17FD">
      <w:pPr>
        <w:spacing w:line="240" w:lineRule="auto"/>
        <w:ind w:left="708"/>
        <w:jc w:val="both"/>
        <w:rPr>
          <w:rFonts w:ascii="Arial" w:hAnsi="Arial" w:cs="Arial"/>
          <w:b/>
          <w:bCs/>
          <w:color w:val="0F4761"/>
          <w:lang w:val="sq-AL"/>
        </w:rPr>
      </w:pPr>
      <w:r w:rsidRPr="001C61AE">
        <w:rPr>
          <w:rFonts w:ascii="Arial" w:hAnsi="Arial" w:cs="Arial"/>
          <w:b/>
          <w:bCs/>
          <w:color w:val="0F4761"/>
          <w:lang w:val="sq-AL"/>
        </w:rPr>
        <w:t>I</w:t>
      </w:r>
      <w:r w:rsidR="005E742C" w:rsidRPr="001C61AE">
        <w:rPr>
          <w:rFonts w:ascii="Arial" w:hAnsi="Arial" w:cs="Arial"/>
          <w:b/>
          <w:bCs/>
          <w:color w:val="0F4761"/>
          <w:lang w:val="sq-AL"/>
        </w:rPr>
        <w:t xml:space="preserve">.8 </w:t>
      </w:r>
      <w:r w:rsidR="00812D20" w:rsidRPr="001C61AE">
        <w:rPr>
          <w:rFonts w:ascii="Arial" w:hAnsi="Arial" w:cs="Arial"/>
          <w:b/>
          <w:bCs/>
          <w:color w:val="0F4761"/>
          <w:lang w:val="sq-AL"/>
        </w:rPr>
        <w:t xml:space="preserve">Fuqizimi i sistemeve të menaxhimit të ujërave </w:t>
      </w:r>
      <w:r w:rsidR="00192B95" w:rsidRPr="001C61AE">
        <w:rPr>
          <w:rFonts w:ascii="Arial" w:hAnsi="Arial" w:cs="Arial"/>
          <w:b/>
          <w:bCs/>
          <w:color w:val="0F4761"/>
          <w:lang w:val="sq-AL"/>
        </w:rPr>
        <w:t>atmosferik</w:t>
      </w:r>
      <w:r w:rsidR="00812D20" w:rsidRPr="001C61AE">
        <w:rPr>
          <w:rFonts w:ascii="Arial" w:hAnsi="Arial" w:cs="Arial"/>
          <w:b/>
          <w:bCs/>
          <w:color w:val="0F4761"/>
          <w:lang w:val="sq-AL"/>
        </w:rPr>
        <w:t xml:space="preserve"> për qëndrueshmëri urbane dhe përshtatje ndaj ndryshimeve klimatike</w:t>
      </w:r>
    </w:p>
    <w:p w14:paraId="2B905779" w14:textId="77777777" w:rsidR="00812D20" w:rsidRPr="001C61AE" w:rsidRDefault="00812D20" w:rsidP="00812D20">
      <w:pPr>
        <w:spacing w:line="240" w:lineRule="auto"/>
        <w:jc w:val="both"/>
        <w:rPr>
          <w:rFonts w:ascii="Arial" w:hAnsi="Arial" w:cs="Arial"/>
          <w:lang w:val="sq-AL"/>
        </w:rPr>
      </w:pPr>
      <w:r w:rsidRPr="001C61AE">
        <w:rPr>
          <w:rFonts w:ascii="Arial" w:hAnsi="Arial" w:cs="Arial"/>
          <w:lang w:val="sq-AL"/>
        </w:rPr>
        <w:t>Zonat urbane në Kosovë po përballen me një rritje të ndjeshme të cenueshmërisë ndaj përmbytjeve, të nxitur nga një kombinim i infrastrukturës së vjetëruar, planifikimit të pamjaftueshëm dhe ndikimeve gjithnjë e më të mëdha të ndryshimeve klimatike. Shumë sisteme të menaxhimit të ujërave atmosferikë janë të vjetruara ose mungojnë krejtësisht, duke lënë qytetet të papërgatitura për të përballuar rritjen në frekuencë dhe intensitet të reshjeve. Përmbytjet urbane—si ato të vitit 2021 në Fushë Kosovë, që ndodhën jashtë pellgjeve të lumenjve tradicionalë—theksojnë mungesat sistematike në sistemet e drenazhimit urban. Përdorimi i përhapur i sistemeve të përziera të kanalizimeve, që kombinojnë ujin e shiut me ujërat e zeza shtëpiake në të njëjtat gypa, shton presionin mbi impiantet e trajtimit të ujërave të ndotura dhe rrit kostot për investime infrastrukturore.</w:t>
      </w:r>
    </w:p>
    <w:p w14:paraId="5B78803E" w14:textId="77777777" w:rsidR="00812D20" w:rsidRPr="001C61AE" w:rsidRDefault="00812D20" w:rsidP="00812D20">
      <w:pPr>
        <w:spacing w:line="240" w:lineRule="auto"/>
        <w:jc w:val="both"/>
        <w:rPr>
          <w:rFonts w:ascii="Arial" w:hAnsi="Arial" w:cs="Arial"/>
          <w:lang w:val="sq-AL"/>
        </w:rPr>
      </w:pPr>
      <w:r w:rsidRPr="001C61AE">
        <w:rPr>
          <w:rFonts w:ascii="Arial" w:hAnsi="Arial" w:cs="Arial"/>
          <w:lang w:val="sq-AL"/>
        </w:rPr>
        <w:t>Megjithëse ka përparime në zhvillim, veçanërisht përmes investimeve të mëdha në Prishtinë të mbështetura nga Banka Gjermane për Zhvillim (KfW) dhe Bashkimi Evropian, përmirësimet më të gjera mbeten të kufizuara për shkak të mungesës së një kornize kombëtare gjithëpërfshirëse, përgjegjësive të fragmentuara ndërmjet komunave dhe Kompanive Rajonale të Ujësjellësit, dhe kapaciteteve institucionale të kufizuara. Edhe pse komunat kanë mandatin ligjor për menaxhimin e ujërave atmosferikë, shumë prej tyre nuk zotërojnë burime financiare, ekspertizë teknike apo mjete planifikuese për të përmbushur këtë përgjegjësi, duke krijuar një hendek mes dispozitave ligjore dhe zbatimit në terren.</w:t>
      </w:r>
    </w:p>
    <w:p w14:paraId="41C7FE38" w14:textId="0E7EFBB9" w:rsidR="001D4FA1" w:rsidRPr="001C61AE" w:rsidRDefault="00812D20" w:rsidP="001D4FA1">
      <w:pPr>
        <w:spacing w:line="240" w:lineRule="auto"/>
        <w:jc w:val="both"/>
        <w:rPr>
          <w:rFonts w:ascii="Arial" w:hAnsi="Arial" w:cs="Arial"/>
          <w:lang w:val="sq-AL"/>
        </w:rPr>
      </w:pPr>
      <w:r w:rsidRPr="001C61AE">
        <w:rPr>
          <w:rFonts w:ascii="Arial" w:hAnsi="Arial" w:cs="Arial"/>
          <w:lang w:val="sq-AL"/>
        </w:rPr>
        <w:t xml:space="preserve">Për të adresuar këto sfida dhe për t’u përshtatur ndaj rreziqeve klimatike në rritje, </w:t>
      </w:r>
      <w:r w:rsidR="007241F7" w:rsidRPr="001C61AE">
        <w:rPr>
          <w:rFonts w:ascii="Arial" w:hAnsi="Arial" w:cs="Arial"/>
        </w:rPr>
        <w:t xml:space="preserve"> </w:t>
      </w:r>
      <w:r w:rsidR="00E97975" w:rsidRPr="001C61AE">
        <w:rPr>
          <w:rFonts w:ascii="Arial" w:hAnsi="Arial" w:cs="Arial"/>
          <w:lang w:val="sq-AL"/>
        </w:rPr>
        <w:t xml:space="preserve">synohet </w:t>
      </w:r>
      <w:r w:rsidR="007241F7" w:rsidRPr="001C61AE">
        <w:rPr>
          <w:rFonts w:ascii="Arial" w:hAnsi="Arial" w:cs="Arial"/>
          <w:lang w:val="sq-AL"/>
        </w:rPr>
        <w:t xml:space="preserve">zhvillimi </w:t>
      </w:r>
      <w:r w:rsidR="00E97975" w:rsidRPr="001C61AE">
        <w:rPr>
          <w:rFonts w:ascii="Arial" w:hAnsi="Arial" w:cs="Arial"/>
          <w:lang w:val="sq-AL"/>
        </w:rPr>
        <w:t>i</w:t>
      </w:r>
      <w:r w:rsidR="007241F7" w:rsidRPr="001C61AE">
        <w:rPr>
          <w:rFonts w:ascii="Arial" w:hAnsi="Arial" w:cs="Arial"/>
          <w:lang w:val="sq-AL"/>
        </w:rPr>
        <w:t xml:space="preserve"> një infrastrukture moderne për menaxhimin e ujërave atmosferikë, përmes</w:t>
      </w:r>
      <w:r w:rsidRPr="001C61AE">
        <w:rPr>
          <w:rFonts w:ascii="Arial" w:hAnsi="Arial" w:cs="Arial"/>
          <w:lang w:val="sq-AL"/>
        </w:rPr>
        <w:t xml:space="preserve"> ndarje</w:t>
      </w:r>
      <w:r w:rsidR="007241F7" w:rsidRPr="001C61AE">
        <w:rPr>
          <w:rFonts w:ascii="Arial" w:hAnsi="Arial" w:cs="Arial"/>
          <w:lang w:val="sq-AL"/>
        </w:rPr>
        <w:t>s</w:t>
      </w:r>
      <w:r w:rsidRPr="001C61AE">
        <w:rPr>
          <w:rFonts w:ascii="Arial" w:hAnsi="Arial" w:cs="Arial"/>
          <w:lang w:val="sq-AL"/>
        </w:rPr>
        <w:t xml:space="preserve"> </w:t>
      </w:r>
      <w:r w:rsidR="007241F7" w:rsidRPr="001C61AE">
        <w:rPr>
          <w:rFonts w:ascii="Arial" w:hAnsi="Arial" w:cs="Arial"/>
          <w:lang w:val="sq-AL"/>
        </w:rPr>
        <w:t>së</w:t>
      </w:r>
      <w:r w:rsidRPr="001C61AE">
        <w:rPr>
          <w:rFonts w:ascii="Arial" w:hAnsi="Arial" w:cs="Arial"/>
          <w:lang w:val="sq-AL"/>
        </w:rPr>
        <w:t xml:space="preserve"> rrjeteve të ujërave të ndotura nga ato të shiut, dhe të zhvillojë plane gjithëpërfshirëse për drenazhin urban. Realizimi i këtyre objektivave do të kërkojë jo vetëm përmirësime në infrastrukturë fizike, por edhe forcim të kornizave ligjore, ngritje të kapaciteteve për autoritetet komunale dhe përmirësim të koordinimit ndërmjet institucioneve qendrore dhe lokale. Përmes këtyre veprimeve, mund të zvogëlo</w:t>
      </w:r>
      <w:r w:rsidR="00E97975" w:rsidRPr="001C61AE">
        <w:rPr>
          <w:rFonts w:ascii="Arial" w:hAnsi="Arial" w:cs="Arial"/>
          <w:lang w:val="sq-AL"/>
        </w:rPr>
        <w:t>hen</w:t>
      </w:r>
      <w:r w:rsidRPr="001C61AE">
        <w:rPr>
          <w:rFonts w:ascii="Arial" w:hAnsi="Arial" w:cs="Arial"/>
          <w:lang w:val="sq-AL"/>
        </w:rPr>
        <w:t xml:space="preserve"> rreziqet nga përmbytjet urbane, të </w:t>
      </w:r>
      <w:r w:rsidR="00E97975" w:rsidRPr="001C61AE">
        <w:rPr>
          <w:rFonts w:ascii="Arial" w:hAnsi="Arial" w:cs="Arial"/>
          <w:lang w:val="sq-AL"/>
        </w:rPr>
        <w:t xml:space="preserve">mbrohet </w:t>
      </w:r>
      <w:r w:rsidRPr="001C61AE">
        <w:rPr>
          <w:rFonts w:ascii="Arial" w:hAnsi="Arial" w:cs="Arial"/>
          <w:lang w:val="sq-AL"/>
        </w:rPr>
        <w:t xml:space="preserve">shëndeti publik, të </w:t>
      </w:r>
      <w:r w:rsidR="00E97975" w:rsidRPr="001C61AE">
        <w:rPr>
          <w:rFonts w:ascii="Arial" w:hAnsi="Arial" w:cs="Arial"/>
          <w:lang w:val="sq-AL"/>
        </w:rPr>
        <w:t xml:space="preserve">ruhet infrastruktura </w:t>
      </w:r>
      <w:r w:rsidRPr="001C61AE">
        <w:rPr>
          <w:rFonts w:ascii="Arial" w:hAnsi="Arial" w:cs="Arial"/>
          <w:lang w:val="sq-AL"/>
        </w:rPr>
        <w:t>kritike dhe të ndërto</w:t>
      </w:r>
      <w:r w:rsidR="00E97975" w:rsidRPr="001C61AE">
        <w:rPr>
          <w:rFonts w:ascii="Arial" w:hAnsi="Arial" w:cs="Arial"/>
          <w:lang w:val="sq-AL"/>
        </w:rPr>
        <w:t xml:space="preserve">hen </w:t>
      </w:r>
      <w:r w:rsidRPr="001C61AE">
        <w:rPr>
          <w:rFonts w:ascii="Arial" w:hAnsi="Arial" w:cs="Arial"/>
          <w:lang w:val="sq-AL"/>
        </w:rPr>
        <w:t xml:space="preserve"> qytete të qëndrueshme ndaj ndryshimeve klimatike</w:t>
      </w:r>
      <w:r w:rsidR="001D4FA1" w:rsidRPr="001C61AE">
        <w:rPr>
          <w:rFonts w:ascii="Arial" w:hAnsi="Arial" w:cs="Arial"/>
          <w:lang w:val="sq-AL"/>
        </w:rPr>
        <w:t>.</w:t>
      </w:r>
    </w:p>
    <w:p w14:paraId="0FB96FB8" w14:textId="28F89B1E" w:rsidR="001D4FA1" w:rsidRPr="001C61AE" w:rsidRDefault="00862AC4" w:rsidP="008E17FD">
      <w:pPr>
        <w:spacing w:line="240" w:lineRule="auto"/>
        <w:ind w:left="708"/>
        <w:jc w:val="both"/>
        <w:rPr>
          <w:rFonts w:ascii="Arial" w:hAnsi="Arial" w:cs="Arial"/>
          <w:b/>
          <w:bCs/>
          <w:color w:val="0F4761"/>
          <w:lang w:val="sq-AL"/>
        </w:rPr>
      </w:pPr>
      <w:r w:rsidRPr="001C61AE">
        <w:rPr>
          <w:rFonts w:ascii="Arial" w:hAnsi="Arial" w:cs="Arial"/>
          <w:b/>
          <w:bCs/>
          <w:color w:val="0F4761"/>
          <w:lang w:val="sq-AL"/>
        </w:rPr>
        <w:t>I</w:t>
      </w:r>
      <w:r w:rsidR="005E742C" w:rsidRPr="001C61AE">
        <w:rPr>
          <w:rFonts w:ascii="Arial" w:hAnsi="Arial" w:cs="Arial"/>
          <w:b/>
          <w:bCs/>
          <w:color w:val="0F4761"/>
          <w:lang w:val="sq-AL"/>
        </w:rPr>
        <w:t xml:space="preserve">.9 </w:t>
      </w:r>
      <w:r w:rsidR="00812D20" w:rsidRPr="001C61AE">
        <w:rPr>
          <w:rFonts w:ascii="Arial" w:hAnsi="Arial" w:cs="Arial"/>
          <w:b/>
          <w:bCs/>
          <w:color w:val="0F4761"/>
          <w:lang w:val="sq-AL"/>
        </w:rPr>
        <w:t>Krijimi i kornizës kombëtare për kontrollin e erozionit dhe mbrojtjen e pellgjeve ujore</w:t>
      </w:r>
    </w:p>
    <w:p w14:paraId="455B7B59" w14:textId="77777777" w:rsidR="00AF47DB" w:rsidRPr="001C61AE" w:rsidRDefault="00AF47DB" w:rsidP="00AF47DB">
      <w:pPr>
        <w:spacing w:line="240" w:lineRule="auto"/>
        <w:jc w:val="both"/>
        <w:rPr>
          <w:rFonts w:ascii="Arial" w:hAnsi="Arial" w:cs="Arial"/>
          <w:lang w:val="sq-AL"/>
        </w:rPr>
      </w:pPr>
      <w:r w:rsidRPr="001C61AE">
        <w:rPr>
          <w:rFonts w:ascii="Arial" w:hAnsi="Arial" w:cs="Arial"/>
          <w:lang w:val="sq-AL"/>
        </w:rPr>
        <w:t xml:space="preserve">Erozioni i tokës përbën një kërcënim të vazhdueshëm, por ende të adresuar në mënyrë të pamjaftueshme për pellgjet ujore të Kosovës, infrastrukturën, produktivitetin bujqësor dhe cilësinë e ujit. Edhe pse autoritetet qendrore dhe lokale kanë mandate ligjore për të monitoruar dhe menaxhuar zonat erozive, përpjekjet aktuale pengohen nga mungesa e të dhënave të përditësuara—shumica e të cilave datojnë nga vitet 1980—si dhe nga mungesa e ekspertizës teknike dhe e kapaciteteve institucionale. Përgjegjësitë institucionale janë të fragmentuara: Autoritetet e Pellgjeve të Baseneve Lumore (RBDAs) janë përgjegjëse për identifikimin e zonave erozive dhe zbatimin e masave mbrojtëse brenda baseneve lumore, ndërsa komunat janë përgjegjëse për kontrollin e erozionit në zonat urbane. Megjithatë, mungesa e monitorimit </w:t>
      </w:r>
      <w:r w:rsidRPr="001C61AE">
        <w:rPr>
          <w:rFonts w:ascii="Arial" w:hAnsi="Arial" w:cs="Arial"/>
          <w:lang w:val="sq-AL"/>
        </w:rPr>
        <w:lastRenderedPageBreak/>
        <w:t>aktiv, dokumentimi i pamjaftueshëm dhe mungesa e të dhënave për objektet e ndërtuara para dhe gjatë luftës kanë lënë shumë struktura mbrojtëse të paidentifikuara ose në gjendje të degraduar.</w:t>
      </w:r>
    </w:p>
    <w:p w14:paraId="6197EF34" w14:textId="2E387E9D" w:rsidR="00AF47DB" w:rsidRPr="001C61AE" w:rsidRDefault="00AF47DB" w:rsidP="00AF47DB">
      <w:pPr>
        <w:spacing w:line="240" w:lineRule="auto"/>
        <w:jc w:val="both"/>
        <w:rPr>
          <w:rFonts w:ascii="Arial" w:hAnsi="Arial" w:cs="Arial"/>
          <w:lang w:val="sq-AL"/>
        </w:rPr>
      </w:pPr>
      <w:r w:rsidRPr="001C61AE">
        <w:rPr>
          <w:rFonts w:ascii="Arial" w:hAnsi="Arial" w:cs="Arial"/>
          <w:lang w:val="sq-AL"/>
        </w:rPr>
        <w:t xml:space="preserve">Për të reduktuar sedimentimin, për të forcuar stabilitetin e brigjeve të lumenjve dhe për të siguruar shëndetin afatgjatë të baseneve ujore, Kosova ka nevojë urgjente për një plan të koordinuar për kontrollin e erozionit dhe menaxhimin e sedimentit. Ky plan duhet të përfshijë iniciativat për pyllëzim dhe ripyllëzim në zonat ripariane, hartëzimin gjithëpërfshirës të zonave të ndjeshme ndaj erozionit, dhe investimet strategjike në infrastrukturën e kontrollit të erozionit. Gjithashtu, plani duhet të qartësojë rolet institucionale, të ndërtojë kapacitete teknike dhe operacionale si në nivel qendror ashtu edhe </w:t>
      </w:r>
      <w:r w:rsidR="00E01381" w:rsidRPr="001C61AE">
        <w:rPr>
          <w:rFonts w:ascii="Arial" w:hAnsi="Arial" w:cs="Arial"/>
          <w:lang w:val="sq-AL"/>
        </w:rPr>
        <w:t xml:space="preserve">lokal </w:t>
      </w:r>
      <w:r w:rsidRPr="001C61AE">
        <w:rPr>
          <w:rFonts w:ascii="Arial" w:hAnsi="Arial" w:cs="Arial"/>
          <w:lang w:val="sq-AL"/>
        </w:rPr>
        <w:t>dhe të krijojë një linjë bazë kombëtare për monitorim dhe mirëmbajtje.</w:t>
      </w:r>
    </w:p>
    <w:p w14:paraId="0BB7FED0" w14:textId="1CCA5B0A" w:rsidR="001D4FA1" w:rsidRPr="001C61AE" w:rsidRDefault="00AF47DB" w:rsidP="001D4FA1">
      <w:pPr>
        <w:spacing w:line="240" w:lineRule="auto"/>
        <w:jc w:val="both"/>
        <w:rPr>
          <w:rFonts w:ascii="Arial" w:hAnsi="Arial" w:cs="Arial"/>
          <w:lang w:val="sq-AL"/>
        </w:rPr>
      </w:pPr>
      <w:r w:rsidRPr="001C61AE">
        <w:rPr>
          <w:rFonts w:ascii="Arial" w:hAnsi="Arial" w:cs="Arial"/>
          <w:lang w:val="sq-AL"/>
        </w:rPr>
        <w:t>Duke integruar kontrollin e erozionit brenda kornizës së menaxhimit të baseneve lumore, mund të mbro</w:t>
      </w:r>
      <w:r w:rsidR="00E97975" w:rsidRPr="001C61AE">
        <w:rPr>
          <w:rFonts w:ascii="Arial" w:hAnsi="Arial" w:cs="Arial"/>
          <w:lang w:val="sq-AL"/>
        </w:rPr>
        <w:t xml:space="preserve">het </w:t>
      </w:r>
      <w:r w:rsidRPr="001C61AE">
        <w:rPr>
          <w:rFonts w:ascii="Arial" w:hAnsi="Arial" w:cs="Arial"/>
          <w:lang w:val="sq-AL"/>
        </w:rPr>
        <w:t xml:space="preserve"> </w:t>
      </w:r>
      <w:r w:rsidR="00E97975" w:rsidRPr="001C61AE">
        <w:rPr>
          <w:rFonts w:ascii="Arial" w:hAnsi="Arial" w:cs="Arial"/>
          <w:lang w:val="sq-AL"/>
        </w:rPr>
        <w:t xml:space="preserve">infrastruktura </w:t>
      </w:r>
      <w:r w:rsidRPr="001C61AE">
        <w:rPr>
          <w:rFonts w:ascii="Arial" w:hAnsi="Arial" w:cs="Arial"/>
          <w:lang w:val="sq-AL"/>
        </w:rPr>
        <w:t xml:space="preserve">në rrjedhën e poshtme, të </w:t>
      </w:r>
      <w:r w:rsidR="00E97975" w:rsidRPr="001C61AE">
        <w:rPr>
          <w:rFonts w:ascii="Arial" w:hAnsi="Arial" w:cs="Arial"/>
          <w:lang w:val="sq-AL"/>
        </w:rPr>
        <w:t xml:space="preserve">zvogëlohen </w:t>
      </w:r>
      <w:r w:rsidRPr="001C61AE">
        <w:rPr>
          <w:rFonts w:ascii="Arial" w:hAnsi="Arial" w:cs="Arial"/>
          <w:lang w:val="sq-AL"/>
        </w:rPr>
        <w:t xml:space="preserve">rreziqet nga përmbytjet dhe sedimentet, si dhe të </w:t>
      </w:r>
      <w:r w:rsidR="00E97975" w:rsidRPr="001C61AE">
        <w:rPr>
          <w:rFonts w:ascii="Arial" w:hAnsi="Arial" w:cs="Arial"/>
          <w:lang w:val="sq-AL"/>
        </w:rPr>
        <w:t xml:space="preserve">përmirësohet gjendja </w:t>
      </w:r>
      <w:r w:rsidRPr="001C61AE">
        <w:rPr>
          <w:rFonts w:ascii="Arial" w:hAnsi="Arial" w:cs="Arial"/>
          <w:lang w:val="sq-AL"/>
        </w:rPr>
        <w:t>ekologjike</w:t>
      </w:r>
      <w:r w:rsidR="00E97975" w:rsidRPr="001C61AE">
        <w:rPr>
          <w:rFonts w:ascii="Arial" w:hAnsi="Arial" w:cs="Arial"/>
          <w:lang w:val="sq-AL"/>
        </w:rPr>
        <w:t>e</w:t>
      </w:r>
      <w:r w:rsidRPr="001C61AE">
        <w:rPr>
          <w:rFonts w:ascii="Arial" w:hAnsi="Arial" w:cs="Arial"/>
          <w:lang w:val="sq-AL"/>
        </w:rPr>
        <w:t xml:space="preserve"> trupave ujorë—duke përparuar si në përmbushjen e kërkesave të Direktivës së BE për Ujërat ashtu edhe në objektivat kombëtare për përshtatje ndaj ndryshimeve klimatike</w:t>
      </w:r>
      <w:r w:rsidR="001D4FA1" w:rsidRPr="001C61AE">
        <w:rPr>
          <w:rFonts w:ascii="Arial" w:hAnsi="Arial" w:cs="Arial"/>
          <w:lang w:val="sq-AL"/>
        </w:rPr>
        <w:t>.</w:t>
      </w:r>
    </w:p>
    <w:p w14:paraId="5AD7F1A8" w14:textId="77777777" w:rsidR="00B15518" w:rsidRPr="001C61AE" w:rsidRDefault="005A1BC8" w:rsidP="00B15518">
      <w:pPr>
        <w:pStyle w:val="Heading3"/>
        <w:rPr>
          <w:rFonts w:ascii="Arial" w:hAnsi="Arial" w:cs="Arial"/>
          <w:lang w:val="sq-AL"/>
        </w:rPr>
      </w:pPr>
      <w:r w:rsidRPr="001C61AE">
        <w:rPr>
          <w:rFonts w:ascii="Arial" w:hAnsi="Arial" w:cs="Arial"/>
          <w:lang w:val="sq-AL"/>
        </w:rPr>
        <w:t>Zbutja e rreziqeve nga thatësirat dhe përmbytjet</w:t>
      </w:r>
      <w:r w:rsidRPr="001C61AE" w:rsidDel="005A1BC8">
        <w:rPr>
          <w:rFonts w:ascii="Arial" w:hAnsi="Arial" w:cs="Arial"/>
          <w:lang w:val="sq-AL"/>
        </w:rPr>
        <w:t xml:space="preserve"> </w:t>
      </w:r>
    </w:p>
    <w:p w14:paraId="5EC70F86" w14:textId="3DEA269C" w:rsidR="00192B95" w:rsidRPr="001C61AE" w:rsidRDefault="00192B95" w:rsidP="00192B95">
      <w:pPr>
        <w:spacing w:line="240" w:lineRule="auto"/>
        <w:jc w:val="both"/>
        <w:rPr>
          <w:rFonts w:ascii="Arial" w:hAnsi="Arial" w:cs="Arial"/>
          <w:lang w:val="sq-AL"/>
        </w:rPr>
      </w:pPr>
      <w:r w:rsidRPr="001C61AE">
        <w:rPr>
          <w:rFonts w:ascii="Arial" w:hAnsi="Arial" w:cs="Arial"/>
          <w:lang w:val="sq-AL"/>
        </w:rPr>
        <w:t xml:space="preserve">Qasja </w:t>
      </w:r>
      <w:r w:rsidR="005A1BC8" w:rsidRPr="001C61AE">
        <w:rPr>
          <w:rFonts w:ascii="Arial" w:hAnsi="Arial" w:cs="Arial"/>
          <w:lang w:val="sq-AL"/>
        </w:rPr>
        <w:t xml:space="preserve"> jonë</w:t>
      </w:r>
      <w:r w:rsidRPr="001C61AE">
        <w:rPr>
          <w:rFonts w:ascii="Arial" w:hAnsi="Arial" w:cs="Arial"/>
          <w:lang w:val="sq-AL"/>
        </w:rPr>
        <w:t xml:space="preserve"> ndaj zbutjes së rreziqeve nga thatësira dhe përmbytjet fokusohet në disa sektorë kyç, të cilët janë veçanërisht të ndjeshëm ndaj ekstremeve klimatike të shkaktuara nga ndryshimet klimatike. Këta përfshijnë furnizimin me ujë dhe kanalizimin urban, bujqësinë e ujitur, kontrollin e përmbytjeve dhe menaxhimin e rreziqeve nga fatkeqësitë, të dhënat klimatike dhe sistemet e paralajmërimit të hershëm, planifikimin e përdorimit të tokës dhe zhvillimin hapësinor, mbrojtjen e mjedisit dhe përshtatjen me bazë ekosistemi, si dhe qeverisjen ndërkufitare të burimeve ujore. Secili prej këtyre sektorëve luan një rol thelbësor në zvogëlimin e ekspozimit dhe ndjeshmërisë së vendit ndaj frekuencës dhe ashpërsisë në rritje të thatësirave dhe përmbytjeve.</w:t>
      </w:r>
    </w:p>
    <w:p w14:paraId="15AB6F4F" w14:textId="609603BC" w:rsidR="00192B95" w:rsidRPr="001C61AE" w:rsidRDefault="00192B95" w:rsidP="00192B95">
      <w:pPr>
        <w:spacing w:line="240" w:lineRule="auto"/>
        <w:jc w:val="both"/>
        <w:rPr>
          <w:rFonts w:ascii="Arial" w:hAnsi="Arial" w:cs="Arial"/>
          <w:lang w:val="sq-AL"/>
        </w:rPr>
      </w:pPr>
      <w:r w:rsidRPr="001C61AE">
        <w:rPr>
          <w:rFonts w:ascii="Arial" w:hAnsi="Arial" w:cs="Arial"/>
          <w:lang w:val="sq-AL"/>
        </w:rPr>
        <w:t xml:space="preserve">Një element qendror i strategjisë kombëtare është zhvillimi i një sistemi gjithëpërfshirës të paralajmërimit të hershëm për thatësirat. Ky sistem mbështetet në përmirësimin e monitorimit hidrologjik dhe modelimin parashikues dhe synon të ofrojë sinjalizime në kohë për kompanitë e ujit, komunat dhe fermerët, në mënyrë që ata të ndërmarrin veprime parandaluese, të reduktojnë kërkesën për ujë dhe të mobilizojnë rezervat emergjente. Paralelisht, </w:t>
      </w:r>
      <w:r w:rsidR="00DF1F32" w:rsidRPr="001C61AE">
        <w:rPr>
          <w:rFonts w:ascii="Arial" w:hAnsi="Arial" w:cs="Arial"/>
          <w:lang w:val="sq-AL"/>
        </w:rPr>
        <w:t>jemi</w:t>
      </w:r>
      <w:r w:rsidRPr="001C61AE">
        <w:rPr>
          <w:rFonts w:ascii="Arial" w:hAnsi="Arial" w:cs="Arial"/>
          <w:lang w:val="sq-AL"/>
        </w:rPr>
        <w:t xml:space="preserve"> duke zgjeruar dhe modernizuar sistemet e ujitjes dhe duke promovuar varietete rezistente ndaj thatësirës, për të ulur varësinë nga bujqësia e bazuar në reshje atmosferike, veçanërisht në pellgjet e ndjeshme të juglindjes dhe lindjes si Morava e Binçës dhe Lepenci.</w:t>
      </w:r>
    </w:p>
    <w:p w14:paraId="7C047F9E" w14:textId="2C0803D9" w:rsidR="001D4FA1" w:rsidRPr="001C61AE" w:rsidRDefault="00192B95" w:rsidP="001D4FA1">
      <w:pPr>
        <w:spacing w:line="240" w:lineRule="auto"/>
        <w:jc w:val="both"/>
        <w:rPr>
          <w:rFonts w:ascii="Arial" w:hAnsi="Arial" w:cs="Arial"/>
          <w:lang w:val="sq-AL"/>
        </w:rPr>
      </w:pPr>
      <w:r w:rsidRPr="001C61AE">
        <w:rPr>
          <w:rFonts w:ascii="Arial" w:hAnsi="Arial" w:cs="Arial"/>
          <w:lang w:val="sq-AL"/>
        </w:rPr>
        <w:t>Zbutja e thatësirave është gjithashtu duke u integruar në kornizat më të gjera të përshtatjes, përfshirë Strategjinë e Ujit 2023–2027 dhe legjislacionin kombëtar për ndryshimet klimatike. Këto politika theksojnë masa në anën e kërkesës, si përmirësimin e efiçiencës së përdorimit të ujit, alokimin strategjik sezonal të burimeve ujore, si dhe forcimin e koordinimit ndërmjet institucioneve bujqësore dhe atyre të ujit për të siguruar që nevojat kritike të prioritizohen gjatë periudhave të thata</w:t>
      </w:r>
      <w:r w:rsidR="001D4FA1" w:rsidRPr="001C61AE">
        <w:rPr>
          <w:rFonts w:ascii="Arial" w:hAnsi="Arial" w:cs="Arial"/>
          <w:lang w:val="sq-AL"/>
        </w:rPr>
        <w:t>.</w:t>
      </w:r>
    </w:p>
    <w:p w14:paraId="312F2855" w14:textId="77777777" w:rsidR="00192B95" w:rsidRPr="001C61AE" w:rsidRDefault="00192B95" w:rsidP="00192B95">
      <w:pPr>
        <w:spacing w:line="240" w:lineRule="auto"/>
        <w:jc w:val="both"/>
        <w:rPr>
          <w:rFonts w:ascii="Arial" w:hAnsi="Arial" w:cs="Arial"/>
          <w:lang w:val="sq-AL"/>
        </w:rPr>
      </w:pPr>
      <w:r w:rsidRPr="001C61AE">
        <w:rPr>
          <w:rFonts w:ascii="Arial" w:hAnsi="Arial" w:cs="Arial"/>
          <w:lang w:val="sq-AL"/>
        </w:rPr>
        <w:t>Në frontin e menaxhimit të përmbytjeve, përfundimi i Vlerësimit Paraprak të Rrezikut nga Përmbytjet (PFRA) ka mundësuar identifikimin e 398 zonave të rrezikuara nga përmbytjet, nga të cilat 108 janë klasifikuar si me rrezik ekstrem. Ky vlerësim, së bashku me hartat e detajuara të rrezikut dhe rrezikshmërisë për secilën komunë, ofron bazën hapësinore për planifikimin e synuar të masave për zbutjen e përmbytjeve. Në bazë të këtyre gjetjeve, komunat janë duke zhvilluar plane të menaxhimit të rrezikut që përfshijnë rrugë evakuimi, protokolle të reagimit emergjent dhe masa të planifikimit hapësinor për të kufizuar ndërtimin në zonat e rrezikut të lartë nga përmbytjet.</w:t>
      </w:r>
    </w:p>
    <w:p w14:paraId="792B1E6A" w14:textId="77777777" w:rsidR="00192B95" w:rsidRPr="001C61AE" w:rsidRDefault="00192B95" w:rsidP="00192B95">
      <w:pPr>
        <w:spacing w:line="240" w:lineRule="auto"/>
        <w:jc w:val="both"/>
        <w:rPr>
          <w:rFonts w:ascii="Arial" w:hAnsi="Arial" w:cs="Arial"/>
          <w:lang w:val="sq-AL"/>
        </w:rPr>
      </w:pPr>
      <w:r w:rsidRPr="001C61AE">
        <w:rPr>
          <w:rFonts w:ascii="Arial" w:hAnsi="Arial" w:cs="Arial"/>
          <w:lang w:val="sq-AL"/>
        </w:rPr>
        <w:t>Masat strukturore të përshtatjes janë prioritet për të forcuar qëndrueshmërinë fizike ndaj përmbytjeve. Këto përfshijnë ndërtimin dhe rehabilitimin e sistemeve të drenazhimit urban dhe rural, zhvillimin e pellgjeve të retencionit në zonat e ulëta, si dhe forcimin e argjinaturave në zonat më të ekspozuara. Këto investime infrastrukturore synojnë të zvogëlojnë shpejtësinë dhe vëllimin e ujërave të përmbytjeve, duke mbrojtur komunitetet dhe asetet ekonomike nga ngjarjet e ardhshme klimatike.</w:t>
      </w:r>
    </w:p>
    <w:p w14:paraId="063ACB09" w14:textId="761A2959" w:rsidR="00192B95" w:rsidRPr="001C61AE" w:rsidRDefault="00192B95" w:rsidP="00192B95">
      <w:pPr>
        <w:spacing w:line="240" w:lineRule="auto"/>
        <w:jc w:val="both"/>
        <w:rPr>
          <w:rFonts w:ascii="Arial" w:hAnsi="Arial" w:cs="Arial"/>
          <w:lang w:val="sq-AL"/>
        </w:rPr>
      </w:pPr>
      <w:r w:rsidRPr="001C61AE">
        <w:rPr>
          <w:rFonts w:ascii="Arial" w:hAnsi="Arial" w:cs="Arial"/>
          <w:lang w:val="sq-AL"/>
        </w:rPr>
        <w:t xml:space="preserve">Në përputhje me praktikat më të mira ndërkombëtare, </w:t>
      </w:r>
      <w:r w:rsidR="00E97975" w:rsidRPr="001C61AE">
        <w:rPr>
          <w:rFonts w:ascii="Arial" w:hAnsi="Arial" w:cs="Arial"/>
          <w:lang w:val="sq-AL"/>
        </w:rPr>
        <w:t>jemi</w:t>
      </w:r>
      <w:r w:rsidRPr="001C61AE">
        <w:rPr>
          <w:rFonts w:ascii="Arial" w:hAnsi="Arial" w:cs="Arial"/>
          <w:lang w:val="sq-AL"/>
        </w:rPr>
        <w:t xml:space="preserve"> duke investuar gjithashtu në një kombinim të zgjidhjeve infrastrukturore “gri” dhe “jeshile”. Këto masa përfshijnë restaurimin ekologjik të zonave të degraduara të përmbytjeve dhe të kapaciteteve të mbledhjes së ujërave në pjesët e sipërme të pellgjeve, për të përmirësuar retencionin natyror të ujit dhe përthithjen e rrjedhave të tepërta. Përmes përmirësimit të funksionalitetit të ekosistemeve, këto zgjidhje me bazë natyrore ndihmojnë në reduktimin e rrezikut të </w:t>
      </w:r>
      <w:r w:rsidRPr="001C61AE">
        <w:rPr>
          <w:rFonts w:ascii="Arial" w:hAnsi="Arial" w:cs="Arial"/>
          <w:lang w:val="sq-AL"/>
        </w:rPr>
        <w:lastRenderedPageBreak/>
        <w:t>përmbytjeve në zonat e poshtme, duke ofruar njëkohësisht përfitime shtesë për biodiversitetin dhe cilësinë e ujit.</w:t>
      </w:r>
    </w:p>
    <w:p w14:paraId="1E8C69BC" w14:textId="783232C9" w:rsidR="00192B95" w:rsidRPr="001C61AE" w:rsidRDefault="00192B95" w:rsidP="00192B95">
      <w:pPr>
        <w:spacing w:line="240" w:lineRule="auto"/>
        <w:jc w:val="both"/>
        <w:rPr>
          <w:rFonts w:ascii="Arial" w:hAnsi="Arial" w:cs="Arial"/>
          <w:lang w:val="sq-AL"/>
        </w:rPr>
      </w:pPr>
      <w:r w:rsidRPr="001C61AE">
        <w:rPr>
          <w:rFonts w:ascii="Arial" w:hAnsi="Arial" w:cs="Arial"/>
          <w:lang w:val="sq-AL"/>
        </w:rPr>
        <w:t xml:space="preserve">Koordinimi institucional përbën një shtyllë kyçe të strategjisë kombëtare të Kosovës për zbutjen e rreziqeve nga përmbytjet dhe thatësira. Agjencia për Menaxhimin e Emergjencave (AME) është përgjegjëse për udhëheqjen e përpjekjeve kombëtare për </w:t>
      </w:r>
      <w:r w:rsidR="003656C2" w:rsidRPr="001C61AE">
        <w:rPr>
          <w:rFonts w:ascii="Arial" w:hAnsi="Arial" w:cs="Arial"/>
          <w:lang w:val="sq-AL"/>
        </w:rPr>
        <w:t xml:space="preserve">gatishmëri </w:t>
      </w:r>
      <w:r w:rsidRPr="001C61AE">
        <w:rPr>
          <w:rFonts w:ascii="Arial" w:hAnsi="Arial" w:cs="Arial"/>
          <w:lang w:val="sq-AL"/>
        </w:rPr>
        <w:t>dhe reagim, përfshirë funksionimin e sistemeve të paralajmërimit të hershëm dhe planifikimin emergjent. AME punon ngushtë me Institutin Hidrometeorologjik të Kosovës (IHMK), i cili furnizon të dhëna të monitorimit dhe parashikimit në kohë reale, si dhe me komunat që janë përgjegjëse për mirëmbajtjen e infrastrukturës lokale të drenazhimit dhe zbatimin e rregullave të përdorimit të tokës në zonat e ndjeshme ndaj përmbytjeve.</w:t>
      </w:r>
    </w:p>
    <w:p w14:paraId="0BC1139D" w14:textId="58128135" w:rsidR="00192B95" w:rsidRPr="001C61AE" w:rsidRDefault="00192B95" w:rsidP="00192B95">
      <w:pPr>
        <w:spacing w:line="240" w:lineRule="auto"/>
        <w:jc w:val="both"/>
        <w:rPr>
          <w:rFonts w:ascii="Arial" w:hAnsi="Arial" w:cs="Arial"/>
          <w:lang w:val="sq-AL"/>
        </w:rPr>
      </w:pPr>
      <w:r w:rsidRPr="001C61AE">
        <w:rPr>
          <w:rFonts w:ascii="Arial" w:hAnsi="Arial" w:cs="Arial"/>
          <w:lang w:val="sq-AL"/>
        </w:rPr>
        <w:t>Duke njohur natyrën ndërkufitare të rreziqeve nga uji, po i kushto</w:t>
      </w:r>
      <w:r w:rsidR="00E97975" w:rsidRPr="001C61AE">
        <w:rPr>
          <w:rFonts w:ascii="Arial" w:hAnsi="Arial" w:cs="Arial"/>
          <w:lang w:val="sq-AL"/>
        </w:rPr>
        <w:t xml:space="preserve">het </w:t>
      </w:r>
      <w:r w:rsidRPr="001C61AE">
        <w:rPr>
          <w:rFonts w:ascii="Arial" w:hAnsi="Arial" w:cs="Arial"/>
          <w:lang w:val="sq-AL"/>
        </w:rPr>
        <w:t xml:space="preserve"> rëndësi </w:t>
      </w:r>
      <w:r w:rsidR="00E97975" w:rsidRPr="001C61AE">
        <w:rPr>
          <w:rFonts w:ascii="Arial" w:hAnsi="Arial" w:cs="Arial"/>
          <w:lang w:val="sq-AL"/>
        </w:rPr>
        <w:t xml:space="preserve">e </w:t>
      </w:r>
      <w:r w:rsidRPr="001C61AE">
        <w:rPr>
          <w:rFonts w:ascii="Arial" w:hAnsi="Arial" w:cs="Arial"/>
          <w:lang w:val="sq-AL"/>
        </w:rPr>
        <w:t xml:space="preserve">veçantë bashkëpunimit rajonal. Pozita e saj si vend në burim në disa pellgje ndërkombëtare të lumenjve i jep njëkohësisht përgjegjësi dhe interes strategjik për të promovuar zgjidhje të përbashkëta. </w:t>
      </w:r>
      <w:r w:rsidR="00E97975" w:rsidRPr="001C61AE">
        <w:rPr>
          <w:rFonts w:ascii="Arial" w:hAnsi="Arial" w:cs="Arial"/>
          <w:lang w:val="sq-AL"/>
        </w:rPr>
        <w:t>Është</w:t>
      </w:r>
      <w:r w:rsidRPr="001C61AE">
        <w:rPr>
          <w:rFonts w:ascii="Arial" w:hAnsi="Arial" w:cs="Arial"/>
          <w:lang w:val="sq-AL"/>
        </w:rPr>
        <w:t xml:space="preserve"> propozuar zhvillimi </w:t>
      </w:r>
      <w:r w:rsidR="00E97975" w:rsidRPr="001C61AE">
        <w:rPr>
          <w:rFonts w:ascii="Arial" w:hAnsi="Arial" w:cs="Arial"/>
          <w:lang w:val="sq-AL"/>
        </w:rPr>
        <w:t>i</w:t>
      </w:r>
      <w:r w:rsidRPr="001C61AE">
        <w:rPr>
          <w:rFonts w:ascii="Arial" w:hAnsi="Arial" w:cs="Arial"/>
          <w:lang w:val="sq-AL"/>
        </w:rPr>
        <w:t xml:space="preserve"> një sistemi rajonal për parashikimin e përmbytjeve për pellgun e Drinit, i cili do të mundësonte ndarjen e të dhënave në kohë reale, menaxhimin e koordinuar të rezervuarëve dhe reagime të përbashkëta ndaj ngjarjeve ekstreme në kufijtë me Shqipërinë, Maqedoninë e Veriut dhe Serbinë.</w:t>
      </w:r>
    </w:p>
    <w:p w14:paraId="521417FD" w14:textId="4EF269CE" w:rsidR="001D4FA1" w:rsidRPr="001C61AE" w:rsidRDefault="00192B95" w:rsidP="001D4FA1">
      <w:pPr>
        <w:spacing w:line="240" w:lineRule="auto"/>
        <w:jc w:val="both"/>
        <w:rPr>
          <w:rFonts w:ascii="Arial" w:hAnsi="Arial" w:cs="Arial"/>
          <w:lang w:val="sq-AL"/>
        </w:rPr>
      </w:pPr>
      <w:r w:rsidRPr="001C61AE">
        <w:rPr>
          <w:rFonts w:ascii="Arial" w:hAnsi="Arial" w:cs="Arial"/>
          <w:lang w:val="sq-AL"/>
        </w:rPr>
        <w:t xml:space="preserve">Së fundi, </w:t>
      </w:r>
      <w:r w:rsidR="00BE39C7" w:rsidRPr="001C61AE">
        <w:rPr>
          <w:rFonts w:ascii="Arial" w:hAnsi="Arial" w:cs="Arial"/>
          <w:lang w:val="sq-AL"/>
        </w:rPr>
        <w:t>Strategjia</w:t>
      </w:r>
      <w:r w:rsidRPr="001C61AE">
        <w:rPr>
          <w:rFonts w:ascii="Arial" w:hAnsi="Arial" w:cs="Arial"/>
          <w:lang w:val="sq-AL"/>
        </w:rPr>
        <w:t xml:space="preserve"> e përgjithshme e Kosovës reflekton një kalim paradigme nga qasja reaktive ndaj emergjencave në një planifikim proaktiv dhe afatgjatë për menaxhimin e rreziqeve klimatike. Kjo përfshin integrimin e zbutjes së rreziqeve nga thatësira dhe përmbytjet në instrumentet e planifikimit kombëtar, kuadrin ligjor dhe strukturat institucionale, me një fokus të veçantë në përputhshmërinë me standardet e Bashkimit Evropian për adaptim ndaj ndryshimeve klimatike. Përmes këtij qasjeje të shumëanshme, syno</w:t>
      </w:r>
      <w:r w:rsidR="00E97975" w:rsidRPr="001C61AE">
        <w:rPr>
          <w:rFonts w:ascii="Arial" w:hAnsi="Arial" w:cs="Arial"/>
          <w:lang w:val="sq-AL"/>
        </w:rPr>
        <w:t>het</w:t>
      </w:r>
      <w:r w:rsidRPr="001C61AE">
        <w:rPr>
          <w:rFonts w:ascii="Arial" w:hAnsi="Arial" w:cs="Arial"/>
          <w:lang w:val="sq-AL"/>
        </w:rPr>
        <w:t xml:space="preserve"> të ndërto</w:t>
      </w:r>
      <w:r w:rsidR="00E97975" w:rsidRPr="001C61AE">
        <w:rPr>
          <w:rFonts w:ascii="Arial" w:hAnsi="Arial" w:cs="Arial"/>
          <w:lang w:val="sq-AL"/>
        </w:rPr>
        <w:t xml:space="preserve">het </w:t>
      </w:r>
      <w:r w:rsidRPr="001C61AE">
        <w:rPr>
          <w:rFonts w:ascii="Arial" w:hAnsi="Arial" w:cs="Arial"/>
          <w:lang w:val="sq-AL"/>
        </w:rPr>
        <w:t xml:space="preserve"> një sistem </w:t>
      </w:r>
      <w:r w:rsidR="00E97975" w:rsidRPr="001C61AE">
        <w:rPr>
          <w:rFonts w:ascii="Arial" w:hAnsi="Arial" w:cs="Arial"/>
          <w:lang w:val="sq-AL"/>
        </w:rPr>
        <w:t xml:space="preserve">i </w:t>
      </w:r>
      <w:r w:rsidRPr="001C61AE">
        <w:rPr>
          <w:rFonts w:ascii="Arial" w:hAnsi="Arial" w:cs="Arial"/>
          <w:lang w:val="sq-AL"/>
        </w:rPr>
        <w:t xml:space="preserve">qëndrueshëm për menaxhimin e ujit dhe tokës, </w:t>
      </w:r>
      <w:r w:rsidR="00E97975" w:rsidRPr="001C61AE">
        <w:rPr>
          <w:rFonts w:ascii="Arial" w:hAnsi="Arial" w:cs="Arial"/>
          <w:lang w:val="sq-AL"/>
        </w:rPr>
        <w:t xml:space="preserve">i </w:t>
      </w:r>
      <w:r w:rsidRPr="001C61AE">
        <w:rPr>
          <w:rFonts w:ascii="Arial" w:hAnsi="Arial" w:cs="Arial"/>
          <w:lang w:val="sq-AL"/>
        </w:rPr>
        <w:t>aftë për t’u përballur me kërcënimet gjithnjë e më të mëdha që sjell ndryshimi i klimës</w:t>
      </w:r>
      <w:r w:rsidR="001D4FA1" w:rsidRPr="001C61AE">
        <w:rPr>
          <w:rFonts w:ascii="Arial" w:hAnsi="Arial" w:cs="Arial"/>
          <w:lang w:val="sq-AL"/>
        </w:rPr>
        <w:t>.</w:t>
      </w:r>
    </w:p>
    <w:p w14:paraId="67E92AF6" w14:textId="6810EA3F" w:rsidR="001D4FA1" w:rsidRPr="001C61AE" w:rsidRDefault="00192B95" w:rsidP="001D4FA1">
      <w:pPr>
        <w:spacing w:line="240" w:lineRule="auto"/>
        <w:jc w:val="both"/>
        <w:rPr>
          <w:rFonts w:ascii="Arial" w:hAnsi="Arial" w:cs="Arial"/>
          <w:b/>
          <w:bCs/>
          <w:color w:val="0F4761"/>
          <w:lang w:val="sq-AL"/>
        </w:rPr>
      </w:pPr>
      <w:r w:rsidRPr="001C61AE">
        <w:rPr>
          <w:rFonts w:ascii="Arial" w:hAnsi="Arial" w:cs="Arial"/>
          <w:b/>
          <w:bCs/>
          <w:color w:val="0F4761"/>
          <w:lang w:val="sq-AL"/>
        </w:rPr>
        <w:t>Objektivat specifikë</w:t>
      </w:r>
    </w:p>
    <w:p w14:paraId="478DFE66" w14:textId="51DFC85F" w:rsidR="00652D18" w:rsidRPr="001C61AE" w:rsidRDefault="00192B95" w:rsidP="00652D18">
      <w:pPr>
        <w:spacing w:line="240" w:lineRule="auto"/>
        <w:jc w:val="both"/>
        <w:rPr>
          <w:rFonts w:ascii="Arial" w:hAnsi="Arial" w:cs="Arial"/>
          <w:lang w:val="sq-AL"/>
        </w:rPr>
      </w:pPr>
      <w:r w:rsidRPr="001C61AE">
        <w:rPr>
          <w:rFonts w:ascii="Arial" w:hAnsi="Arial" w:cs="Arial"/>
          <w:lang w:val="sq-AL"/>
        </w:rPr>
        <w:t>Për të udhëhequr zbatimin sipas secilit prioritet kyç të përshtatjes, është përcaktuar një sërë objektivash specifikë. Këto objektiva i përkthejnë fushat e gjera prioritare në objektiva të zbatueshëm, duke ofruar drejtim strategjik</w:t>
      </w:r>
      <w:r w:rsidR="00652D18" w:rsidRPr="001C61AE">
        <w:rPr>
          <w:rFonts w:ascii="Arial" w:hAnsi="Arial" w:cs="Arial"/>
          <w:lang w:val="sq-AL"/>
        </w:rPr>
        <w:t>.</w:t>
      </w:r>
    </w:p>
    <w:p w14:paraId="77220857" w14:textId="1277D35E" w:rsidR="001D4FA1" w:rsidRPr="001C61AE" w:rsidRDefault="00862AC4" w:rsidP="008E17FD">
      <w:pPr>
        <w:spacing w:line="240" w:lineRule="auto"/>
        <w:ind w:left="708"/>
        <w:jc w:val="both"/>
        <w:rPr>
          <w:rFonts w:ascii="Arial" w:hAnsi="Arial" w:cs="Arial"/>
          <w:b/>
          <w:bCs/>
          <w:color w:val="0F4761"/>
          <w:lang w:val="sq-AL"/>
        </w:rPr>
      </w:pPr>
      <w:r w:rsidRPr="001C61AE">
        <w:rPr>
          <w:rFonts w:ascii="Arial" w:hAnsi="Arial" w:cs="Arial"/>
          <w:b/>
          <w:bCs/>
          <w:color w:val="0F4761"/>
          <w:lang w:val="sq-AL"/>
        </w:rPr>
        <w:t>I</w:t>
      </w:r>
      <w:r w:rsidR="005E742C" w:rsidRPr="001C61AE">
        <w:rPr>
          <w:rFonts w:ascii="Arial" w:hAnsi="Arial" w:cs="Arial"/>
          <w:b/>
          <w:bCs/>
          <w:color w:val="0F4761"/>
          <w:lang w:val="sq-AL"/>
        </w:rPr>
        <w:t xml:space="preserve">.10 </w:t>
      </w:r>
      <w:r w:rsidR="00192B95" w:rsidRPr="001C61AE">
        <w:rPr>
          <w:rFonts w:ascii="Arial" w:hAnsi="Arial" w:cs="Arial"/>
          <w:b/>
          <w:bCs/>
          <w:color w:val="0F4761"/>
          <w:lang w:val="sq-AL"/>
        </w:rPr>
        <w:t>Reformimi i qeverisjes së resurseve ujore me integrim të përshtatjes ndaj ndryshimeve klimatike</w:t>
      </w:r>
    </w:p>
    <w:p w14:paraId="3AB4115A" w14:textId="7B052079" w:rsidR="00C17CB2" w:rsidRPr="001C61AE" w:rsidRDefault="00C17CB2" w:rsidP="00C17CB2">
      <w:pPr>
        <w:spacing w:line="240" w:lineRule="auto"/>
        <w:jc w:val="both"/>
        <w:rPr>
          <w:rFonts w:ascii="Arial" w:hAnsi="Arial" w:cs="Arial"/>
          <w:lang w:val="sq-AL"/>
        </w:rPr>
      </w:pPr>
      <w:r w:rsidRPr="001C61AE">
        <w:rPr>
          <w:rFonts w:ascii="Arial" w:hAnsi="Arial" w:cs="Arial"/>
          <w:lang w:val="sq-AL"/>
        </w:rPr>
        <w:t xml:space="preserve">Qeverisja efektive e ujit përbën një gur themeli për avancimin e përpjekjeve për përshtatje ndaj ndryshimeve klimatike. </w:t>
      </w:r>
      <w:r w:rsidR="00E97975" w:rsidRPr="001C61AE">
        <w:rPr>
          <w:rFonts w:ascii="Arial" w:hAnsi="Arial" w:cs="Arial"/>
          <w:lang w:val="sq-AL"/>
        </w:rPr>
        <w:t xml:space="preserve">Për këtë </w:t>
      </w:r>
      <w:r w:rsidRPr="001C61AE">
        <w:rPr>
          <w:rFonts w:ascii="Arial" w:hAnsi="Arial" w:cs="Arial"/>
          <w:lang w:val="sq-AL"/>
        </w:rPr>
        <w:t xml:space="preserve">duhet të </w:t>
      </w:r>
      <w:r w:rsidR="00E97975" w:rsidRPr="001C61AE">
        <w:rPr>
          <w:rFonts w:ascii="Arial" w:hAnsi="Arial" w:cs="Arial"/>
          <w:lang w:val="sq-AL"/>
        </w:rPr>
        <w:t xml:space="preserve">krijohet </w:t>
      </w:r>
      <w:r w:rsidRPr="001C61AE">
        <w:rPr>
          <w:rFonts w:ascii="Arial" w:hAnsi="Arial" w:cs="Arial"/>
          <w:lang w:val="sq-AL"/>
        </w:rPr>
        <w:t xml:space="preserve">një kuadër </w:t>
      </w:r>
      <w:r w:rsidR="00E97975" w:rsidRPr="001C61AE">
        <w:rPr>
          <w:rFonts w:ascii="Arial" w:hAnsi="Arial" w:cs="Arial"/>
          <w:lang w:val="sq-AL"/>
        </w:rPr>
        <w:t xml:space="preserve">i </w:t>
      </w:r>
      <w:r w:rsidRPr="001C61AE">
        <w:rPr>
          <w:rFonts w:ascii="Arial" w:hAnsi="Arial" w:cs="Arial"/>
          <w:lang w:val="sq-AL"/>
        </w:rPr>
        <w:t xml:space="preserve">bashkërenduar dhe </w:t>
      </w:r>
      <w:r w:rsidR="00E97975" w:rsidRPr="001C61AE">
        <w:rPr>
          <w:rFonts w:ascii="Arial" w:hAnsi="Arial" w:cs="Arial"/>
          <w:lang w:val="sq-AL"/>
        </w:rPr>
        <w:t xml:space="preserve">i </w:t>
      </w:r>
      <w:r w:rsidRPr="001C61AE">
        <w:rPr>
          <w:rFonts w:ascii="Arial" w:hAnsi="Arial" w:cs="Arial"/>
          <w:lang w:val="sq-AL"/>
        </w:rPr>
        <w:t>integruar politikash për të përmirësuar menaxhimin e resurseve ujore dhe për të përfshirë konsideratat për përshtatje klimatike në politikat që lidhen me ujin. Forcimi i strukturave të qeverisjes është thelbësor për të nxitur llogaridhënien, efikasitetin operativ dhe qëndrueshmërinë afatgjatë të menaxhimit të ujit.</w:t>
      </w:r>
    </w:p>
    <w:p w14:paraId="6FA6DDCD" w14:textId="35F13724" w:rsidR="001D4FA1" w:rsidRPr="001C61AE" w:rsidRDefault="00C17CB2" w:rsidP="001D4FA1">
      <w:pPr>
        <w:spacing w:line="240" w:lineRule="auto"/>
        <w:jc w:val="both"/>
        <w:rPr>
          <w:rFonts w:ascii="Arial" w:hAnsi="Arial" w:cs="Arial"/>
          <w:lang w:val="sq-AL"/>
        </w:rPr>
      </w:pPr>
      <w:r w:rsidRPr="001C61AE">
        <w:rPr>
          <w:rFonts w:ascii="Arial" w:hAnsi="Arial" w:cs="Arial"/>
          <w:lang w:val="sq-AL"/>
        </w:rPr>
        <w:t>Për të arritur këtë, është e domosdoshme krijimi i një Agjencie të dedikuar për Menaxhimin e Resurseve ujore, e cila do të ketë për detyrë mbikëqyrjen e iniciativave për përshtatje, sigurimin e përputhshmërisë së politikave dhe integrimin e konsideratave klimatike në të gjitha proceset e planifikimit të ujit në nivel kombëtar dhe lokal. Kjo agjenci e re do të krijohet në bazë të Ligjit të ri për Menaxhimin e Resurseve ujore, i cili pritet të miratohet, dhe do të zëvendësojë Autoritetin ekzistues të Rajonit të Pellgjeve Lumore.</w:t>
      </w:r>
      <w:r w:rsidR="00D33E70" w:rsidRPr="001C61AE">
        <w:rPr>
          <w:rFonts w:ascii="Arial" w:hAnsi="Arial" w:cs="Arial"/>
          <w:lang w:val="sq-AL"/>
        </w:rPr>
        <w:t xml:space="preserve"> </w:t>
      </w:r>
      <w:r w:rsidRPr="001C61AE">
        <w:rPr>
          <w:rFonts w:ascii="Arial" w:hAnsi="Arial" w:cs="Arial"/>
          <w:lang w:val="sq-AL"/>
        </w:rPr>
        <w:t>Legjislacioni i ri do t’i adresojë qartë sfidat që paraqet ndryshimi i klimës, duke përfshirë dispozita të avancuara për menaxhimin e thatësirave dhe përmbytjeve.</w:t>
      </w:r>
    </w:p>
    <w:p w14:paraId="2D1AC7B8" w14:textId="6A2295A0" w:rsidR="001D4FA1" w:rsidRPr="001C61AE" w:rsidRDefault="00862AC4" w:rsidP="008E17FD">
      <w:pPr>
        <w:spacing w:line="240" w:lineRule="auto"/>
        <w:ind w:left="708"/>
        <w:jc w:val="both"/>
        <w:rPr>
          <w:rFonts w:ascii="Arial" w:hAnsi="Arial" w:cs="Arial"/>
          <w:b/>
          <w:bCs/>
          <w:color w:val="0F4761"/>
          <w:lang w:val="sq-AL"/>
        </w:rPr>
      </w:pPr>
      <w:r w:rsidRPr="001C61AE">
        <w:rPr>
          <w:rFonts w:ascii="Arial" w:hAnsi="Arial" w:cs="Arial"/>
          <w:b/>
          <w:bCs/>
          <w:color w:val="0F4761"/>
          <w:lang w:val="sq-AL"/>
        </w:rPr>
        <w:t>I</w:t>
      </w:r>
      <w:r w:rsidR="00652D18" w:rsidRPr="001C61AE">
        <w:rPr>
          <w:rFonts w:ascii="Arial" w:hAnsi="Arial" w:cs="Arial"/>
          <w:b/>
          <w:bCs/>
          <w:color w:val="0F4761"/>
          <w:lang w:val="sq-AL"/>
        </w:rPr>
        <w:t>.11</w:t>
      </w:r>
      <w:r w:rsidR="00994F47" w:rsidRPr="001C61AE">
        <w:rPr>
          <w:rFonts w:ascii="Arial" w:hAnsi="Arial" w:cs="Arial"/>
          <w:lang w:val="sq-AL"/>
        </w:rPr>
        <w:t xml:space="preserve"> </w:t>
      </w:r>
      <w:r w:rsidR="00994F47" w:rsidRPr="001C61AE">
        <w:rPr>
          <w:rFonts w:ascii="Arial" w:hAnsi="Arial" w:cs="Arial"/>
          <w:b/>
          <w:bCs/>
          <w:color w:val="0F4761"/>
          <w:lang w:val="sq-AL"/>
        </w:rPr>
        <w:t>Integrimi i planit të veprimit për thatësira në Kosovë në politikën kombëtare për klimë dhe ujë</w:t>
      </w:r>
    </w:p>
    <w:p w14:paraId="51B80939" w14:textId="615B0BD4" w:rsidR="00994F47" w:rsidRPr="001C61AE" w:rsidRDefault="00994F47" w:rsidP="00994F47">
      <w:pPr>
        <w:spacing w:line="240" w:lineRule="auto"/>
        <w:jc w:val="both"/>
        <w:rPr>
          <w:rFonts w:ascii="Arial" w:hAnsi="Arial" w:cs="Arial"/>
          <w:lang w:val="sq-AL"/>
        </w:rPr>
      </w:pPr>
      <w:r w:rsidRPr="001C61AE">
        <w:rPr>
          <w:rFonts w:ascii="Arial" w:hAnsi="Arial" w:cs="Arial"/>
          <w:lang w:val="sq-AL"/>
        </w:rPr>
        <w:t xml:space="preserve">Ndryshimet klimatike po përkeqësojnë rreziqet nga thatësirat në mbarë Kosovën, duke paraqitur kërcënime serioze për sigurinë e ujit, ekosistemet dhe jetesën. Parashikimet rajonale për Ballkanin Perëndimor tregojnë një të ardhme të karakterizuar nga temperatura më të larta dhe kushte më të thata, me pritshmëri për një ulje prej 10–15% të reshjeve verore deri në mes të këtij shekulli. Për më tepër, modelet e reshjeve po bëhen gjithnjë e më të paparashikueshme, të karakterizuara nga episode më të shkurtra dhe më intensive që rrisin rrezikun e përmbytjeve të menjëhershme dhe ulin furnizimin me ujë nëntokësor. Përvoja e Kosovës në vitet e fundit pasqyron këto trende: ngjarje të rëndësishme të thatësirës në vitet 2000, 2007, 2014 dhe 2019 shkaktuan ulje kritike të niveleve në rezervuarët si Batllava, Badovci dhe Përlepnicë, duke çuar në kufizime të furnizimit me ujë në qendra urbane si Prishtina dhe Gjilani. Që </w:t>
      </w:r>
      <w:r w:rsidRPr="001C61AE">
        <w:rPr>
          <w:rFonts w:ascii="Arial" w:hAnsi="Arial" w:cs="Arial"/>
          <w:lang w:val="sq-AL"/>
        </w:rPr>
        <w:lastRenderedPageBreak/>
        <w:t xml:space="preserve">nga viti 2004, mbi 80% e komunave në Kosovë kanë përjetuar mungesë uji, shumë prej të cilave janë përkeqësuar nga përsëritja e thatësirave dhe menaxhimi i pamjaftueshëm i </w:t>
      </w:r>
      <w:r w:rsidR="00D33E70" w:rsidRPr="001C61AE">
        <w:rPr>
          <w:rFonts w:ascii="Arial" w:hAnsi="Arial" w:cs="Arial"/>
          <w:lang w:val="sq-AL"/>
        </w:rPr>
        <w:t>resurseve</w:t>
      </w:r>
      <w:r w:rsidRPr="001C61AE">
        <w:rPr>
          <w:rFonts w:ascii="Arial" w:hAnsi="Arial" w:cs="Arial"/>
          <w:lang w:val="sq-AL"/>
        </w:rPr>
        <w:t xml:space="preserve"> ujore.</w:t>
      </w:r>
    </w:p>
    <w:p w14:paraId="1EE0E2FC" w14:textId="0EBBC349" w:rsidR="001D4FA1" w:rsidRPr="001C61AE" w:rsidRDefault="00994F47" w:rsidP="001D4FA1">
      <w:pPr>
        <w:spacing w:line="240" w:lineRule="auto"/>
        <w:jc w:val="both"/>
        <w:rPr>
          <w:rFonts w:ascii="Arial" w:hAnsi="Arial" w:cs="Arial"/>
          <w:lang w:val="sq-AL"/>
        </w:rPr>
      </w:pPr>
      <w:r w:rsidRPr="001C61AE">
        <w:rPr>
          <w:rFonts w:ascii="Arial" w:hAnsi="Arial" w:cs="Arial"/>
          <w:lang w:val="sq-AL"/>
        </w:rPr>
        <w:t xml:space="preserve">Si përgjigje, </w:t>
      </w:r>
      <w:r w:rsidR="00E97975" w:rsidRPr="001C61AE">
        <w:rPr>
          <w:rFonts w:ascii="Arial" w:hAnsi="Arial" w:cs="Arial"/>
          <w:lang w:val="sq-AL"/>
        </w:rPr>
        <w:t>ne kemi</w:t>
      </w:r>
      <w:r w:rsidRPr="001C61AE">
        <w:rPr>
          <w:rFonts w:ascii="Arial" w:hAnsi="Arial" w:cs="Arial"/>
          <w:lang w:val="sq-AL"/>
        </w:rPr>
        <w:t xml:space="preserve"> zhvilluar një Plan Veprimi për Thatësirën në kuadër të projektit për Menaxhimin e Integruar të Thatësirave, i financuar nga SlovakAid, i cili përcakton veprime kyçe në fushat e monitorimit, gatishmërisë dhe reagimit. Megjithatë, që ky plan të jetë operacionalisht efektiv, ai duhet të miratohet zyrtarisht nga Ministria e Mjedisit, Planifikimit Hapësinor dhe Infrastrukturës (MMPHI) dhe të integrohet në një Strategji Kombëtare për Menaxhimin e Thatësirës ose një kornizë tjetër të barasvlefshme ligjore. Miratimi i tillë do të forconte koordinimin institucional, do të drejtonte investimet drejt sistemeve të paralajmërimit të hershëm për thatësira dhe do të promovonte integrimin e rezistencës ndaj thatësirës në planifikimin e përdorimit të ujit dhe tokës. Po ashtu, do të përcaktonte një mandat të qartë për krijimin e një Komiteti Kombëtar për Thatësira, do të siguronte mbikëqyrjen e zbatimit dhe do të mundësonte qasjen në mbështetje teknike dhe financiare ndërkombëtare. Me që thatësirat pritet të bëhen gjithnjë e më të shpeshta dhe më të rënda, institucionalizimi i menaxhimit të integruar të thatësirave është thelbësor për të mbrojtur sigurinë e ujit dhe rezistencën klimatike të Kosovës</w:t>
      </w:r>
      <w:r w:rsidR="001D4FA1" w:rsidRPr="001C61AE">
        <w:rPr>
          <w:rFonts w:ascii="Arial" w:hAnsi="Arial" w:cs="Arial"/>
          <w:lang w:val="sq-AL"/>
        </w:rPr>
        <w:t>.</w:t>
      </w:r>
    </w:p>
    <w:p w14:paraId="4CE05AB5" w14:textId="34746C1F" w:rsidR="001D4FA1" w:rsidRPr="001C61AE" w:rsidRDefault="00862AC4" w:rsidP="008E17FD">
      <w:pPr>
        <w:spacing w:line="240" w:lineRule="auto"/>
        <w:ind w:left="708"/>
        <w:jc w:val="both"/>
        <w:rPr>
          <w:rFonts w:ascii="Arial" w:hAnsi="Arial" w:cs="Arial"/>
          <w:b/>
          <w:bCs/>
          <w:color w:val="0F4761"/>
          <w:lang w:val="sq-AL"/>
        </w:rPr>
      </w:pPr>
      <w:r w:rsidRPr="001C61AE">
        <w:rPr>
          <w:rFonts w:ascii="Arial" w:hAnsi="Arial" w:cs="Arial"/>
          <w:b/>
          <w:bCs/>
          <w:color w:val="0F4761"/>
          <w:lang w:val="sq-AL"/>
        </w:rPr>
        <w:t>I</w:t>
      </w:r>
      <w:r w:rsidR="00652D18" w:rsidRPr="001C61AE">
        <w:rPr>
          <w:rFonts w:ascii="Arial" w:hAnsi="Arial" w:cs="Arial"/>
          <w:b/>
          <w:bCs/>
          <w:color w:val="0F4761"/>
          <w:lang w:val="sq-AL"/>
        </w:rPr>
        <w:t xml:space="preserve">.12 </w:t>
      </w:r>
      <w:r w:rsidR="00994F47" w:rsidRPr="001C61AE">
        <w:rPr>
          <w:rFonts w:ascii="Arial" w:hAnsi="Arial" w:cs="Arial"/>
          <w:b/>
          <w:bCs/>
          <w:color w:val="0F4761"/>
          <w:lang w:val="sq-AL"/>
        </w:rPr>
        <w:t>Hartimi i planeve për menaxhimin e rrezikut nga përmbytjet dhe zbatimi i masave prioritare për mbrojtje nga përmbytjet</w:t>
      </w:r>
    </w:p>
    <w:p w14:paraId="08A6B3E5" w14:textId="2555382B" w:rsidR="00F6096B" w:rsidRPr="001C61AE" w:rsidRDefault="00F6096B" w:rsidP="00F6096B">
      <w:pPr>
        <w:spacing w:line="240" w:lineRule="auto"/>
        <w:jc w:val="both"/>
        <w:rPr>
          <w:rFonts w:ascii="Arial" w:hAnsi="Arial" w:cs="Arial"/>
          <w:lang w:val="sq-AL"/>
        </w:rPr>
      </w:pPr>
      <w:r w:rsidRPr="001C61AE">
        <w:rPr>
          <w:rFonts w:ascii="Arial" w:hAnsi="Arial" w:cs="Arial"/>
          <w:lang w:val="sq-AL"/>
        </w:rPr>
        <w:t xml:space="preserve"> </w:t>
      </w:r>
      <w:r w:rsidR="002C6EC9" w:rsidRPr="001C61AE">
        <w:rPr>
          <w:rFonts w:ascii="Arial" w:hAnsi="Arial" w:cs="Arial"/>
          <w:lang w:val="sq-AL"/>
        </w:rPr>
        <w:t xml:space="preserve">Është </w:t>
      </w:r>
      <w:r w:rsidRPr="001C61AE">
        <w:rPr>
          <w:rFonts w:ascii="Arial" w:hAnsi="Arial" w:cs="Arial"/>
          <w:lang w:val="sq-AL"/>
        </w:rPr>
        <w:t xml:space="preserve">arritur përparim </w:t>
      </w:r>
      <w:r w:rsidR="002C6EC9" w:rsidRPr="001C61AE">
        <w:rPr>
          <w:rFonts w:ascii="Arial" w:hAnsi="Arial" w:cs="Arial"/>
          <w:lang w:val="sq-AL"/>
        </w:rPr>
        <w:t xml:space="preserve">i </w:t>
      </w:r>
      <w:r w:rsidRPr="001C61AE">
        <w:rPr>
          <w:rFonts w:ascii="Arial" w:hAnsi="Arial" w:cs="Arial"/>
          <w:lang w:val="sq-AL"/>
        </w:rPr>
        <w:t xml:space="preserve">konsiderueshëm në vendosjen e themeleve për menaxhim efektiv të rrezikut nga përmbytjet. Përfundimi i Vlerësimit Paraprak të Rrezikut nga Përmbytjet (VRPP), së bashku me zhvillimin e hartave të detajuara të rrezikut dhe rrezikut nga përmbytjet - që mbulojnë më shumë se 398 zona me rrezik të lartë dhe gati 1,400 harta në shkallë të ndryshme - ka krijuar një kornizë të fuqishme analitike për identifikimin e zonave të cenueshme, popullatave në rrezik dhe infrastrukturës kritike të ekspozuar ndaj përmbytjeve. Megjithatë, hapi tjetër kritik është formulimi dhe miratimi i Planeve të Menaxhimit të Rrezikut nga Përmbytjet (PRMP), në përputhje me Direktivën e BE-së për Përmbytjet, për të udhëhequr sistematikisht masat për parandalim, </w:t>
      </w:r>
      <w:r w:rsidR="00A42DA8" w:rsidRPr="001C61AE">
        <w:rPr>
          <w:rFonts w:ascii="Arial" w:hAnsi="Arial" w:cs="Arial"/>
          <w:lang w:val="sq-AL"/>
        </w:rPr>
        <w:t xml:space="preserve">gatishmëri </w:t>
      </w:r>
      <w:r w:rsidRPr="001C61AE">
        <w:rPr>
          <w:rFonts w:ascii="Arial" w:hAnsi="Arial" w:cs="Arial"/>
          <w:lang w:val="sq-AL"/>
        </w:rPr>
        <w:t>dhe mbrojtje.</w:t>
      </w:r>
    </w:p>
    <w:p w14:paraId="0E655ECE" w14:textId="51589539" w:rsidR="001D4FA1" w:rsidRPr="001C61AE" w:rsidRDefault="00F6096B" w:rsidP="001D4FA1">
      <w:pPr>
        <w:spacing w:line="240" w:lineRule="auto"/>
        <w:jc w:val="both"/>
        <w:rPr>
          <w:rFonts w:ascii="Arial" w:hAnsi="Arial" w:cs="Arial"/>
          <w:lang w:val="sq-AL"/>
        </w:rPr>
      </w:pPr>
      <w:r w:rsidRPr="001C61AE">
        <w:rPr>
          <w:rFonts w:ascii="Arial" w:hAnsi="Arial" w:cs="Arial"/>
          <w:lang w:val="sq-AL"/>
        </w:rPr>
        <w:t xml:space="preserve">PRMP-të do të përbëjnë gurthemelin e një strategjie gjithëpërfshirëse dhe afatgjatë për të zbutur ndikimet e përmbytjeve, veçanërisht në zonat me rrezik të lartë si Mitrovica-Zveçani, Prishtina, Gjilani dhe qendrat kryesore të infrastrukturës, duke përfshirë Obiliqin dhe Fushë-Kosovën. Këto plane duhet të integrojnë si ndërhyrjet strukturore - të tilla si digat, rezervuarët dhe sistemet e përmirësuara të kullimit - ashtu edhe zgjidhjet e bazuara në natyrë, duke përfshirë ripyllëzimin e rrjedhës së sipërme dhe stabilizimin e brigjeve të lumenjve. Duke e përafruar planifikimin strategjik me zbatimin e projekteve të synuara për zbutjen e pasojave, </w:t>
      </w:r>
      <w:r w:rsidR="002C6EC9" w:rsidRPr="001C61AE">
        <w:rPr>
          <w:rFonts w:ascii="Arial" w:hAnsi="Arial" w:cs="Arial"/>
          <w:lang w:val="sq-AL"/>
        </w:rPr>
        <w:t>ne</w:t>
      </w:r>
      <w:r w:rsidRPr="001C61AE">
        <w:rPr>
          <w:rFonts w:ascii="Arial" w:hAnsi="Arial" w:cs="Arial"/>
          <w:lang w:val="sq-AL"/>
        </w:rPr>
        <w:t xml:space="preserve"> mund të kalojë nga reagimi reaktiv ndaj përmbytjeve drejt një qasje proaktive dhe të informuar ndaj riskut. Ky ndryshim do të forcojë qëndrueshmërinë e komunitetit, do të përmirësojë cilësinë e</w:t>
      </w:r>
      <w:r w:rsidR="009D7A9C" w:rsidRPr="001C61AE">
        <w:rPr>
          <w:rFonts w:ascii="Arial" w:hAnsi="Arial" w:cs="Arial"/>
          <w:lang w:val="sq-AL"/>
        </w:rPr>
        <w:t xml:space="preserve"> </w:t>
      </w:r>
      <w:r w:rsidRPr="001C61AE">
        <w:rPr>
          <w:rFonts w:ascii="Arial" w:hAnsi="Arial" w:cs="Arial"/>
          <w:lang w:val="sq-AL"/>
        </w:rPr>
        <w:t>ujit dhe do të harmonizojë qeverisjen e riskut të përmbytjeve në Kosovë me standardet evropiane, duke lehtësuar kështu aksesin në financim dhe asistencë teknike për zbatim</w:t>
      </w:r>
      <w:r w:rsidR="001D4FA1" w:rsidRPr="001C61AE">
        <w:rPr>
          <w:rFonts w:ascii="Arial" w:hAnsi="Arial" w:cs="Arial"/>
          <w:lang w:val="sq-AL"/>
        </w:rPr>
        <w:t>.</w:t>
      </w:r>
    </w:p>
    <w:p w14:paraId="6E6805EC" w14:textId="1A58C930" w:rsidR="007B4AFF" w:rsidRPr="001C61AE" w:rsidRDefault="007B4AFF" w:rsidP="00B15518">
      <w:pPr>
        <w:ind w:left="708"/>
        <w:jc w:val="both"/>
        <w:rPr>
          <w:rFonts w:ascii="Arial" w:hAnsi="Arial" w:cs="Arial"/>
          <w:b/>
          <w:bCs/>
          <w:color w:val="0F4761"/>
        </w:rPr>
      </w:pPr>
      <w:r w:rsidRPr="001C61AE">
        <w:rPr>
          <w:rFonts w:ascii="Arial" w:hAnsi="Arial" w:cs="Arial"/>
          <w:b/>
          <w:bCs/>
          <w:color w:val="0F4761"/>
          <w:lang w:val="sq-AL"/>
        </w:rPr>
        <w:t xml:space="preserve">I.13. </w:t>
      </w:r>
      <w:r w:rsidRPr="001C61AE">
        <w:rPr>
          <w:rFonts w:ascii="Arial" w:hAnsi="Arial" w:cs="Arial"/>
          <w:b/>
          <w:bCs/>
          <w:color w:val="0F4761"/>
        </w:rPr>
        <w:t>Studim Kombëtar mbi Integrimin e Zgjidhjeve të Bazuar në Natyrë (NbS) në Menaxhimin e Rrezikut nga Përmbytjet</w:t>
      </w:r>
    </w:p>
    <w:p w14:paraId="27B8244C" w14:textId="7C3B1660" w:rsidR="007B4AFF" w:rsidRPr="001C61AE" w:rsidRDefault="00E461BD" w:rsidP="007B4AFF">
      <w:pPr>
        <w:spacing w:line="240" w:lineRule="auto"/>
        <w:jc w:val="both"/>
        <w:rPr>
          <w:rFonts w:ascii="Arial" w:hAnsi="Arial" w:cs="Arial"/>
        </w:rPr>
      </w:pPr>
      <w:r w:rsidRPr="001C61AE">
        <w:rPr>
          <w:rFonts w:ascii="Arial" w:hAnsi="Arial" w:cs="Arial"/>
        </w:rPr>
        <w:t>Strategjia gjithashtu thekson</w:t>
      </w:r>
      <w:r w:rsidR="007B4AFF" w:rsidRPr="001C61AE">
        <w:rPr>
          <w:rFonts w:ascii="Arial" w:hAnsi="Arial" w:cs="Arial"/>
        </w:rPr>
        <w:t xml:space="preserve"> rëndësinë e fuqizimit të infrastrukturës tradicionale përmes qasjeve inovative</w:t>
      </w:r>
      <w:r w:rsidRPr="001C61AE">
        <w:rPr>
          <w:rFonts w:ascii="Arial" w:hAnsi="Arial" w:cs="Arial"/>
        </w:rPr>
        <w:t xml:space="preserve"> për të rritur</w:t>
      </w:r>
      <w:r w:rsidR="007B4AFF" w:rsidRPr="001C61AE">
        <w:rPr>
          <w:rFonts w:ascii="Arial" w:hAnsi="Arial" w:cs="Arial"/>
        </w:rPr>
        <w:t xml:space="preserve"> qëndrueshmërinë dhe njëkohësisht gjenerojnë përfitime të shumëfishta mjedisore. Në këtë kuadër, do të ndërmerret një studim kombëtar gjithëpërfshirës me qëllim të vlerësimit të mundësive për integrimin sistematik të Zgjidhjeve të Bazuar në Natyrë (NbS) në menaxhimin e rrezikut nga përmbytjet dhe në kuadrot e qeverisjes së integruar të burimeve ujore.</w:t>
      </w:r>
    </w:p>
    <w:p w14:paraId="5E55514C" w14:textId="77777777" w:rsidR="007B4AFF" w:rsidRPr="001C61AE" w:rsidRDefault="007B4AFF" w:rsidP="007B4AFF">
      <w:pPr>
        <w:spacing w:line="240" w:lineRule="auto"/>
        <w:jc w:val="both"/>
        <w:rPr>
          <w:rFonts w:ascii="Arial" w:hAnsi="Arial" w:cs="Arial"/>
        </w:rPr>
      </w:pPr>
      <w:r w:rsidRPr="001C61AE">
        <w:rPr>
          <w:rFonts w:ascii="Arial" w:hAnsi="Arial" w:cs="Arial"/>
        </w:rPr>
        <w:t>Studimi do të mbështetet në hartat ekzistuese të rrezikut nga përmbytjet, të cilat do të analizohen në mënyrë të detajuar për identifikimin e zonave prioritare ku masat NbS mund të sigurojnë mbrojtje efektive—përfshirë pellgjet ujëmbledhëse të sipërme, brezat përreth lumenjve dhe fushat e degraduara përmbytëse. Objektivi kryesor i studimit është vlerësimi i fizibilitetit, efektivitetit dhe potencialit të kostos kundrejt përfitimeve të masave NbS, siç janë: ripyllëzimi, restaurimi i ekosistemeve të kënetave, stabilizimi i brigjeve lumore, si dhe masat urbane si infrastruktura e gjelbër, sipërfaqet e përshkueshme dhe sistemet e qëndrueshme të drenazhimit urban. Një vëmendje e veçantë do t’i kushtohet gjithashtu qasjeve hibride që ndërthurin restaurimin ekologjik me zgjidhje të inxhinieruara.</w:t>
      </w:r>
    </w:p>
    <w:p w14:paraId="0A1CBAB6" w14:textId="77777777" w:rsidR="007B4AFF" w:rsidRPr="001C61AE" w:rsidRDefault="007B4AFF" w:rsidP="007B4AFF">
      <w:pPr>
        <w:spacing w:line="240" w:lineRule="auto"/>
        <w:jc w:val="both"/>
        <w:rPr>
          <w:rFonts w:ascii="Arial" w:hAnsi="Arial" w:cs="Arial"/>
        </w:rPr>
      </w:pPr>
      <w:r w:rsidRPr="001C61AE">
        <w:rPr>
          <w:rFonts w:ascii="Arial" w:hAnsi="Arial" w:cs="Arial"/>
        </w:rPr>
        <w:t xml:space="preserve">Procesi do të përfshijë konsultime të strukturuara me komunat, ndërmarrjet e ujësjellësit dhe aktorët komunitarë, me qëllim të identifikimit të ndërhyrjeve prioritare, sigurimit të pronësisë lokale dhe adresimit të pengesave institucionale dhe rregullative për zbatim. Rezultatet e studimit do të shërbejnë si bazë e fuqishme e evidencës për integrimin e NbS në politikat dhe planet e ardhshme për menaxhimin e rrezikut </w:t>
      </w:r>
      <w:r w:rsidRPr="001C61AE">
        <w:rPr>
          <w:rFonts w:ascii="Arial" w:hAnsi="Arial" w:cs="Arial"/>
        </w:rPr>
        <w:lastRenderedPageBreak/>
        <w:t>nga përmbytjet, duke kontribuar kështu në forcimin e qeverisjes së ujërave dhe rritjen e qëndrueshmërisë klimatike në Kosovë.</w:t>
      </w:r>
    </w:p>
    <w:p w14:paraId="2EADE7FC" w14:textId="08E16488" w:rsidR="007B4AFF" w:rsidRPr="001C61AE" w:rsidRDefault="007B4AFF" w:rsidP="007B4AFF">
      <w:pPr>
        <w:spacing w:line="240" w:lineRule="auto"/>
        <w:jc w:val="both"/>
        <w:rPr>
          <w:rFonts w:ascii="Arial" w:hAnsi="Arial" w:cs="Arial"/>
        </w:rPr>
      </w:pPr>
    </w:p>
    <w:p w14:paraId="38BB9921" w14:textId="0B339364" w:rsidR="009D7A9C" w:rsidRPr="001C61AE" w:rsidRDefault="009D7A9C" w:rsidP="001D4FA1">
      <w:pPr>
        <w:spacing w:line="240" w:lineRule="auto"/>
        <w:jc w:val="both"/>
        <w:rPr>
          <w:rFonts w:ascii="Arial" w:hAnsi="Arial" w:cs="Arial"/>
          <w:lang w:val="sq-AL"/>
        </w:rPr>
      </w:pPr>
    </w:p>
    <w:p w14:paraId="6720F764" w14:textId="7E90C8C4" w:rsidR="00652D18" w:rsidRPr="001C61AE" w:rsidRDefault="00652D18" w:rsidP="003769F4">
      <w:pPr>
        <w:spacing w:before="0" w:line="278" w:lineRule="auto"/>
        <w:jc w:val="both"/>
        <w:rPr>
          <w:rFonts w:ascii="Arial" w:hAnsi="Arial" w:cs="Arial"/>
          <w:b/>
          <w:bCs/>
          <w:lang w:val="sq-AL"/>
        </w:rPr>
      </w:pPr>
      <w:r w:rsidRPr="001C61AE">
        <w:rPr>
          <w:rFonts w:ascii="Arial" w:hAnsi="Arial" w:cs="Arial"/>
          <w:b/>
          <w:bCs/>
          <w:lang w:val="sq-AL"/>
        </w:rPr>
        <w:br w:type="page"/>
      </w:r>
    </w:p>
    <w:p w14:paraId="4011C361" w14:textId="5408DB2F" w:rsidR="001D4FA1" w:rsidRPr="001C61AE" w:rsidRDefault="00A15A52" w:rsidP="00D846AE">
      <w:pPr>
        <w:pStyle w:val="Heading2"/>
        <w:rPr>
          <w:rFonts w:ascii="Arial" w:hAnsi="Arial" w:cs="Arial"/>
          <w:color w:val="246D5D"/>
          <w:lang w:val="sq-AL"/>
        </w:rPr>
      </w:pPr>
      <w:bookmarkStart w:id="75" w:name="_Toc211532705"/>
      <w:r w:rsidRPr="001C61AE">
        <w:rPr>
          <w:rFonts w:ascii="Arial" w:hAnsi="Arial" w:cs="Arial"/>
          <w:color w:val="246D5D"/>
          <w:lang w:val="sq-AL"/>
        </w:rPr>
        <w:lastRenderedPageBreak/>
        <w:t>SEKTORI I ENERGJISË</w:t>
      </w:r>
      <w:bookmarkEnd w:id="75"/>
    </w:p>
    <w:p w14:paraId="04812494" w14:textId="1B2BAC86" w:rsidR="001D4FA1" w:rsidRPr="001C61AE" w:rsidRDefault="00F301A0" w:rsidP="001D4FA1">
      <w:pPr>
        <w:spacing w:line="240" w:lineRule="auto"/>
        <w:jc w:val="both"/>
        <w:rPr>
          <w:rFonts w:ascii="Arial" w:hAnsi="Arial" w:cs="Arial"/>
          <w:lang w:val="sq-AL"/>
        </w:rPr>
      </w:pPr>
      <w:r w:rsidRPr="001C61AE">
        <w:rPr>
          <w:rFonts w:ascii="Arial" w:hAnsi="Arial" w:cs="Arial"/>
          <w:b/>
          <w:bCs/>
          <w:lang w:val="sq-AL"/>
        </w:rPr>
        <w:t>Përmbledhje e Sektorit</w:t>
      </w:r>
    </w:p>
    <w:p w14:paraId="6964E80D" w14:textId="6D27AE6F" w:rsidR="001D4FA1" w:rsidRPr="001C61AE" w:rsidRDefault="00F301A0" w:rsidP="001D4FA1">
      <w:pPr>
        <w:spacing w:line="240" w:lineRule="auto"/>
        <w:jc w:val="both"/>
        <w:rPr>
          <w:rFonts w:ascii="Arial" w:hAnsi="Arial" w:cs="Arial"/>
          <w:lang w:val="sq-AL"/>
        </w:rPr>
      </w:pPr>
      <w:r w:rsidRPr="001C61AE">
        <w:rPr>
          <w:rFonts w:ascii="Arial" w:hAnsi="Arial" w:cs="Arial"/>
          <w:lang w:val="sq-AL"/>
        </w:rPr>
        <w:t>Ndryshimi i klimës po ushtron presion në rritje mbi sektorin e energjisë në Kosovë, duke përkeqësuar dobësitë në prodhim, transmetim, shpërndarje dhe kërkesë. Rritja e temperaturave, ndryshimi i modeleve të reshjeve dhe ngjarjet ekstreme të motit - të tilla si përmbytjet dhe valët e të nxehtit - kërcënojnë stabilitetin e infrastrukturës dhe sigurinë energjetike. Përderisa Kosova vazhdon ambicien e saj për t'u integruar në Bashkimin Evropian dhe për të përmbushur detyrimet globale të klimës, përshtatja klimatike në sektorin e energjisë është bërë një domosdoshmëri strategjike</w:t>
      </w:r>
      <w:r w:rsidR="00BD2A59" w:rsidRPr="001C61AE">
        <w:rPr>
          <w:rFonts w:ascii="Arial" w:hAnsi="Arial" w:cs="Arial"/>
          <w:lang w:val="sq-AL"/>
        </w:rPr>
        <w:t xml:space="preserve">. </w:t>
      </w:r>
    </w:p>
    <w:p w14:paraId="5F2733F4" w14:textId="6BBDBFB9" w:rsidR="001D4FA1" w:rsidRPr="001C61AE" w:rsidRDefault="00F301A0" w:rsidP="001D4FA1">
      <w:pPr>
        <w:spacing w:line="240" w:lineRule="auto"/>
        <w:jc w:val="both"/>
        <w:rPr>
          <w:rFonts w:ascii="Arial" w:hAnsi="Arial" w:cs="Arial"/>
          <w:b/>
          <w:bCs/>
          <w:lang w:val="sq-AL"/>
        </w:rPr>
      </w:pPr>
      <w:r w:rsidRPr="001C61AE">
        <w:rPr>
          <w:rFonts w:ascii="Arial" w:hAnsi="Arial" w:cs="Arial"/>
          <w:b/>
          <w:bCs/>
          <w:lang w:val="sq-AL"/>
        </w:rPr>
        <w:t>Korniza e politikave</w:t>
      </w:r>
    </w:p>
    <w:p w14:paraId="0B1AE2E0" w14:textId="3A4B2997" w:rsidR="008B30BD" w:rsidRPr="001C61AE" w:rsidRDefault="008B30BD" w:rsidP="008B30BD">
      <w:pPr>
        <w:spacing w:line="240" w:lineRule="auto"/>
        <w:jc w:val="both"/>
        <w:rPr>
          <w:rFonts w:ascii="Arial" w:hAnsi="Arial" w:cs="Arial"/>
          <w:lang w:val="sq-AL"/>
        </w:rPr>
      </w:pPr>
      <w:r w:rsidRPr="001C61AE">
        <w:rPr>
          <w:rFonts w:ascii="Arial" w:hAnsi="Arial" w:cs="Arial"/>
          <w:lang w:val="sq-AL"/>
        </w:rPr>
        <w:t xml:space="preserve">Kosova ka ndërtuar një themel të fuqishëm institucional për integrimin e adaptimit ndaj ndryshimeve klimatike në planifikimin e saj energjetik. </w:t>
      </w:r>
      <w:r w:rsidR="00602281" w:rsidRPr="001C61AE">
        <w:rPr>
          <w:rFonts w:ascii="Arial" w:hAnsi="Arial" w:cs="Arial"/>
          <w:lang w:val="sq-AL"/>
        </w:rPr>
        <w:t xml:space="preserve"> Ligji i Klimës</w:t>
      </w:r>
      <w:r w:rsidR="00E461BD" w:rsidRPr="001C61AE">
        <w:rPr>
          <w:rFonts w:ascii="Arial" w:hAnsi="Arial" w:cs="Arial"/>
          <w:lang w:val="sq-AL"/>
        </w:rPr>
        <w:t xml:space="preserve">, Pakoja Legjislative për Energjinë dhe Strategjia e Energjisë 2022–2031 </w:t>
      </w:r>
      <w:r w:rsidRPr="001C61AE">
        <w:rPr>
          <w:rFonts w:ascii="Arial" w:hAnsi="Arial" w:cs="Arial"/>
          <w:lang w:val="sq-AL"/>
        </w:rPr>
        <w:t>shërben si bazë ligjore kryesore</w:t>
      </w:r>
      <w:r w:rsidR="00E461BD" w:rsidRPr="001C61AE">
        <w:rPr>
          <w:rFonts w:ascii="Arial" w:hAnsi="Arial" w:cs="Arial"/>
          <w:lang w:val="sq-AL"/>
        </w:rPr>
        <w:t xml:space="preserve"> për sektorin e energjisë.</w:t>
      </w:r>
    </w:p>
    <w:p w14:paraId="217E5317" w14:textId="29C109FE" w:rsidR="008B30BD" w:rsidRPr="001C61AE" w:rsidRDefault="00BE39C7" w:rsidP="008B30BD">
      <w:pPr>
        <w:spacing w:line="240" w:lineRule="auto"/>
        <w:jc w:val="both"/>
        <w:rPr>
          <w:rFonts w:ascii="Arial" w:hAnsi="Arial" w:cs="Arial"/>
          <w:lang w:val="sq-AL"/>
        </w:rPr>
      </w:pPr>
      <w:r w:rsidRPr="001C61AE">
        <w:rPr>
          <w:rFonts w:ascii="Arial" w:hAnsi="Arial" w:cs="Arial"/>
          <w:lang w:val="sq-AL"/>
        </w:rPr>
        <w:t>Strategjia</w:t>
      </w:r>
      <w:r w:rsidR="008B30BD" w:rsidRPr="001C61AE">
        <w:rPr>
          <w:rFonts w:ascii="Arial" w:hAnsi="Arial" w:cs="Arial"/>
          <w:lang w:val="sq-AL"/>
        </w:rPr>
        <w:t xml:space="preserve"> e Energjisë 2022–2031 </w:t>
      </w:r>
    </w:p>
    <w:p w14:paraId="1852793A" w14:textId="17A5C873" w:rsidR="00BD2A59" w:rsidRPr="001C61AE" w:rsidRDefault="00B15518" w:rsidP="00BD2A59">
      <w:pPr>
        <w:spacing w:line="240" w:lineRule="auto"/>
        <w:jc w:val="both"/>
        <w:rPr>
          <w:rFonts w:ascii="Arial" w:hAnsi="Arial" w:cs="Arial"/>
          <w:lang w:val="sq-AL"/>
        </w:rPr>
      </w:pPr>
      <w:r w:rsidRPr="001C61AE">
        <w:rPr>
          <w:rFonts w:ascii="Arial" w:hAnsi="Arial" w:cs="Arial"/>
          <w:noProof/>
        </w:rPr>
        <mc:AlternateContent>
          <mc:Choice Requires="wps">
            <w:drawing>
              <wp:anchor distT="0" distB="0" distL="114300" distR="114300" simplePos="0" relativeHeight="251801600" behindDoc="0" locked="0" layoutInCell="1" allowOverlap="1" wp14:anchorId="55506548" wp14:editId="4E07917C">
                <wp:simplePos x="0" y="0"/>
                <wp:positionH relativeFrom="margin">
                  <wp:align>left</wp:align>
                </wp:positionH>
                <wp:positionV relativeFrom="paragraph">
                  <wp:posOffset>4171950</wp:posOffset>
                </wp:positionV>
                <wp:extent cx="6480810" cy="144780"/>
                <wp:effectExtent l="0" t="0" r="0" b="7620"/>
                <wp:wrapTopAndBottom/>
                <wp:docPr id="1877891762" name="Text Box 1"/>
                <wp:cNvGraphicFramePr/>
                <a:graphic xmlns:a="http://schemas.openxmlformats.org/drawingml/2006/main">
                  <a:graphicData uri="http://schemas.microsoft.com/office/word/2010/wordprocessingShape">
                    <wps:wsp>
                      <wps:cNvSpPr txBox="1"/>
                      <wps:spPr>
                        <a:xfrm>
                          <a:off x="0" y="0"/>
                          <a:ext cx="6480810" cy="144780"/>
                        </a:xfrm>
                        <a:prstGeom prst="rect">
                          <a:avLst/>
                        </a:prstGeom>
                        <a:solidFill>
                          <a:prstClr val="white"/>
                        </a:solidFill>
                        <a:ln>
                          <a:noFill/>
                        </a:ln>
                      </wps:spPr>
                      <wps:txbx>
                        <w:txbxContent>
                          <w:p w14:paraId="70397A5A" w14:textId="3307A22A" w:rsidR="007A6AE2" w:rsidRPr="002A46E3" w:rsidRDefault="007A6AE2" w:rsidP="004C6E93">
                            <w:pPr>
                              <w:pStyle w:val="Caption"/>
                              <w:rPr>
                                <w:rFonts w:ascii="Arial" w:hAnsi="Arial" w:cs="Arial"/>
                                <w:b/>
                                <w:bCs/>
                                <w:noProof/>
                                <w:sz w:val="20"/>
                                <w:szCs w:val="20"/>
                                <w:lang w:val="sq-AL" w:eastAsia="sq-AL"/>
                              </w:rPr>
                            </w:pPr>
                            <w:bookmarkStart w:id="76" w:name="_Toc211532628"/>
                            <w:r w:rsidRPr="002A46E3">
                              <w:rPr>
                                <w:rFonts w:ascii="Arial" w:hAnsi="Arial" w:cs="Arial"/>
                              </w:rPr>
                              <w:t xml:space="preserve">Figura </w:t>
                            </w:r>
                            <w:r w:rsidRPr="002A46E3">
                              <w:rPr>
                                <w:rFonts w:ascii="Arial" w:hAnsi="Arial" w:cs="Arial"/>
                              </w:rPr>
                              <w:fldChar w:fldCharType="begin"/>
                            </w:r>
                            <w:r w:rsidRPr="002A46E3">
                              <w:rPr>
                                <w:rFonts w:ascii="Arial" w:hAnsi="Arial" w:cs="Arial"/>
                              </w:rPr>
                              <w:instrText xml:space="preserve"> SEQ Figura \* ARABIC </w:instrText>
                            </w:r>
                            <w:r w:rsidRPr="002A46E3">
                              <w:rPr>
                                <w:rFonts w:ascii="Arial" w:hAnsi="Arial" w:cs="Arial"/>
                              </w:rPr>
                              <w:fldChar w:fldCharType="separate"/>
                            </w:r>
                            <w:r w:rsidR="0005579F" w:rsidRPr="002A46E3">
                              <w:rPr>
                                <w:rFonts w:ascii="Arial" w:hAnsi="Arial" w:cs="Arial"/>
                                <w:noProof/>
                              </w:rPr>
                              <w:t>27</w:t>
                            </w:r>
                            <w:r w:rsidRPr="002A46E3">
                              <w:rPr>
                                <w:rFonts w:ascii="Arial" w:hAnsi="Arial" w:cs="Arial"/>
                              </w:rPr>
                              <w:fldChar w:fldCharType="end"/>
                            </w:r>
                            <w:r w:rsidRPr="002A46E3">
                              <w:rPr>
                                <w:rFonts w:ascii="Arial" w:hAnsi="Arial" w:cs="Arial"/>
                              </w:rPr>
                              <w:t>. Zinxhiri i ndikimit për sektorin e energjisë. Burimi: MMPHI, 2025</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506548" id="_x0000_s1053" type="#_x0000_t202" style="position:absolute;left:0;text-align:left;margin-left:0;margin-top:328.5pt;width:510.3pt;height:11.4pt;z-index:251801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" stroked="f">
                <v:textbox inset="0,0,0,0">
                  <w:txbxContent>
                    <w:p w14:paraId="70397A5A" w14:textId="3307A22A" w:rsidR="007A6AE2" w:rsidRPr="002A46E3" w:rsidRDefault="007A6AE2" w:rsidP="004C6E93">
                      <w:pPr>
                        <w:pStyle w:val="Caption"/>
                        <w:rPr>
                          <w:rFonts w:ascii="Arial" w:hAnsi="Arial" w:cs="Arial"/>
                          <w:b/>
                          <w:bCs/>
                          <w:noProof/>
                          <w:sz w:val="20"/>
                          <w:szCs w:val="20"/>
                          <w:lang w:val="sq-AL" w:eastAsia="sq-AL"/>
                        </w:rPr>
                      </w:pPr>
                      <w:bookmarkStart w:id="93" w:name="_Toc211532628"/>
                      <w:r w:rsidRPr="002A46E3">
                        <w:rPr>
                          <w:rFonts w:ascii="Arial" w:hAnsi="Arial" w:cs="Arial"/>
                        </w:rPr>
                        <w:t xml:space="preserve">Figura </w:t>
                      </w:r>
                      <w:r w:rsidRPr="002A46E3">
                        <w:rPr>
                          <w:rFonts w:ascii="Arial" w:hAnsi="Arial" w:cs="Arial"/>
                        </w:rPr>
                        <w:fldChar w:fldCharType="begin"/>
                      </w:r>
                      <w:r w:rsidRPr="002A46E3">
                        <w:rPr>
                          <w:rFonts w:ascii="Arial" w:hAnsi="Arial" w:cs="Arial"/>
                        </w:rPr>
                        <w:instrText xml:space="preserve"> SEQ Figura \* ARABIC </w:instrText>
                      </w:r>
                      <w:r w:rsidRPr="002A46E3">
                        <w:rPr>
                          <w:rFonts w:ascii="Arial" w:hAnsi="Arial" w:cs="Arial"/>
                        </w:rPr>
                        <w:fldChar w:fldCharType="separate"/>
                      </w:r>
                      <w:r w:rsidR="0005579F" w:rsidRPr="002A46E3">
                        <w:rPr>
                          <w:rFonts w:ascii="Arial" w:hAnsi="Arial" w:cs="Arial"/>
                          <w:noProof/>
                        </w:rPr>
                        <w:t>27</w:t>
                      </w:r>
                      <w:r w:rsidRPr="002A46E3">
                        <w:rPr>
                          <w:rFonts w:ascii="Arial" w:hAnsi="Arial" w:cs="Arial"/>
                        </w:rPr>
                        <w:fldChar w:fldCharType="end"/>
                      </w:r>
                      <w:r w:rsidRPr="002A46E3">
                        <w:rPr>
                          <w:rFonts w:ascii="Arial" w:hAnsi="Arial" w:cs="Arial"/>
                        </w:rPr>
                        <w:t xml:space="preserve">. </w:t>
                      </w:r>
                      <w:r w:rsidRPr="002A46E3">
                        <w:rPr>
                          <w:rFonts w:ascii="Arial" w:hAnsi="Arial" w:cs="Arial"/>
                        </w:rPr>
                        <w:t>Zinxhiri i ndikimit për sektorin e energjisë. Burimi: MMPHI, 2025</w:t>
                      </w:r>
                      <w:bookmarkEnd w:id="93"/>
                    </w:p>
                  </w:txbxContent>
                </v:textbox>
                <w10:wrap type="topAndBottom" anchorx="margin"/>
              </v:shape>
            </w:pict>
          </mc:Fallback>
        </mc:AlternateContent>
      </w:r>
      <w:r w:rsidR="00E461BD" w:rsidRPr="001C61AE">
        <w:rPr>
          <w:rFonts w:ascii="Arial" w:hAnsi="Arial" w:cs="Arial"/>
          <w:lang w:val="sq-AL"/>
        </w:rPr>
        <w:t xml:space="preserve">Themelimi i </w:t>
      </w:r>
      <w:r w:rsidR="008B30BD" w:rsidRPr="001C61AE">
        <w:rPr>
          <w:rFonts w:ascii="Arial" w:hAnsi="Arial" w:cs="Arial"/>
          <w:lang w:val="sq-AL"/>
        </w:rPr>
        <w:t>Burs</w:t>
      </w:r>
      <w:r w:rsidR="00E461BD" w:rsidRPr="001C61AE">
        <w:rPr>
          <w:rFonts w:ascii="Arial" w:hAnsi="Arial" w:cs="Arial"/>
          <w:lang w:val="sq-AL"/>
        </w:rPr>
        <w:t>ës</w:t>
      </w:r>
      <w:r w:rsidR="008B30BD" w:rsidRPr="001C61AE">
        <w:rPr>
          <w:rFonts w:ascii="Arial" w:hAnsi="Arial" w:cs="Arial"/>
          <w:lang w:val="sq-AL"/>
        </w:rPr>
        <w:t xml:space="preserve"> Shqiptare e Energjisë (ALPEX) dhe përputhja me standardet operacionale të ENTSO-E forcojnë më tej përkushtimin e saj ndaj një sistemi energjetik modern, të ndërlidhur dhe rezistent ndaj klimës</w:t>
      </w:r>
      <w:r w:rsidR="00BD2A59" w:rsidRPr="001C61AE">
        <w:rPr>
          <w:rFonts w:ascii="Arial" w:hAnsi="Arial" w:cs="Arial"/>
          <w:lang w:val="sq-AL"/>
        </w:rPr>
        <w:t>.</w:t>
      </w:r>
    </w:p>
    <w:p w14:paraId="4DBFCDA7" w14:textId="20D14737" w:rsidR="007A6AE2" w:rsidRPr="001C61AE" w:rsidRDefault="00F301A0" w:rsidP="004C6E93">
      <w:pPr>
        <w:spacing w:line="240" w:lineRule="auto"/>
        <w:jc w:val="both"/>
        <w:rPr>
          <w:rFonts w:ascii="Arial" w:hAnsi="Arial" w:cs="Arial"/>
          <w:lang w:val="sq-AL"/>
        </w:rPr>
      </w:pPr>
      <w:r w:rsidRPr="001C61AE">
        <w:rPr>
          <w:rFonts w:ascii="Arial" w:hAnsi="Arial" w:cs="Arial"/>
          <w:b/>
          <w:bCs/>
          <w:lang w:val="sq-AL"/>
        </w:rPr>
        <w:t>Cenueshmëritë ndaj klimës dhe sfidat kryesore të përshtatjes</w:t>
      </w:r>
      <w:r w:rsidR="007A6AE2" w:rsidRPr="001C61AE">
        <w:rPr>
          <w:rFonts w:ascii="Arial" w:hAnsi="Arial" w:cs="Arial"/>
          <w:b/>
          <w:bCs/>
          <w:i/>
          <w:iCs/>
          <w:noProof/>
          <w:sz w:val="20"/>
          <w:szCs w:val="20"/>
        </w:rPr>
        <w:drawing>
          <wp:anchor distT="0" distB="0" distL="114300" distR="114300" simplePos="0" relativeHeight="251750400" behindDoc="0" locked="0" layoutInCell="1" allowOverlap="1" wp14:anchorId="7804F145" wp14:editId="115D8A65">
            <wp:simplePos x="0" y="0"/>
            <wp:positionH relativeFrom="column">
              <wp:posOffset>46355</wp:posOffset>
            </wp:positionH>
            <wp:positionV relativeFrom="paragraph">
              <wp:posOffset>84455</wp:posOffset>
            </wp:positionV>
            <wp:extent cx="6109335" cy="3596640"/>
            <wp:effectExtent l="0" t="0" r="5715" b="3810"/>
            <wp:wrapTopAndBottom/>
            <wp:docPr id="11214164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16477" name="Imagen 1"/>
                    <pic:cNvPicPr/>
                  </pic:nvPicPr>
                  <pic:blipFill>
                    <a:blip r:embed="rId51">
                      <a:extLst>
                        <a:ext uri="{28A0092B-C50C-407E-A947-70E740481C1C}">
                          <a14:useLocalDpi xmlns:a14="http://schemas.microsoft.com/office/drawing/2010/main" val="0"/>
                        </a:ext>
                      </a:extLst>
                    </a:blip>
                    <a:stretch>
                      <a:fillRect/>
                    </a:stretch>
                  </pic:blipFill>
                  <pic:spPr>
                    <a:xfrm>
                      <a:off x="0" y="0"/>
                      <a:ext cx="6109335" cy="3596640"/>
                    </a:xfrm>
                    <a:prstGeom prst="rect">
                      <a:avLst/>
                    </a:prstGeom>
                  </pic:spPr>
                </pic:pic>
              </a:graphicData>
            </a:graphic>
            <wp14:sizeRelH relativeFrom="page">
              <wp14:pctWidth>0</wp14:pctWidth>
            </wp14:sizeRelH>
            <wp14:sizeRelV relativeFrom="page">
              <wp14:pctHeight>0</wp14:pctHeight>
            </wp14:sizeRelV>
          </wp:anchor>
        </w:drawing>
      </w:r>
    </w:p>
    <w:p w14:paraId="707DFE07" w14:textId="76456DC5" w:rsidR="007A6AE2" w:rsidRPr="001C61AE" w:rsidRDefault="007A6AE2" w:rsidP="007A6AE2">
      <w:pPr>
        <w:spacing w:before="100" w:beforeAutospacing="1" w:after="0"/>
        <w:jc w:val="both"/>
        <w:rPr>
          <w:rFonts w:ascii="Arial" w:hAnsi="Arial" w:cs="Arial"/>
          <w:sz w:val="20"/>
          <w:szCs w:val="20"/>
          <w:lang w:val="sq-AL"/>
        </w:rPr>
      </w:pPr>
      <w:r w:rsidRPr="001C61AE">
        <w:rPr>
          <w:rFonts w:ascii="Arial" w:hAnsi="Arial" w:cs="Arial"/>
          <w:lang w:val="sq-AL"/>
        </w:rPr>
        <w:t xml:space="preserve">Furnizimi me energji është jetik për zhvillimin njerëzor dhe jetën. Rritja e temperaturave dhe reshjet intensive të shiut, si dhe ndryshimet në modelet e reshjeve, ka gjasa që ta zvogëlojnë prodhimin e energjisë dhe prodhimin e motorëve industrialë, ta rrisin nevojën për ftohje dhe ta zvogëlojnë disponueshmërinë e ujit. Këto efekte mund të çojnë në kosto më të larta të energjisë elektrike dhe rritje të shpenzimeve të energjisë për shkak të emetimeve më të larta të gazrave serrë dhe rënies së prodhimit të energjisë </w:t>
      </w:r>
      <w:r w:rsidRPr="001C61AE">
        <w:rPr>
          <w:rFonts w:ascii="Arial" w:hAnsi="Arial" w:cs="Arial"/>
          <w:i/>
          <w:iCs/>
          <w:lang w:val="sq-AL"/>
        </w:rPr>
        <w:t xml:space="preserve">(Figura </w:t>
      </w:r>
      <w:r w:rsidR="005A005C" w:rsidRPr="001C61AE">
        <w:rPr>
          <w:rFonts w:ascii="Arial" w:hAnsi="Arial" w:cs="Arial"/>
          <w:i/>
          <w:iCs/>
          <w:lang w:val="sq-AL"/>
        </w:rPr>
        <w:t>27</w:t>
      </w:r>
      <w:r w:rsidRPr="001C61AE">
        <w:rPr>
          <w:rFonts w:ascii="Arial" w:hAnsi="Arial" w:cs="Arial"/>
          <w:i/>
          <w:iCs/>
          <w:lang w:val="sq-AL"/>
        </w:rPr>
        <w:t>)</w:t>
      </w:r>
      <w:r w:rsidRPr="001C61AE">
        <w:rPr>
          <w:rFonts w:ascii="Arial" w:hAnsi="Arial" w:cs="Arial"/>
          <w:lang w:val="sq-AL"/>
        </w:rPr>
        <w:t>.” Siç është theksuar nga IPCC (2023) dhe Universiteti i Kembrixhit (2014), faktorët kryesorë të ndjeshmërisë në sektorin e energjisë janë konsumi i lartë i energjisë elektrike nga popullsia dhe ndjeshmëria ndaj përmbytjeve të infrastrukturës sektoriale, siç janë fermat diellore ose infrastruktura konvencionale e gjenerimit të energjisë. Për këto arsye, është jetike të vazhdohet puna për vetëkonsumin e energjisë dhe programet e ndërgjegjësimit mbi kursimin e energjisë</w:t>
      </w:r>
    </w:p>
    <w:p w14:paraId="191F8B07" w14:textId="1DBEBA16" w:rsidR="001D4FA1" w:rsidRPr="001C61AE" w:rsidRDefault="00A42DA8" w:rsidP="008E17FD">
      <w:pPr>
        <w:spacing w:before="100" w:beforeAutospacing="1"/>
        <w:jc w:val="both"/>
        <w:rPr>
          <w:rFonts w:ascii="Arial" w:eastAsia="Times New Roman" w:hAnsi="Arial" w:cs="Arial"/>
          <w:b/>
          <w:bCs/>
          <w:kern w:val="0"/>
          <w:lang w:val="sq-AL" w:eastAsia="es-ES"/>
          <w14:ligatures w14:val="none"/>
        </w:rPr>
      </w:pPr>
      <w:r w:rsidRPr="001C61AE">
        <w:rPr>
          <w:rFonts w:ascii="Arial" w:eastAsia="Times New Roman" w:hAnsi="Arial" w:cs="Arial"/>
          <w:b/>
          <w:bCs/>
          <w:kern w:val="0"/>
          <w:lang w:val="sq-AL" w:eastAsia="es-ES"/>
          <w14:ligatures w14:val="none"/>
        </w:rPr>
        <w:lastRenderedPageBreak/>
        <w:t>Përparësitë</w:t>
      </w:r>
      <w:r w:rsidR="00346EBD" w:rsidRPr="001C61AE">
        <w:rPr>
          <w:rFonts w:ascii="Arial" w:eastAsia="Times New Roman" w:hAnsi="Arial" w:cs="Arial"/>
          <w:b/>
          <w:bCs/>
          <w:kern w:val="0"/>
          <w:lang w:val="sq-AL" w:eastAsia="es-ES"/>
          <w14:ligatures w14:val="none"/>
        </w:rPr>
        <w:t xml:space="preserve"> </w:t>
      </w:r>
      <w:r w:rsidR="00CF6374" w:rsidRPr="001C61AE">
        <w:rPr>
          <w:rFonts w:ascii="Arial" w:eastAsia="Times New Roman" w:hAnsi="Arial" w:cs="Arial"/>
          <w:b/>
          <w:bCs/>
          <w:kern w:val="0"/>
          <w:lang w:val="sq-AL" w:eastAsia="es-ES"/>
          <w14:ligatures w14:val="none"/>
        </w:rPr>
        <w:t xml:space="preserve">, </w:t>
      </w:r>
      <w:r w:rsidR="00346EBD" w:rsidRPr="001C61AE">
        <w:rPr>
          <w:rFonts w:ascii="Arial" w:eastAsia="Times New Roman" w:hAnsi="Arial" w:cs="Arial"/>
          <w:b/>
          <w:bCs/>
          <w:kern w:val="0"/>
          <w:lang w:val="sq-AL" w:eastAsia="es-ES"/>
          <w14:ligatures w14:val="none"/>
        </w:rPr>
        <w:t xml:space="preserve">mangësitë </w:t>
      </w:r>
      <w:r w:rsidR="00CF6374" w:rsidRPr="001C61AE">
        <w:rPr>
          <w:rFonts w:ascii="Arial" w:eastAsia="Times New Roman" w:hAnsi="Arial" w:cs="Arial"/>
          <w:b/>
          <w:bCs/>
          <w:kern w:val="0"/>
          <w:lang w:val="sq-AL" w:eastAsia="es-ES"/>
          <w14:ligatures w14:val="none"/>
        </w:rPr>
        <w:t>, mundësitë dhe kërcënimet</w:t>
      </w:r>
    </w:p>
    <w:p w14:paraId="32AF2992" w14:textId="4DAE9C93" w:rsidR="00CF6374" w:rsidRPr="001C61AE" w:rsidRDefault="00CF6374" w:rsidP="00CF6374">
      <w:pPr>
        <w:spacing w:line="240" w:lineRule="auto"/>
        <w:jc w:val="both"/>
        <w:rPr>
          <w:rFonts w:ascii="Arial" w:hAnsi="Arial" w:cs="Arial"/>
          <w:lang w:val="sq-AL"/>
        </w:rPr>
      </w:pPr>
      <w:r w:rsidRPr="001C61AE">
        <w:rPr>
          <w:rFonts w:ascii="Arial" w:hAnsi="Arial" w:cs="Arial"/>
          <w:lang w:val="sq-AL"/>
        </w:rPr>
        <w:t xml:space="preserve">Tabela më poshtë ofron një analizë SWOT të sektorit të energjisë në Kosovë, duke përshkruar </w:t>
      </w:r>
      <w:r w:rsidR="00346EBD" w:rsidRPr="001C61AE">
        <w:rPr>
          <w:rFonts w:ascii="Arial" w:hAnsi="Arial" w:cs="Arial"/>
          <w:lang w:val="sq-AL"/>
        </w:rPr>
        <w:t xml:space="preserve">përparësitë </w:t>
      </w:r>
      <w:r w:rsidRPr="001C61AE">
        <w:rPr>
          <w:rFonts w:ascii="Arial" w:hAnsi="Arial" w:cs="Arial"/>
          <w:lang w:val="sq-AL"/>
        </w:rPr>
        <w:t xml:space="preserve">dhe </w:t>
      </w:r>
      <w:r w:rsidR="00346EBD" w:rsidRPr="001C61AE">
        <w:rPr>
          <w:rFonts w:ascii="Arial" w:hAnsi="Arial" w:cs="Arial"/>
          <w:lang w:val="sq-AL"/>
        </w:rPr>
        <w:t xml:space="preserve">mangësitë e </w:t>
      </w:r>
      <w:r w:rsidRPr="001C61AE">
        <w:rPr>
          <w:rFonts w:ascii="Arial" w:hAnsi="Arial" w:cs="Arial"/>
          <w:lang w:val="sq-AL"/>
        </w:rPr>
        <w:t>brendshme, si dhe mundësitë dhe kërcënimet e jashtme me të cilat përballet vendi në reagimin ndaj ndryshimeve klimatike dhe në promovimin e menaxhimit të qëndrueshëm të burimeve të saj të energjisë</w:t>
      </w:r>
      <w:r w:rsidR="001D4FA1" w:rsidRPr="001C61AE">
        <w:rPr>
          <w:rFonts w:ascii="Arial" w:hAnsi="Arial" w:cs="Arial"/>
          <w:lang w:val="sq-AL"/>
        </w:rPr>
        <w:t>.</w:t>
      </w:r>
    </w:p>
    <w:tbl>
      <w:tblPr>
        <w:tblStyle w:val="GridTable1Light"/>
        <w:tblW w:w="5000" w:type="pct"/>
        <w:tblLook w:val="04A0" w:firstRow="1" w:lastRow="0" w:firstColumn="1" w:lastColumn="0" w:noHBand="0" w:noVBand="1"/>
      </w:tblPr>
      <w:tblGrid>
        <w:gridCol w:w="2164"/>
        <w:gridCol w:w="2294"/>
        <w:gridCol w:w="2592"/>
        <w:gridCol w:w="3146"/>
      </w:tblGrid>
      <w:tr w:rsidR="00CF6374" w:rsidRPr="001C61AE" w14:paraId="1922D58B" w14:textId="77777777" w:rsidTr="00A706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1" w:type="pct"/>
            <w:shd w:val="clear" w:color="auto" w:fill="F2F2F2" w:themeFill="background1" w:themeFillShade="F2"/>
            <w:hideMark/>
          </w:tcPr>
          <w:p w14:paraId="04DA917F" w14:textId="6713C559" w:rsidR="00CF6374" w:rsidRPr="001C61AE" w:rsidRDefault="00346EBD" w:rsidP="00A70686">
            <w:pPr>
              <w:jc w:val="center"/>
              <w:rPr>
                <w:rFonts w:ascii="Arial" w:hAnsi="Arial" w:cs="Arial"/>
                <w:sz w:val="18"/>
                <w:szCs w:val="18"/>
                <w:lang w:val="sq-AL"/>
              </w:rPr>
            </w:pPr>
            <w:r w:rsidRPr="001C61AE">
              <w:rPr>
                <w:rFonts w:ascii="Arial" w:hAnsi="Arial" w:cs="Arial"/>
                <w:sz w:val="18"/>
                <w:szCs w:val="18"/>
                <w:lang w:val="sq-AL"/>
              </w:rPr>
              <w:t xml:space="preserve">Përparësite </w:t>
            </w:r>
            <w:r w:rsidR="00CF6374" w:rsidRPr="001C61AE">
              <w:rPr>
                <w:rFonts w:ascii="Arial" w:hAnsi="Arial" w:cs="Arial"/>
                <w:sz w:val="18"/>
                <w:szCs w:val="18"/>
                <w:lang w:val="sq-AL"/>
              </w:rPr>
              <w:t xml:space="preserve">( </w:t>
            </w:r>
            <w:r w:rsidRPr="001C61AE">
              <w:rPr>
                <w:rFonts w:ascii="Arial" w:hAnsi="Arial" w:cs="Arial"/>
                <w:sz w:val="18"/>
                <w:szCs w:val="18"/>
                <w:lang w:val="sq-AL"/>
              </w:rPr>
              <w:t xml:space="preserve">e </w:t>
            </w:r>
            <w:r w:rsidR="00CF6374" w:rsidRPr="001C61AE">
              <w:rPr>
                <w:rFonts w:ascii="Arial" w:hAnsi="Arial" w:cs="Arial"/>
                <w:sz w:val="18"/>
                <w:szCs w:val="18"/>
                <w:lang w:val="sq-AL"/>
              </w:rPr>
              <w:t>brendshme)</w:t>
            </w:r>
          </w:p>
        </w:tc>
        <w:tc>
          <w:tcPr>
            <w:tcW w:w="1125" w:type="pct"/>
            <w:shd w:val="clear" w:color="auto" w:fill="F2F2F2" w:themeFill="background1" w:themeFillShade="F2"/>
            <w:hideMark/>
          </w:tcPr>
          <w:p w14:paraId="500C653D" w14:textId="0D661F61" w:rsidR="00CF6374" w:rsidRPr="001C61AE" w:rsidRDefault="00346EBD" w:rsidP="00A7068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lang w:val="sq-AL"/>
              </w:rPr>
            </w:pPr>
            <w:r w:rsidRPr="001C61AE">
              <w:rPr>
                <w:rFonts w:ascii="Arial" w:hAnsi="Arial" w:cs="Arial"/>
                <w:sz w:val="18"/>
                <w:szCs w:val="18"/>
                <w:lang w:val="sq-AL"/>
              </w:rPr>
              <w:t xml:space="preserve">Mangësitë </w:t>
            </w:r>
            <w:r w:rsidR="00CF6374" w:rsidRPr="001C61AE">
              <w:rPr>
                <w:rFonts w:ascii="Arial" w:hAnsi="Arial" w:cs="Arial"/>
                <w:sz w:val="18"/>
                <w:szCs w:val="18"/>
                <w:lang w:val="sq-AL"/>
              </w:rPr>
              <w:t>(</w:t>
            </w:r>
            <w:r w:rsidRPr="001C61AE">
              <w:rPr>
                <w:rFonts w:ascii="Arial" w:hAnsi="Arial" w:cs="Arial"/>
                <w:sz w:val="18"/>
                <w:szCs w:val="18"/>
                <w:lang w:val="sq-AL"/>
              </w:rPr>
              <w:t xml:space="preserve">e </w:t>
            </w:r>
            <w:r w:rsidR="00826BEF" w:rsidRPr="001C61AE">
              <w:rPr>
                <w:rFonts w:ascii="Arial" w:hAnsi="Arial" w:cs="Arial"/>
                <w:color w:val="FF0000"/>
                <w:sz w:val="18"/>
                <w:szCs w:val="18"/>
                <w:lang w:val="sq-AL"/>
              </w:rPr>
              <w:t xml:space="preserve"> </w:t>
            </w:r>
            <w:r w:rsidR="00CF6374" w:rsidRPr="001C61AE">
              <w:rPr>
                <w:rFonts w:ascii="Arial" w:hAnsi="Arial" w:cs="Arial"/>
                <w:sz w:val="18"/>
                <w:szCs w:val="18"/>
                <w:lang w:val="sq-AL"/>
              </w:rPr>
              <w:t>brendshme)</w:t>
            </w:r>
          </w:p>
        </w:tc>
        <w:tc>
          <w:tcPr>
            <w:tcW w:w="1271" w:type="pct"/>
            <w:shd w:val="clear" w:color="auto" w:fill="F2F2F2" w:themeFill="background1" w:themeFillShade="F2"/>
            <w:hideMark/>
          </w:tcPr>
          <w:p w14:paraId="0694C688" w14:textId="77777777" w:rsidR="00CF6374" w:rsidRPr="001C61AE" w:rsidRDefault="00CF6374" w:rsidP="00A7068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 xml:space="preserve">Mundësitë (të </w:t>
            </w:r>
            <w:r w:rsidRPr="001C61AE">
              <w:rPr>
                <w:rFonts w:ascii="Arial" w:hAnsi="Arial" w:cs="Arial"/>
                <w:sz w:val="18"/>
                <w:szCs w:val="18"/>
                <w:lang w:val="sq-AL"/>
              </w:rPr>
              <w:br/>
              <w:t>jashtme)</w:t>
            </w:r>
          </w:p>
        </w:tc>
        <w:tc>
          <w:tcPr>
            <w:tcW w:w="1543" w:type="pct"/>
            <w:shd w:val="clear" w:color="auto" w:fill="F2F2F2" w:themeFill="background1" w:themeFillShade="F2"/>
            <w:hideMark/>
          </w:tcPr>
          <w:p w14:paraId="1490FC11" w14:textId="77777777" w:rsidR="00CF6374" w:rsidRPr="001C61AE" w:rsidRDefault="00CF6374" w:rsidP="00A7068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 xml:space="preserve">Kërcënimet (të </w:t>
            </w:r>
            <w:r w:rsidRPr="001C61AE">
              <w:rPr>
                <w:rFonts w:ascii="Arial" w:hAnsi="Arial" w:cs="Arial"/>
                <w:sz w:val="18"/>
                <w:szCs w:val="18"/>
                <w:lang w:val="sq-AL"/>
              </w:rPr>
              <w:br/>
              <w:t>jashtme)</w:t>
            </w:r>
          </w:p>
        </w:tc>
      </w:tr>
      <w:tr w:rsidR="00CF6374" w:rsidRPr="001C61AE" w14:paraId="1B0824B2" w14:textId="77777777" w:rsidTr="00A70686">
        <w:tc>
          <w:tcPr>
            <w:cnfStyle w:val="001000000000" w:firstRow="0" w:lastRow="0" w:firstColumn="1" w:lastColumn="0" w:oddVBand="0" w:evenVBand="0" w:oddHBand="0" w:evenHBand="0" w:firstRowFirstColumn="0" w:firstRowLastColumn="0" w:lastRowFirstColumn="0" w:lastRowLastColumn="0"/>
            <w:tcW w:w="1061" w:type="pct"/>
            <w:hideMark/>
          </w:tcPr>
          <w:p w14:paraId="68670644" w14:textId="60BBD64E" w:rsidR="00CF6374" w:rsidRPr="001C61AE" w:rsidRDefault="00CF6374" w:rsidP="00F36447">
            <w:pPr>
              <w:pStyle w:val="ListParagraph"/>
              <w:numPr>
                <w:ilvl w:val="1"/>
                <w:numId w:val="8"/>
              </w:numPr>
              <w:spacing w:before="100" w:beforeAutospacing="1" w:after="100" w:afterAutospacing="1"/>
              <w:ind w:left="150" w:hanging="150"/>
              <w:jc w:val="both"/>
              <w:rPr>
                <w:rFonts w:ascii="Arial" w:hAnsi="Arial" w:cs="Arial"/>
                <w:b w:val="0"/>
                <w:bCs w:val="0"/>
                <w:sz w:val="18"/>
                <w:szCs w:val="18"/>
                <w:lang w:val="sq-AL"/>
              </w:rPr>
            </w:pPr>
            <w:r w:rsidRPr="001C61AE">
              <w:rPr>
                <w:rFonts w:ascii="Arial" w:hAnsi="Arial" w:cs="Arial"/>
                <w:sz w:val="18"/>
                <w:szCs w:val="18"/>
                <w:lang w:val="sq-AL"/>
              </w:rPr>
              <w:t xml:space="preserve">Politika dhe Korniza Ligjore në Zhvillim: </w:t>
            </w:r>
            <w:r w:rsidRPr="001C61AE">
              <w:rPr>
                <w:rFonts w:ascii="Arial" w:hAnsi="Arial" w:cs="Arial"/>
                <w:b w:val="0"/>
                <w:bCs w:val="0"/>
                <w:sz w:val="18"/>
                <w:szCs w:val="18"/>
                <w:lang w:val="sq-AL"/>
              </w:rPr>
              <w:t xml:space="preserve">Kosova ka krijuar themele të forta ligjore dhe strategjike përmes Ligjit të </w:t>
            </w:r>
            <w:r w:rsidR="00602281" w:rsidRPr="001C61AE">
              <w:rPr>
                <w:rFonts w:ascii="Arial" w:hAnsi="Arial" w:cs="Arial"/>
                <w:b w:val="0"/>
                <w:bCs w:val="0"/>
                <w:sz w:val="18"/>
                <w:szCs w:val="18"/>
                <w:lang w:val="sq-AL"/>
              </w:rPr>
              <w:t xml:space="preserve">Klimës të vitit </w:t>
            </w:r>
            <w:r w:rsidRPr="001C61AE">
              <w:rPr>
                <w:rFonts w:ascii="Arial" w:hAnsi="Arial" w:cs="Arial"/>
                <w:b w:val="0"/>
                <w:bCs w:val="0"/>
                <w:sz w:val="18"/>
                <w:szCs w:val="18"/>
                <w:lang w:val="sq-AL"/>
              </w:rPr>
              <w:t>202</w:t>
            </w:r>
            <w:r w:rsidR="00E461BD" w:rsidRPr="001C61AE">
              <w:rPr>
                <w:rFonts w:ascii="Arial" w:hAnsi="Arial" w:cs="Arial"/>
                <w:b w:val="0"/>
                <w:bCs w:val="0"/>
                <w:sz w:val="18"/>
                <w:szCs w:val="18"/>
                <w:lang w:val="sq-AL"/>
              </w:rPr>
              <w:t>4</w:t>
            </w:r>
            <w:r w:rsidRPr="001C61AE">
              <w:rPr>
                <w:rFonts w:ascii="Arial" w:hAnsi="Arial" w:cs="Arial"/>
                <w:b w:val="0"/>
                <w:bCs w:val="0"/>
                <w:sz w:val="18"/>
                <w:szCs w:val="18"/>
                <w:lang w:val="sq-AL"/>
              </w:rPr>
              <w:t xml:space="preserve"> dhe Strategjisë së Energjisë 2022–2031, duke mbështetur objektivat e përshtatjes ndaj klimës dhe tranzicionit energjetik.</w:t>
            </w:r>
          </w:p>
          <w:p w14:paraId="53685790" w14:textId="77777777" w:rsidR="00CF6374" w:rsidRPr="001C61AE" w:rsidRDefault="00CF6374" w:rsidP="00F36447">
            <w:pPr>
              <w:pStyle w:val="ListParagraph"/>
              <w:numPr>
                <w:ilvl w:val="1"/>
                <w:numId w:val="8"/>
              </w:numPr>
              <w:spacing w:before="100" w:beforeAutospacing="1" w:after="100" w:afterAutospacing="1"/>
              <w:ind w:left="150" w:hanging="150"/>
              <w:jc w:val="both"/>
              <w:rPr>
                <w:rFonts w:ascii="Arial" w:hAnsi="Arial" w:cs="Arial"/>
                <w:b w:val="0"/>
                <w:bCs w:val="0"/>
                <w:sz w:val="18"/>
                <w:szCs w:val="18"/>
                <w:lang w:val="sq-AL"/>
              </w:rPr>
            </w:pPr>
            <w:r w:rsidRPr="001C61AE">
              <w:rPr>
                <w:rFonts w:ascii="Arial" w:hAnsi="Arial" w:cs="Arial"/>
                <w:sz w:val="18"/>
                <w:szCs w:val="18"/>
                <w:lang w:val="sq-AL"/>
              </w:rPr>
              <w:t xml:space="preserve">Potenciali dhe Iniciativat e Energjisë së Rinovueshme: </w:t>
            </w:r>
            <w:r w:rsidRPr="001C61AE">
              <w:rPr>
                <w:rFonts w:ascii="Arial" w:hAnsi="Arial" w:cs="Arial"/>
                <w:b w:val="0"/>
                <w:bCs w:val="0"/>
                <w:sz w:val="18"/>
                <w:szCs w:val="18"/>
                <w:lang w:val="sq-AL"/>
              </w:rPr>
              <w:t>Kosova ka burime të konsiderueshme të rinovueshme, me plane për të instaluar 1.6 GW kapacitet të energjisë nga era dhe dielli deri në vitin 2031, duke rritur burimet e rinovueshme të energjisë nga ~6% në 35% të konsumit. Një projekt i ruajtjes së baterive prej 170 MW do të rrisë më tej fleksibilitetin e sistemit.</w:t>
            </w:r>
          </w:p>
          <w:p w14:paraId="64F408A0" w14:textId="77777777" w:rsidR="00CF6374" w:rsidRPr="001C61AE" w:rsidRDefault="00CF6374" w:rsidP="00F36447">
            <w:pPr>
              <w:pStyle w:val="ListParagraph"/>
              <w:numPr>
                <w:ilvl w:val="1"/>
                <w:numId w:val="8"/>
              </w:numPr>
              <w:spacing w:before="100" w:beforeAutospacing="1" w:after="100" w:afterAutospacing="1"/>
              <w:ind w:left="150" w:hanging="150"/>
              <w:jc w:val="both"/>
              <w:rPr>
                <w:rFonts w:ascii="Arial" w:hAnsi="Arial" w:cs="Arial"/>
                <w:b w:val="0"/>
                <w:bCs w:val="0"/>
                <w:sz w:val="18"/>
                <w:szCs w:val="18"/>
                <w:lang w:val="sq-AL"/>
              </w:rPr>
            </w:pPr>
            <w:r w:rsidRPr="001C61AE">
              <w:rPr>
                <w:rFonts w:ascii="Arial" w:hAnsi="Arial" w:cs="Arial"/>
                <w:sz w:val="18"/>
                <w:szCs w:val="18"/>
                <w:lang w:val="sq-AL"/>
              </w:rPr>
              <w:t xml:space="preserve">Integrimi dhe Bashkëpunimi Rajonal: </w:t>
            </w:r>
            <w:r w:rsidRPr="001C61AE">
              <w:rPr>
                <w:rFonts w:ascii="Arial" w:hAnsi="Arial" w:cs="Arial"/>
                <w:b w:val="0"/>
                <w:bCs w:val="0"/>
                <w:sz w:val="18"/>
                <w:szCs w:val="18"/>
                <w:lang w:val="sq-AL"/>
              </w:rPr>
              <w:t>Integrimi me sistemet rajonale si ALPEX dhe respektimi i standardeve ENTSO-E forcojnë stabilitetin e rrjetit ndërkufitar, ndërsa bashkëpunimi me fqinjët siguron qëndrueshmëri shtesë.</w:t>
            </w:r>
          </w:p>
          <w:p w14:paraId="00FBCFC0" w14:textId="77777777" w:rsidR="00CF6374" w:rsidRPr="001C61AE" w:rsidRDefault="00CF6374" w:rsidP="00F36447">
            <w:pPr>
              <w:pStyle w:val="ListParagraph"/>
              <w:numPr>
                <w:ilvl w:val="1"/>
                <w:numId w:val="8"/>
              </w:numPr>
              <w:spacing w:before="100" w:beforeAutospacing="1" w:after="100" w:afterAutospacing="1"/>
              <w:ind w:left="150" w:hanging="150"/>
              <w:jc w:val="both"/>
              <w:rPr>
                <w:rFonts w:ascii="Arial" w:hAnsi="Arial" w:cs="Arial"/>
                <w:b w:val="0"/>
                <w:bCs w:val="0"/>
                <w:sz w:val="18"/>
                <w:szCs w:val="18"/>
                <w:lang w:val="sq-AL"/>
              </w:rPr>
            </w:pPr>
            <w:r w:rsidRPr="001C61AE">
              <w:rPr>
                <w:rFonts w:ascii="Arial" w:hAnsi="Arial" w:cs="Arial"/>
                <w:sz w:val="18"/>
                <w:szCs w:val="18"/>
                <w:lang w:val="sq-AL"/>
              </w:rPr>
              <w:t xml:space="preserve">Baza Institucionale dhe Infrastrukturore: </w:t>
            </w:r>
            <w:r w:rsidRPr="001C61AE">
              <w:rPr>
                <w:rFonts w:ascii="Arial" w:hAnsi="Arial" w:cs="Arial"/>
                <w:b w:val="0"/>
                <w:bCs w:val="0"/>
                <w:sz w:val="18"/>
                <w:szCs w:val="18"/>
                <w:lang w:val="sq-AL"/>
              </w:rPr>
              <w:t xml:space="preserve">Institucionet ekzistuese (KOSTT, Zyra e Rregullatorit të Energjisë) dhe përpjekjet e </w:t>
            </w:r>
            <w:r w:rsidRPr="001C61AE">
              <w:rPr>
                <w:rFonts w:ascii="Arial" w:hAnsi="Arial" w:cs="Arial"/>
                <w:b w:val="0"/>
                <w:bCs w:val="0"/>
                <w:sz w:val="18"/>
                <w:szCs w:val="18"/>
                <w:lang w:val="sq-AL"/>
              </w:rPr>
              <w:lastRenderedPageBreak/>
              <w:t>vazhdueshme për modernizimin e rrjetit (përforcimi i rrjeteve të transmetimit) ofrojnë një bazë të fortë për rritjen e qëndrueshmërisë.</w:t>
            </w:r>
          </w:p>
          <w:p w14:paraId="575DA242" w14:textId="21196519" w:rsidR="00CF6374" w:rsidRPr="001C61AE" w:rsidRDefault="00CF6374" w:rsidP="00F36447">
            <w:pPr>
              <w:pStyle w:val="ListParagraph"/>
              <w:numPr>
                <w:ilvl w:val="1"/>
                <w:numId w:val="8"/>
              </w:numPr>
              <w:spacing w:before="100" w:beforeAutospacing="1" w:after="100" w:afterAutospacing="1"/>
              <w:ind w:left="150" w:hanging="150"/>
              <w:jc w:val="both"/>
              <w:rPr>
                <w:rFonts w:ascii="Arial" w:hAnsi="Arial" w:cs="Arial"/>
                <w:b w:val="0"/>
                <w:bCs w:val="0"/>
                <w:sz w:val="18"/>
                <w:szCs w:val="18"/>
                <w:lang w:val="sq-AL"/>
              </w:rPr>
            </w:pPr>
            <w:r w:rsidRPr="001C61AE">
              <w:rPr>
                <w:rFonts w:ascii="Arial" w:hAnsi="Arial" w:cs="Arial"/>
                <w:i/>
                <w:iCs/>
                <w:sz w:val="18"/>
                <w:szCs w:val="18"/>
                <w:lang w:val="sq-AL"/>
              </w:rPr>
              <w:t xml:space="preserve"> </w:t>
            </w:r>
            <w:r w:rsidRPr="001C61AE">
              <w:rPr>
                <w:rFonts w:ascii="Arial" w:hAnsi="Arial" w:cs="Arial"/>
                <w:sz w:val="18"/>
                <w:szCs w:val="18"/>
                <w:lang w:val="sq-AL"/>
              </w:rPr>
              <w:t>Mbështetje e Jashtme dhe Disponueshmëria e Financimit:</w:t>
            </w:r>
            <w:r w:rsidRPr="001C61AE">
              <w:rPr>
                <w:rFonts w:ascii="Arial" w:hAnsi="Arial" w:cs="Arial"/>
                <w:b w:val="0"/>
                <w:bCs w:val="0"/>
                <w:sz w:val="18"/>
                <w:szCs w:val="18"/>
                <w:lang w:val="sq-AL"/>
              </w:rPr>
              <w:t xml:space="preserve"> Kosova përfiton nga mbështetja e konsiderueshme e donatorëve dhe qasja në financimin e klimës, duke përfshirë financimin nga MCC, Banka Botërore dhe BE</w:t>
            </w:r>
            <w:r w:rsidRPr="001C61AE">
              <w:rPr>
                <w:rFonts w:ascii="Arial" w:hAnsi="Arial" w:cs="Arial"/>
                <w:b w:val="0"/>
                <w:bCs w:val="0"/>
                <w:i/>
                <w:iCs/>
                <w:sz w:val="18"/>
                <w:szCs w:val="18"/>
                <w:lang w:val="sq-AL"/>
              </w:rPr>
              <w:t>. *projekti aktualisht është pezulluar</w:t>
            </w:r>
          </w:p>
          <w:p w14:paraId="3E26AFF2" w14:textId="77777777" w:rsidR="00CF6374" w:rsidRPr="001C61AE" w:rsidRDefault="00CF6374" w:rsidP="00A70686">
            <w:pPr>
              <w:spacing w:before="100" w:beforeAutospacing="1" w:after="100" w:afterAutospacing="1"/>
              <w:jc w:val="both"/>
              <w:rPr>
                <w:rFonts w:ascii="Arial" w:hAnsi="Arial" w:cs="Arial"/>
                <w:b w:val="0"/>
                <w:bCs w:val="0"/>
                <w:sz w:val="18"/>
                <w:szCs w:val="18"/>
                <w:lang w:val="sq-AL"/>
              </w:rPr>
            </w:pPr>
          </w:p>
        </w:tc>
        <w:tc>
          <w:tcPr>
            <w:tcW w:w="1125" w:type="pct"/>
            <w:hideMark/>
          </w:tcPr>
          <w:p w14:paraId="6D38A06B" w14:textId="3F27340B" w:rsidR="00CF6374" w:rsidRPr="001C61AE" w:rsidRDefault="00CF6374" w:rsidP="00F36447">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lastRenderedPageBreak/>
              <w:t xml:space="preserve">Varësia </w:t>
            </w:r>
            <w:r w:rsidR="00E461BD" w:rsidRPr="001C61AE">
              <w:rPr>
                <w:rFonts w:ascii="Arial" w:hAnsi="Arial" w:cs="Arial"/>
                <w:b/>
                <w:bCs/>
                <w:sz w:val="18"/>
                <w:szCs w:val="18"/>
                <w:lang w:val="sq-AL"/>
              </w:rPr>
              <w:t>nga një risurs energjetik</w:t>
            </w:r>
            <w:r w:rsidRPr="001C61AE">
              <w:rPr>
                <w:rFonts w:ascii="Arial" w:hAnsi="Arial" w:cs="Arial"/>
                <w:b/>
                <w:bCs/>
                <w:sz w:val="18"/>
                <w:szCs w:val="18"/>
                <w:lang w:val="sq-AL"/>
              </w:rPr>
              <w:t>:</w:t>
            </w:r>
            <w:r w:rsidRPr="001C61AE">
              <w:rPr>
                <w:rFonts w:ascii="Arial" w:hAnsi="Arial" w:cs="Arial"/>
                <w:sz w:val="18"/>
                <w:szCs w:val="18"/>
                <w:lang w:val="sq-AL"/>
              </w:rPr>
              <w:t xml:space="preserve"> Mbi 90% e energjisë elektrike rrjedh nga termocentralet me linjit (Kosova A dhe B), duke shkaktuar </w:t>
            </w:r>
            <w:r w:rsidR="00E461BD" w:rsidRPr="001C61AE">
              <w:rPr>
                <w:rFonts w:ascii="Arial" w:hAnsi="Arial" w:cs="Arial"/>
                <w:sz w:val="18"/>
                <w:szCs w:val="18"/>
                <w:lang w:val="sq-AL"/>
              </w:rPr>
              <w:t xml:space="preserve">varësi në një sistem të vetëm, i cili rrezikohet nga vërshimet (sipas hartave të rrezikshmërisë së vërshimeve për infrastrukturë kritike) dhe nuk mjafton për gjenerim të energjisë termike dhe elektrike në raste të ngritjes së nevojës për energji si rrjedhojë e valëve të nxehtit ose motit ekstrem. </w:t>
            </w:r>
          </w:p>
          <w:p w14:paraId="306F09FB" w14:textId="77777777" w:rsidR="00CF6374" w:rsidRPr="001C61AE" w:rsidRDefault="00CF6374" w:rsidP="00F36447">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Infrastrukturë e vjetëruar dhe joefikase:</w:t>
            </w:r>
            <w:r w:rsidRPr="001C61AE">
              <w:rPr>
                <w:rFonts w:ascii="Arial" w:hAnsi="Arial" w:cs="Arial"/>
                <w:sz w:val="18"/>
                <w:szCs w:val="18"/>
                <w:lang w:val="sq-AL"/>
              </w:rPr>
              <w:t xml:space="preserve"> Rrjeti i vjetëruar i energjisë elektrike përballet me humbje të larta (~24–25%) dhe rezistencë të kufizuar ndaj klimës, duke shkaktuar joefikasitet dhe ndjeshmëri ndaj çrregullimeve klimatike.</w:t>
            </w:r>
          </w:p>
          <w:p w14:paraId="2EDEA53F" w14:textId="77777777" w:rsidR="00CF6374" w:rsidRPr="001C61AE" w:rsidRDefault="00CF6374" w:rsidP="00F36447">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Furnizim i Ulët i Energjisë së Rinovueshme dhe i Diversifikuar: </w:t>
            </w:r>
            <w:r w:rsidRPr="001C61AE">
              <w:rPr>
                <w:rFonts w:ascii="Arial" w:hAnsi="Arial" w:cs="Arial"/>
                <w:sz w:val="18"/>
                <w:szCs w:val="18"/>
                <w:lang w:val="sq-AL"/>
              </w:rPr>
              <w:t>Pavarësisht potencialit të konsiderueshëm, burimet e rinovueshme aktualisht përfaqësojnë vetëm ~6% të përzierjes së energjisë. Mungesa e infrastrukturës së gazit natyror dhe kapaciteti i kufizuar i hidrocentraleve zvogëlojnë fleksibilitetin e sistemit energjetik.</w:t>
            </w:r>
          </w:p>
          <w:p w14:paraId="2E762B2B" w14:textId="77777777" w:rsidR="00CF6374" w:rsidRPr="001C61AE" w:rsidRDefault="00CF6374" w:rsidP="00F36447">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Mangësitë Institucionale të </w:t>
            </w:r>
            <w:r w:rsidRPr="001C61AE">
              <w:rPr>
                <w:rFonts w:ascii="Arial" w:hAnsi="Arial" w:cs="Arial"/>
                <w:b/>
                <w:bCs/>
                <w:sz w:val="18"/>
                <w:szCs w:val="18"/>
                <w:lang w:val="sq-AL"/>
              </w:rPr>
              <w:lastRenderedPageBreak/>
              <w:t xml:space="preserve">Kapacitetit: </w:t>
            </w:r>
            <w:r w:rsidRPr="001C61AE">
              <w:rPr>
                <w:rFonts w:ascii="Arial" w:hAnsi="Arial" w:cs="Arial"/>
                <w:sz w:val="18"/>
                <w:szCs w:val="18"/>
                <w:lang w:val="sq-AL"/>
              </w:rPr>
              <w:t>Koordinimi i kufizuar dhe kapaciteti teknik për planifikimin e energjisë që i përgjigjet klimës ngadalësojnë zbatimin e masave të përshtatjes, duke penguar menaxhimin proaktiv të rreziqeve klimatike.</w:t>
            </w:r>
          </w:p>
          <w:p w14:paraId="0662DCD4" w14:textId="77777777" w:rsidR="00CF6374" w:rsidRPr="001C61AE" w:rsidRDefault="00CF6374" w:rsidP="00F36447">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Kufizime Financiare dhe Ekonomike: </w:t>
            </w:r>
            <w:r w:rsidRPr="001C61AE">
              <w:rPr>
                <w:rFonts w:ascii="Arial" w:hAnsi="Arial" w:cs="Arial"/>
                <w:sz w:val="18"/>
                <w:szCs w:val="18"/>
                <w:lang w:val="sq-AL"/>
              </w:rPr>
              <w:t>Mungesat financiare, fondet e kufizuara publike, vështirësitë financiare të shërbimeve dhe nivelet e larta të varfërisë pengojnë investimet e nevojshme për energjinë e rinovueshme dhe infrastrukturën elastike.</w:t>
            </w:r>
          </w:p>
          <w:p w14:paraId="19BE5A14" w14:textId="77777777" w:rsidR="00CF6374" w:rsidRPr="001C61AE" w:rsidRDefault="00CF6374" w:rsidP="00A7068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p>
          <w:p w14:paraId="3692796C" w14:textId="77777777" w:rsidR="00CF6374" w:rsidRPr="001C61AE" w:rsidRDefault="00CF6374" w:rsidP="00A7068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p>
        </w:tc>
        <w:tc>
          <w:tcPr>
            <w:tcW w:w="1271" w:type="pct"/>
            <w:hideMark/>
          </w:tcPr>
          <w:p w14:paraId="2C48FB01" w14:textId="5E0458D2" w:rsidR="00CF6374" w:rsidRPr="001C61AE" w:rsidRDefault="00CF6374" w:rsidP="00F36447">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lastRenderedPageBreak/>
              <w:t xml:space="preserve">Përputhja me Politikat e BE-së dhe Axhendën e Gjelbër: </w:t>
            </w:r>
            <w:r w:rsidRPr="001C61AE">
              <w:rPr>
                <w:rFonts w:ascii="Arial" w:hAnsi="Arial" w:cs="Arial"/>
                <w:sz w:val="18"/>
                <w:szCs w:val="18"/>
                <w:lang w:val="sq-AL"/>
              </w:rPr>
              <w:t>Përputhja e Kosovës me politikat e BE-së (Deklarata e Sofjes) hap qasje në financim, asistencë teknike dhe nxit investime në energji më të pastra dhe elastike.</w:t>
            </w:r>
          </w:p>
          <w:p w14:paraId="06D215E1" w14:textId="77777777" w:rsidR="00CF6374" w:rsidRPr="001C61AE" w:rsidRDefault="00CF6374" w:rsidP="00F36447">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Zgjerimi i Energjisë së Rinovueshme: </w:t>
            </w:r>
            <w:r w:rsidRPr="001C61AE">
              <w:rPr>
                <w:rFonts w:ascii="Arial" w:hAnsi="Arial" w:cs="Arial"/>
                <w:sz w:val="18"/>
                <w:szCs w:val="18"/>
                <w:lang w:val="sq-AL"/>
              </w:rPr>
              <w:t>Potenciali i konsiderueshëm i rinovueshëm (diellor, erë, biomasë) dhe kostot në rënie të teknologjisë ofrojnë mundësi për të diversifikuar furnizimin me energji dhe për të zvogëluar ndjeshmërinë ndaj ndërprerjeve të lidhura me klimën.</w:t>
            </w:r>
          </w:p>
          <w:p w14:paraId="449E1B46" w14:textId="77777777" w:rsidR="00CF6374" w:rsidRPr="001C61AE" w:rsidRDefault="00CF6374" w:rsidP="00F36447">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Integrimi Rajonal dhe Tregjet e Energjisë:</w:t>
            </w:r>
            <w:r w:rsidRPr="001C61AE">
              <w:rPr>
                <w:rFonts w:ascii="Arial" w:hAnsi="Arial" w:cs="Arial"/>
                <w:sz w:val="18"/>
                <w:szCs w:val="18"/>
                <w:lang w:val="sq-AL"/>
              </w:rPr>
              <w:t xml:space="preserve"> Lidhjet e përmirësuara rajonale (ndërlidhja 400 kV e Shqipërisë, pjesëmarrja në ALPEX, iniciativat e tubacioneve të gazit) mundësojnë tregti fleksibile të energjisë dhe përmirësim të qëndrueshmërisë përmes burimeve rajonale të balancimit.</w:t>
            </w:r>
          </w:p>
          <w:p w14:paraId="008931A9" w14:textId="67D04D6C" w:rsidR="00CF6374" w:rsidRPr="001C61AE" w:rsidRDefault="00CF6374" w:rsidP="00F36447">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Financimi i Klimës dhe Mbështetja e Donatorëve: </w:t>
            </w:r>
            <w:r w:rsidRPr="001C61AE">
              <w:rPr>
                <w:rFonts w:ascii="Arial" w:hAnsi="Arial" w:cs="Arial"/>
                <w:sz w:val="18"/>
                <w:szCs w:val="18"/>
                <w:lang w:val="sq-AL"/>
              </w:rPr>
              <w:t>Qasja në fondet ndërkombëtare të klimës (GCF (pavarësisht mospranimit aktual, rrethanat mund të ndryshojnë), BE, bankat shumëpalëshe) dhe projektet e financuara nga donatorët (p.sh., rikonstruksionet e ndërtesave të BERZH-it, ofrojnë mbështetje financiare jetësore për përpjekjet e adaptimit.</w:t>
            </w:r>
          </w:p>
          <w:p w14:paraId="2A42E315" w14:textId="2482DC87" w:rsidR="00CF6374" w:rsidRPr="001C61AE" w:rsidRDefault="00CF6374" w:rsidP="00F36447">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Teknologjia dhe Inovacioni Moderne: </w:t>
            </w:r>
            <w:r w:rsidRPr="001C61AE">
              <w:rPr>
                <w:rFonts w:ascii="Arial" w:hAnsi="Arial" w:cs="Arial"/>
                <w:sz w:val="18"/>
                <w:szCs w:val="18"/>
                <w:lang w:val="sq-AL"/>
              </w:rPr>
              <w:t xml:space="preserve">Teknologjitë e reja (rrjetet </w:t>
            </w:r>
            <w:r w:rsidRPr="001C61AE">
              <w:rPr>
                <w:rFonts w:ascii="Arial" w:hAnsi="Arial" w:cs="Arial"/>
                <w:sz w:val="18"/>
                <w:szCs w:val="18"/>
                <w:lang w:val="sq-AL"/>
              </w:rPr>
              <w:lastRenderedPageBreak/>
              <w:t>inteligjente, matja e avancuar, ruajtja e energjisë në bateri, hidrogjeni i gjelbër</w:t>
            </w:r>
            <w:r w:rsidR="00E461BD" w:rsidRPr="001C61AE">
              <w:rPr>
                <w:rFonts w:ascii="Arial" w:hAnsi="Arial" w:cs="Arial"/>
                <w:sz w:val="18"/>
                <w:szCs w:val="18"/>
                <w:lang w:val="sq-AL"/>
              </w:rPr>
              <w:t>, modulet e vogla nukleare, gazifikimi i thëngjillit</w:t>
            </w:r>
            <w:r w:rsidRPr="001C61AE">
              <w:rPr>
                <w:rFonts w:ascii="Arial" w:hAnsi="Arial" w:cs="Arial"/>
                <w:sz w:val="18"/>
                <w:szCs w:val="18"/>
                <w:lang w:val="sq-AL"/>
              </w:rPr>
              <w:t>) i ofrojnë Kosovës mundësi për të përmirësuar qëndrueshmërinë e sistemit dhe për të menaxhuar sfidat e shkaktuara nga klima në mënyrë inovative.</w:t>
            </w:r>
          </w:p>
          <w:p w14:paraId="630E696E" w14:textId="77777777" w:rsidR="00CF6374" w:rsidRPr="001C61AE" w:rsidRDefault="00CF6374" w:rsidP="00A7068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p>
        </w:tc>
        <w:tc>
          <w:tcPr>
            <w:tcW w:w="1543" w:type="pct"/>
            <w:hideMark/>
          </w:tcPr>
          <w:p w14:paraId="3AEF8D45" w14:textId="77777777" w:rsidR="00CF6374" w:rsidRPr="001C61AE" w:rsidRDefault="00CF6374" w:rsidP="00F36447">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lastRenderedPageBreak/>
              <w:t xml:space="preserve">Rritja e ekstremeve klimatike: </w:t>
            </w:r>
            <w:r w:rsidRPr="001C61AE">
              <w:rPr>
                <w:rFonts w:ascii="Arial" w:hAnsi="Arial" w:cs="Arial"/>
                <w:sz w:val="18"/>
                <w:szCs w:val="18"/>
                <w:lang w:val="sq-AL"/>
              </w:rPr>
              <w:t>Frekuenca dhe intensiteti në rritje i ngjarjeve ekstreme të motit (valët e të nxehtit, thatësirat, përmbytjet) kërcënojnë infrastrukturën, duke zvogëluar besueshmërinë dhe duke mbingarkuar përpjekjet ekzistuese të përshtatjes.</w:t>
            </w:r>
          </w:p>
          <w:p w14:paraId="130B6C3B" w14:textId="77777777" w:rsidR="00CF6374" w:rsidRPr="001C61AE" w:rsidRDefault="00CF6374" w:rsidP="00F36447">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Stresi i ujit dhe ndryshimet hidrologjike: </w:t>
            </w:r>
            <w:r w:rsidRPr="001C61AE">
              <w:rPr>
                <w:rFonts w:ascii="Arial" w:hAnsi="Arial" w:cs="Arial"/>
                <w:sz w:val="18"/>
                <w:szCs w:val="18"/>
                <w:lang w:val="sq-AL"/>
              </w:rPr>
              <w:t>Mungesa e ujit e shkaktuar nga klima rrezikon të zvogëlojë prodhimin e hidroenergjisë dhe të kufizojë ujin ftohës për termocentralet, duke detyruar mbështetje më të madhe në importet e shtrenjta.</w:t>
            </w:r>
          </w:p>
          <w:p w14:paraId="3843D6F2" w14:textId="77777777" w:rsidR="00CF6374" w:rsidRPr="001C61AE" w:rsidRDefault="00CF6374" w:rsidP="00F36447">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Zbatimi i vonuar i politikave: </w:t>
            </w:r>
            <w:r w:rsidRPr="001C61AE">
              <w:rPr>
                <w:rFonts w:ascii="Arial" w:hAnsi="Arial" w:cs="Arial"/>
                <w:sz w:val="18"/>
                <w:szCs w:val="18"/>
                <w:lang w:val="sq-AL"/>
              </w:rPr>
              <w:t>Vonesat politike ose institucionale mund të pengojnë zbatimin në kohë të masave kryesore të tranzicionit dhe përshtatjes në energji, duke e lënë potencialisht Kosovën të ndjeshme ndaj ndikimeve klimatike.</w:t>
            </w:r>
          </w:p>
          <w:p w14:paraId="1D99CEA5" w14:textId="77777777" w:rsidR="00CF6374" w:rsidRPr="001C61AE" w:rsidRDefault="00CF6374" w:rsidP="00F36447">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Mungesat në financim dhe sfidat ekonomike: </w:t>
            </w:r>
            <w:r w:rsidRPr="001C61AE">
              <w:rPr>
                <w:rFonts w:ascii="Arial" w:hAnsi="Arial" w:cs="Arial"/>
                <w:sz w:val="18"/>
                <w:szCs w:val="18"/>
                <w:lang w:val="sq-AL"/>
              </w:rPr>
              <w:t>Investimet e pamjaftueshme publike/private rrezikojnë të bllokojnë projektet thelbësore të përshtatjes. Presionet ekonomike dhe rezistenca publike ndaj kostove në rritje të energjisë mund të ndërlikojnë përpjekjet e qëndrueshmërisë.</w:t>
            </w:r>
          </w:p>
          <w:p w14:paraId="3099436B" w14:textId="77777777" w:rsidR="00CF6374" w:rsidRPr="001C61AE" w:rsidRDefault="00CF6374" w:rsidP="00F36447">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Paqëndrueshmëria e tregut të jashtëm të energjisë: </w:t>
            </w:r>
            <w:r w:rsidRPr="001C61AE">
              <w:rPr>
                <w:rFonts w:ascii="Arial" w:hAnsi="Arial" w:cs="Arial"/>
                <w:sz w:val="18"/>
                <w:szCs w:val="18"/>
                <w:lang w:val="sq-AL"/>
              </w:rPr>
              <w:t>Ngjarjet klimatike rajonale dhe ndërprerjet gjeopolitike që ndikojnë në disponueshmërinë dhe çmimet e importit paraqesin rreziqe të konsiderueshme për përballueshmërinë dhe sigurinë e energjisë në Kosovë.</w:t>
            </w:r>
          </w:p>
          <w:p w14:paraId="02BC318C" w14:textId="77777777" w:rsidR="00CF6374" w:rsidRPr="001C61AE" w:rsidRDefault="00CF6374" w:rsidP="00A7068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p>
          <w:p w14:paraId="08C57AE4" w14:textId="77777777" w:rsidR="00CF6374" w:rsidRPr="001C61AE" w:rsidRDefault="00CF6374" w:rsidP="00A7068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p>
        </w:tc>
      </w:tr>
    </w:tbl>
    <w:p w14:paraId="6A003C7A" w14:textId="3F9E8676" w:rsidR="001D4FA1" w:rsidRPr="001C61AE" w:rsidRDefault="005A0E8C" w:rsidP="001D4FA1">
      <w:pPr>
        <w:spacing w:line="240" w:lineRule="auto"/>
        <w:jc w:val="both"/>
        <w:rPr>
          <w:rFonts w:ascii="Arial" w:hAnsi="Arial" w:cs="Arial"/>
          <w:b/>
          <w:bCs/>
          <w:lang w:val="sq-AL"/>
        </w:rPr>
      </w:pPr>
      <w:r w:rsidRPr="001C61AE">
        <w:rPr>
          <w:rFonts w:ascii="Arial" w:hAnsi="Arial" w:cs="Arial"/>
          <w:b/>
          <w:bCs/>
          <w:lang w:val="sq-AL"/>
        </w:rPr>
        <w:lastRenderedPageBreak/>
        <w:t>Objektivi strategjik dhe masat kyçe të përshtatjes</w:t>
      </w:r>
    </w:p>
    <w:p w14:paraId="6338C475" w14:textId="40B17642" w:rsidR="002338BC" w:rsidRPr="001C61AE" w:rsidRDefault="002338BC" w:rsidP="002338BC">
      <w:pPr>
        <w:spacing w:line="240" w:lineRule="auto"/>
        <w:jc w:val="both"/>
        <w:rPr>
          <w:rFonts w:ascii="Arial" w:hAnsi="Arial" w:cs="Arial"/>
          <w:lang w:val="sq-AL"/>
        </w:rPr>
      </w:pPr>
      <w:r w:rsidRPr="001C61AE">
        <w:rPr>
          <w:rFonts w:ascii="Arial" w:hAnsi="Arial" w:cs="Arial"/>
          <w:noProof/>
        </w:rPr>
        <mc:AlternateContent>
          <mc:Choice Requires="wps">
            <w:drawing>
              <wp:anchor distT="0" distB="0" distL="114300" distR="114300" simplePos="0" relativeHeight="251721728" behindDoc="0" locked="0" layoutInCell="1" allowOverlap="1" wp14:anchorId="1218CA20" wp14:editId="7A54C84F">
                <wp:simplePos x="0" y="0"/>
                <wp:positionH relativeFrom="column">
                  <wp:posOffset>-26035</wp:posOffset>
                </wp:positionH>
                <wp:positionV relativeFrom="paragraph">
                  <wp:posOffset>393065</wp:posOffset>
                </wp:positionV>
                <wp:extent cx="6496050" cy="1219200"/>
                <wp:effectExtent l="0" t="0" r="19050" b="19050"/>
                <wp:wrapTopAndBottom/>
                <wp:docPr id="1730770874" name="Cuadro de texto 12"/>
                <wp:cNvGraphicFramePr/>
                <a:graphic xmlns:a="http://schemas.openxmlformats.org/drawingml/2006/main">
                  <a:graphicData uri="http://schemas.microsoft.com/office/word/2010/wordprocessingShape">
                    <wps:wsp>
                      <wps:cNvSpPr txBox="1"/>
                      <wps:spPr>
                        <a:xfrm>
                          <a:off x="0" y="0"/>
                          <a:ext cx="6496050" cy="1219200"/>
                        </a:xfrm>
                        <a:prstGeom prst="rect">
                          <a:avLst/>
                        </a:prstGeom>
                        <a:solidFill>
                          <a:srgbClr val="0F4761"/>
                        </a:solidFill>
                        <a:ln w="6350">
                          <a:solidFill>
                            <a:srgbClr val="156082"/>
                          </a:solidFill>
                        </a:ln>
                      </wps:spPr>
                      <wps:txbx>
                        <w:txbxContent>
                          <w:p w14:paraId="21BEA7C4" w14:textId="28D145FF" w:rsidR="007065D4" w:rsidRDefault="007065D4" w:rsidP="008E17FD">
                            <w:pPr>
                              <w:jc w:val="center"/>
                            </w:pPr>
                            <w:r>
                              <w:rPr>
                                <w:b/>
                                <w:bCs/>
                                <w:i/>
                                <w:iCs/>
                                <w:sz w:val="24"/>
                                <w:szCs w:val="24"/>
                              </w:rPr>
                              <w:t xml:space="preserve">II. </w:t>
                            </w:r>
                            <w:r w:rsidRPr="005A0E8C">
                              <w:rPr>
                                <w:b/>
                                <w:bCs/>
                                <w:i/>
                                <w:iCs/>
                                <w:sz w:val="24"/>
                                <w:szCs w:val="24"/>
                              </w:rPr>
                              <w:t xml:space="preserve">Të rritet siguria dhe qëndrueshmëria energjetike përmes diversifikimit të përzierjes së energjisë, përmirësimit të efiçiencës dhe ndërtimit të infrastrukturës </w:t>
                            </w:r>
                            <w:r w:rsidR="00346EBD">
                              <w:rPr>
                                <w:b/>
                                <w:bCs/>
                                <w:i/>
                                <w:iCs/>
                                <w:sz w:val="24"/>
                                <w:szCs w:val="24"/>
                              </w:rPr>
                              <w:t xml:space="preserve">rezistuese </w:t>
                            </w:r>
                            <w:r w:rsidRPr="005A0E8C">
                              <w:rPr>
                                <w:b/>
                                <w:bCs/>
                                <w:i/>
                                <w:iCs/>
                                <w:sz w:val="24"/>
                                <w:szCs w:val="24"/>
                              </w:rPr>
                              <w:t>ndaj ndryshimeve klimatike, duke siguruar një sistem energjetik të besueshëm, të qëndrueshëm dhe të përshtatshëm që mbështet zhvillimin ekonomik dhe mbron popullatat e cenueshme dhe ekosistemet</w:t>
                            </w:r>
                            <w:r w:rsidRPr="00143017">
                              <w:rPr>
                                <w:b/>
                                <w:bCs/>
                                <w:i/>
                                <w:i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18CA20" id="_x0000_s1054" type="#_x0000_t202" style="position:absolute;left:0;text-align:left;margin-left:-2.05pt;margin-top:30.95pt;width:511.5pt;height:96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" fillcolor="#0f4761" strokecolor="#156082" strokeweight=".5pt">
                <v:textbox>
                  <w:txbxContent>
                    <w:p w14:paraId="21BEA7C4" w14:textId="28D145FF" w:rsidR="007065D4" w:rsidRDefault="007065D4" w:rsidP="008E17FD">
                      <w:pPr>
                        <w:jc w:val="center"/>
                      </w:pPr>
                      <w:r>
                        <w:rPr>
                          <w:b/>
                          <w:bCs/>
                          <w:i/>
                          <w:iCs/>
                          <w:sz w:val="24"/>
                          <w:szCs w:val="24"/>
                        </w:rPr>
                        <w:t xml:space="preserve">II. </w:t>
                      </w:r>
                      <w:r w:rsidRPr="005A0E8C">
                        <w:rPr>
                          <w:b/>
                          <w:bCs/>
                          <w:i/>
                          <w:iCs/>
                          <w:sz w:val="24"/>
                          <w:szCs w:val="24"/>
                        </w:rPr>
                        <w:t xml:space="preserve">Të rritet siguria dhe qëndrueshmëria energjetike përmes diversifikimit të përzierjes së energjisë, përmirësimit të efiçiencës dhe ndërtimit të infrastrukturës </w:t>
                      </w:r>
                      <w:r w:rsidR="00346EBD">
                        <w:rPr>
                          <w:b/>
                          <w:bCs/>
                          <w:i/>
                          <w:iCs/>
                          <w:sz w:val="24"/>
                          <w:szCs w:val="24"/>
                        </w:rPr>
                        <w:t xml:space="preserve">rezistuese </w:t>
                      </w:r>
                      <w:r w:rsidRPr="005A0E8C">
                        <w:rPr>
                          <w:b/>
                          <w:bCs/>
                          <w:i/>
                          <w:iCs/>
                          <w:sz w:val="24"/>
                          <w:szCs w:val="24"/>
                        </w:rPr>
                        <w:t>ndaj ndryshimeve klimatike, duke siguruar një sistem energjetik të besueshëm, të qëndrueshëm dhe të përshtatshëm që mbështet zhvillimin ekonomik dhe mbron popullatat e cenueshme dhe ekosistemet</w:t>
                      </w:r>
                      <w:r w:rsidRPr="00143017">
                        <w:rPr>
                          <w:b/>
                          <w:bCs/>
                          <w:i/>
                          <w:iCs/>
                          <w:sz w:val="24"/>
                          <w:szCs w:val="24"/>
                        </w:rPr>
                        <w:t>.</w:t>
                      </w:r>
                    </w:p>
                  </w:txbxContent>
                </v:textbox>
                <w10:wrap type="topAndBottom"/>
              </v:shape>
            </w:pict>
          </mc:Fallback>
        </mc:AlternateContent>
      </w:r>
      <w:r w:rsidR="005A0E8C" w:rsidRPr="001C61AE">
        <w:rPr>
          <w:rFonts w:ascii="Arial" w:hAnsi="Arial" w:cs="Arial"/>
          <w:lang w:val="sq-AL"/>
        </w:rPr>
        <w:t>Objektivi strategjik që drejton përshtatjen ndaj klimës në sektorin e energjisë në Kosovë përcaktohet si më poshtë</w:t>
      </w:r>
      <w:r w:rsidRPr="001C61AE">
        <w:rPr>
          <w:rFonts w:ascii="Arial" w:hAnsi="Arial" w:cs="Arial"/>
          <w:lang w:val="sq-AL"/>
        </w:rPr>
        <w:t>:</w:t>
      </w:r>
    </w:p>
    <w:p w14:paraId="79FB44E9" w14:textId="2335B584" w:rsidR="005A0E8C" w:rsidRPr="001C61AE" w:rsidRDefault="005A0E8C" w:rsidP="005A0E8C">
      <w:pPr>
        <w:spacing w:line="240" w:lineRule="auto"/>
        <w:jc w:val="both"/>
        <w:rPr>
          <w:rFonts w:ascii="Arial" w:hAnsi="Arial" w:cs="Arial"/>
          <w:lang w:val="sq-AL"/>
        </w:rPr>
      </w:pPr>
      <w:r w:rsidRPr="001C61AE">
        <w:rPr>
          <w:rFonts w:ascii="Arial" w:hAnsi="Arial" w:cs="Arial"/>
          <w:lang w:val="sq-AL"/>
        </w:rPr>
        <w:t>Ky objektiv synon të sigurojë furnizimin e besueshëm, të përballueshëm dhe të qëndrueshëm të energjisë në të gjithë sektorët e ekonomisë dhe shoqërisë, duke rritur njëkohësisht qëndrueshmërinë ndaj sfidave aktuale dhe të ardhshme klimatike. Përmes një përzierjeje të larmishme energjitike, efikasitetit të përmirësuar dhe infrastrukturës rezistente ndaj klimës, objektivi thekson rolin thelbësor të energjisë në nxitjen e rritjes ekonomike, duke mundësuar shërbime thelbësore dhe duke mbështetur përpjekjet për përshtatje klimatike në Kosovë.</w:t>
      </w:r>
    </w:p>
    <w:p w14:paraId="1D7CE92F" w14:textId="625B53CF" w:rsidR="005A0E8C" w:rsidRPr="001C61AE" w:rsidRDefault="005A0E8C" w:rsidP="005A0E8C">
      <w:pPr>
        <w:spacing w:line="240" w:lineRule="auto"/>
        <w:jc w:val="both"/>
        <w:rPr>
          <w:rFonts w:ascii="Arial" w:hAnsi="Arial" w:cs="Arial"/>
          <w:lang w:val="sq-AL"/>
        </w:rPr>
      </w:pPr>
      <w:r w:rsidRPr="001C61AE">
        <w:rPr>
          <w:rFonts w:ascii="Arial" w:hAnsi="Arial" w:cs="Arial"/>
          <w:lang w:val="sq-AL"/>
        </w:rPr>
        <w:t>Për ta përkthyer këtë qëllim në veprime konkrete, sektori i energjisë ka identifikuar një sërë Prioritetesh Kryesore të Përshtatjes. Këto përfaqësojnë fushat kryesore të ndërhyrjes të nevojshme për të zvogëluar ndërprerjet që lidhen me klimën, për të përmirësuar performancën e sistemit të energjisë dhe për të forcuar sigurinë afatgjatë të energjisë. Çdo prioritet është i lidhur me masa të synuara që pasqyrojnë</w:t>
      </w:r>
      <w:r w:rsidR="00091AB3" w:rsidRPr="001C61AE">
        <w:rPr>
          <w:rFonts w:ascii="Arial" w:hAnsi="Arial" w:cs="Arial"/>
          <w:lang w:val="sq-AL"/>
        </w:rPr>
        <w:t xml:space="preserve"> </w:t>
      </w:r>
      <w:r w:rsidRPr="001C61AE">
        <w:rPr>
          <w:rFonts w:ascii="Arial" w:hAnsi="Arial" w:cs="Arial"/>
          <w:lang w:val="sq-AL"/>
        </w:rPr>
        <w:t>dobësitë specifike të energjisë së Kosovës, nevojat strategjike dhe aftësitë institucionale.</w:t>
      </w:r>
    </w:p>
    <w:p w14:paraId="4AA8CE69" w14:textId="3B719945" w:rsidR="005A0E8C" w:rsidRPr="001C61AE" w:rsidRDefault="005A0E8C" w:rsidP="005A0E8C">
      <w:pPr>
        <w:spacing w:before="160" w:line="240" w:lineRule="auto"/>
        <w:jc w:val="both"/>
        <w:rPr>
          <w:rFonts w:ascii="Arial" w:hAnsi="Arial" w:cs="Arial"/>
          <w:lang w:val="sq-AL"/>
        </w:rPr>
      </w:pPr>
      <w:r w:rsidRPr="001C61AE">
        <w:rPr>
          <w:rFonts w:ascii="Arial" w:hAnsi="Arial" w:cs="Arial"/>
          <w:noProof/>
        </w:rPr>
        <w:lastRenderedPageBreak/>
        <mc:AlternateContent>
          <mc:Choice Requires="wpg">
            <w:drawing>
              <wp:anchor distT="0" distB="0" distL="114300" distR="114300" simplePos="0" relativeHeight="251727872" behindDoc="0" locked="0" layoutInCell="1" allowOverlap="1" wp14:anchorId="4511360E" wp14:editId="53F14E69">
                <wp:simplePos x="0" y="0"/>
                <wp:positionH relativeFrom="column">
                  <wp:posOffset>1593215</wp:posOffset>
                </wp:positionH>
                <wp:positionV relativeFrom="paragraph">
                  <wp:posOffset>203835</wp:posOffset>
                </wp:positionV>
                <wp:extent cx="3429000" cy="1638300"/>
                <wp:effectExtent l="0" t="0" r="0" b="19050"/>
                <wp:wrapTopAndBottom/>
                <wp:docPr id="1895728155" name="Grupo 24"/>
                <wp:cNvGraphicFramePr/>
                <a:graphic xmlns:a="http://schemas.openxmlformats.org/drawingml/2006/main">
                  <a:graphicData uri="http://schemas.microsoft.com/office/word/2010/wordprocessingGroup">
                    <wpg:wgp>
                      <wpg:cNvGrpSpPr/>
                      <wpg:grpSpPr>
                        <a:xfrm>
                          <a:off x="0" y="0"/>
                          <a:ext cx="3429000" cy="1638300"/>
                          <a:chOff x="0" y="0"/>
                          <a:chExt cx="3429000" cy="1638300"/>
                        </a:xfrm>
                      </wpg:grpSpPr>
                      <wps:wsp>
                        <wps:cNvPr id="469488333" name="Cuadro de texto 13"/>
                        <wps:cNvSpPr txBox="1"/>
                        <wps:spPr>
                          <a:xfrm>
                            <a:off x="0" y="200025"/>
                            <a:ext cx="3248025" cy="1438275"/>
                          </a:xfrm>
                          <a:prstGeom prst="rect">
                            <a:avLst/>
                          </a:prstGeom>
                          <a:solidFill>
                            <a:sysClr val="window" lastClr="FFFFFF"/>
                          </a:solidFill>
                          <a:ln w="6350">
                            <a:solidFill>
                              <a:srgbClr val="0F4761"/>
                            </a:solidFill>
                            <a:prstDash val="dash"/>
                          </a:ln>
                        </wps:spPr>
                        <wps:txbx>
                          <w:txbxContent>
                            <w:p w14:paraId="2E3F3F20" w14:textId="34E479A3" w:rsidR="007065D4" w:rsidRDefault="007065D4" w:rsidP="00F36447">
                              <w:pPr>
                                <w:pStyle w:val="ListParagraph"/>
                                <w:numPr>
                                  <w:ilvl w:val="0"/>
                                  <w:numId w:val="15"/>
                                </w:numPr>
                                <w:rPr>
                                  <w:b/>
                                  <w:bCs/>
                                  <w:color w:val="0F4761"/>
                                </w:rPr>
                              </w:pPr>
                              <w:r w:rsidRPr="006267BD">
                                <w:rPr>
                                  <w:b/>
                                  <w:bCs/>
                                  <w:color w:val="0F4761"/>
                                </w:rPr>
                                <w:t xml:space="preserve">Diversifikimi i </w:t>
                              </w:r>
                              <w:r w:rsidR="00083FB3">
                                <w:rPr>
                                  <w:b/>
                                  <w:bCs/>
                                  <w:color w:val="0F4761"/>
                                </w:rPr>
                                <w:t>miksit</w:t>
                              </w:r>
                              <w:r w:rsidR="00225E2E">
                                <w:rPr>
                                  <w:b/>
                                  <w:bCs/>
                                  <w:color w:val="0F4761"/>
                                </w:rPr>
                                <w:t xml:space="preserve"> </w:t>
                              </w:r>
                              <w:r w:rsidRPr="006267BD">
                                <w:rPr>
                                  <w:b/>
                                  <w:bCs/>
                                  <w:color w:val="0F4761"/>
                                </w:rPr>
                                <w:t>energji</w:t>
                              </w:r>
                              <w:r w:rsidR="00225E2E">
                                <w:rPr>
                                  <w:b/>
                                  <w:bCs/>
                                  <w:color w:val="0F4761"/>
                                </w:rPr>
                                <w:t>k</w:t>
                              </w:r>
                              <w:r w:rsidRPr="006267BD">
                                <w:rPr>
                                  <w:b/>
                                  <w:bCs/>
                                  <w:color w:val="0F4761"/>
                                </w:rPr>
                                <w:t xml:space="preserve"> dhe efiçienca energjetike</w:t>
                              </w:r>
                            </w:p>
                            <w:p w14:paraId="6AF6F3E7" w14:textId="77777777" w:rsidR="007065D4" w:rsidRPr="006267BD" w:rsidRDefault="007065D4" w:rsidP="00F36447">
                              <w:pPr>
                                <w:pStyle w:val="ListParagraph"/>
                                <w:numPr>
                                  <w:ilvl w:val="0"/>
                                  <w:numId w:val="15"/>
                                </w:numPr>
                                <w:spacing w:before="160" w:line="240" w:lineRule="auto"/>
                                <w:jc w:val="both"/>
                              </w:pPr>
                              <w:r w:rsidRPr="006267BD">
                                <w:rPr>
                                  <w:b/>
                                  <w:bCs/>
                                  <w:color w:val="0F4761"/>
                                </w:rPr>
                                <w:t>Fuqizimi i qëndrueshmërisë së rrjetit elektrik ndaj ndryshimeve klimatike</w:t>
                              </w:r>
                            </w:p>
                            <w:p w14:paraId="68679EBA" w14:textId="5A731850" w:rsidR="007065D4" w:rsidRPr="00EF75BB" w:rsidRDefault="007065D4" w:rsidP="00F36447">
                              <w:pPr>
                                <w:pStyle w:val="ListParagraph"/>
                                <w:numPr>
                                  <w:ilvl w:val="0"/>
                                  <w:numId w:val="15"/>
                                </w:numPr>
                                <w:spacing w:before="160" w:line="240" w:lineRule="auto"/>
                                <w:jc w:val="both"/>
                              </w:pPr>
                              <w:r w:rsidRPr="006267BD">
                                <w:rPr>
                                  <w:b/>
                                  <w:bCs/>
                                  <w:color w:val="0F4761"/>
                                </w:rPr>
                                <w:t xml:space="preserve">Sigurimi i sigurisë energjetike përmes menaxhimit të </w:t>
                              </w:r>
                              <w:r>
                                <w:rPr>
                                  <w:b/>
                                  <w:bCs/>
                                  <w:color w:val="0F4761"/>
                                </w:rPr>
                                <w:t>resurseve</w:t>
                              </w:r>
                              <w:r w:rsidRPr="006267BD">
                                <w:rPr>
                                  <w:b/>
                                  <w:bCs/>
                                  <w:color w:val="0F4761"/>
                                </w:rPr>
                                <w:t xml:space="preserve"> vendore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2631027" name="Grupo 18"/>
                        <wpg:cNvGrpSpPr/>
                        <wpg:grpSpPr>
                          <a:xfrm>
                            <a:off x="2905125" y="0"/>
                            <a:ext cx="523875" cy="523875"/>
                            <a:chOff x="0" y="0"/>
                            <a:chExt cx="309245" cy="309245"/>
                          </a:xfrm>
                        </wpg:grpSpPr>
                        <pic:pic xmlns:pic="http://schemas.openxmlformats.org/drawingml/2006/picture">
                          <pic:nvPicPr>
                            <pic:cNvPr id="635009483" name="Imagen 14"/>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pic:spPr>
                        </pic:pic>
                        <pic:pic xmlns:pic="http://schemas.openxmlformats.org/drawingml/2006/picture">
                          <pic:nvPicPr>
                            <pic:cNvPr id="1585873897" name="Imagen 17"/>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4925" y="28575"/>
                              <a:ext cx="244475" cy="244475"/>
                            </a:xfrm>
                            <a:prstGeom prst="rect">
                              <a:avLst/>
                            </a:prstGeom>
                            <a:noFill/>
                            <a:ln>
                              <a:noFill/>
                            </a:ln>
                          </pic:spPr>
                        </pic:pic>
                      </wpg:grpSp>
                    </wpg:wgp>
                  </a:graphicData>
                </a:graphic>
              </wp:anchor>
            </w:drawing>
          </mc:Choice>
          <mc:Fallback>
            <w:pict>
              <v:group w14:anchorId="4511360E" id="Grupo 24" o:spid="_x0000_s1055" style="position:absolute;left:0;text-align:left;margin-left:125.45pt;margin-top:16.05pt;width:270pt;height:129pt;z-index:251727872" coordsize="34290,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">
                <v:shape id="_x0000_s1056" type="#_x0000_t202" style="position:absolute;top:2000;width:32480;height:14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" fillcolor="window" strokecolor="#0f4761" strokeweight=".5pt">
                  <v:stroke dashstyle="dash"/>
                  <v:textbox>
                    <w:txbxContent>
                      <w:p w14:paraId="2E3F3F20" w14:textId="34E479A3" w:rsidR="007065D4" w:rsidRDefault="007065D4" w:rsidP="00F36447">
                        <w:pPr>
                          <w:pStyle w:val="ListParagraph"/>
                          <w:numPr>
                            <w:ilvl w:val="0"/>
                            <w:numId w:val="15"/>
                          </w:numPr>
                          <w:rPr>
                            <w:b/>
                            <w:bCs/>
                            <w:color w:val="0F4761"/>
                          </w:rPr>
                        </w:pPr>
                        <w:r w:rsidRPr="006267BD">
                          <w:rPr>
                            <w:b/>
                            <w:bCs/>
                            <w:color w:val="0F4761"/>
                          </w:rPr>
                          <w:t xml:space="preserve">Diversifikimi i </w:t>
                        </w:r>
                        <w:r w:rsidR="00083FB3">
                          <w:rPr>
                            <w:b/>
                            <w:bCs/>
                            <w:color w:val="0F4761"/>
                          </w:rPr>
                          <w:t>miksit</w:t>
                        </w:r>
                        <w:r w:rsidR="00225E2E">
                          <w:rPr>
                            <w:b/>
                            <w:bCs/>
                            <w:color w:val="0F4761"/>
                          </w:rPr>
                          <w:t xml:space="preserve"> </w:t>
                        </w:r>
                        <w:r w:rsidRPr="006267BD">
                          <w:rPr>
                            <w:b/>
                            <w:bCs/>
                            <w:color w:val="0F4761"/>
                          </w:rPr>
                          <w:t>energji</w:t>
                        </w:r>
                        <w:r w:rsidR="00225E2E">
                          <w:rPr>
                            <w:b/>
                            <w:bCs/>
                            <w:color w:val="0F4761"/>
                          </w:rPr>
                          <w:t>k</w:t>
                        </w:r>
                        <w:r w:rsidRPr="006267BD">
                          <w:rPr>
                            <w:b/>
                            <w:bCs/>
                            <w:color w:val="0F4761"/>
                          </w:rPr>
                          <w:t xml:space="preserve"> dhe efiçienca energjetike</w:t>
                        </w:r>
                      </w:p>
                      <w:p w14:paraId="6AF6F3E7" w14:textId="77777777" w:rsidR="007065D4" w:rsidRPr="006267BD" w:rsidRDefault="007065D4" w:rsidP="00F36447">
                        <w:pPr>
                          <w:pStyle w:val="ListParagraph"/>
                          <w:numPr>
                            <w:ilvl w:val="0"/>
                            <w:numId w:val="15"/>
                          </w:numPr>
                          <w:spacing w:before="160" w:line="240" w:lineRule="auto"/>
                          <w:jc w:val="both"/>
                        </w:pPr>
                        <w:r w:rsidRPr="006267BD">
                          <w:rPr>
                            <w:b/>
                            <w:bCs/>
                            <w:color w:val="0F4761"/>
                          </w:rPr>
                          <w:t>Fuqizimi i qëndrueshmërisë së rrjetit elektrik ndaj ndryshimeve klimatike</w:t>
                        </w:r>
                      </w:p>
                      <w:p w14:paraId="68679EBA" w14:textId="5A731850" w:rsidR="007065D4" w:rsidRPr="00EF75BB" w:rsidRDefault="007065D4" w:rsidP="00F36447">
                        <w:pPr>
                          <w:pStyle w:val="ListParagraph"/>
                          <w:numPr>
                            <w:ilvl w:val="0"/>
                            <w:numId w:val="15"/>
                          </w:numPr>
                          <w:spacing w:before="160" w:line="240" w:lineRule="auto"/>
                          <w:jc w:val="both"/>
                        </w:pPr>
                        <w:r w:rsidRPr="006267BD">
                          <w:rPr>
                            <w:b/>
                            <w:bCs/>
                            <w:color w:val="0F4761"/>
                          </w:rPr>
                          <w:t xml:space="preserve">Sigurimi i sigurisë energjetike përmes menaxhimit të </w:t>
                        </w:r>
                        <w:r>
                          <w:rPr>
                            <w:b/>
                            <w:bCs/>
                            <w:color w:val="0F4761"/>
                          </w:rPr>
                          <w:t>resurseve</w:t>
                        </w:r>
                        <w:r w:rsidRPr="006267BD">
                          <w:rPr>
                            <w:b/>
                            <w:bCs/>
                            <w:color w:val="0F4761"/>
                          </w:rPr>
                          <w:t xml:space="preserve"> vendore</w:t>
                        </w:r>
                      </w:p>
                    </w:txbxContent>
                  </v:textbox>
                </v:shape>
                <v:group id="Grupo 18" o:spid="_x0000_s1057" style="position:absolute;left:29051;width:5239;height:5238" coordsize="309245,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">
                  <v:shape id="Imagen 14" o:spid="_x0000_s1058" type="#_x0000_t75" style="position:absolute;width:309245;height:30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">
                    <v:imagedata r:id="rId49" o:title=""/>
                    <v:path arrowok="t"/>
                  </v:shape>
                  <v:shape id="Imagen 17" o:spid="_x0000_s1059" type="#_x0000_t75" style="position:absolute;left:34925;top:28575;width:244475;height:244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">
                    <v:imagedata r:id="rId53" o:title=""/>
                    <v:path arrowok="t"/>
                  </v:shape>
                </v:group>
                <w10:wrap type="topAndBottom"/>
              </v:group>
            </w:pict>
          </mc:Fallback>
        </mc:AlternateContent>
      </w:r>
      <w:r w:rsidRPr="001C61AE">
        <w:rPr>
          <w:rFonts w:ascii="Arial" w:hAnsi="Arial" w:cs="Arial"/>
          <w:lang w:val="sq-AL"/>
        </w:rPr>
        <w:t>Tri prioritetet kryesore të përshtatjes për sektorin e energjisë janë si më poshtë:</w:t>
      </w:r>
    </w:p>
    <w:p w14:paraId="6E42C1FC" w14:textId="393B8532" w:rsidR="002338BC" w:rsidRPr="001C61AE" w:rsidRDefault="002338BC" w:rsidP="005A0E8C">
      <w:pPr>
        <w:spacing w:before="160" w:line="240" w:lineRule="auto"/>
        <w:jc w:val="both"/>
        <w:rPr>
          <w:rFonts w:ascii="Arial" w:eastAsia="Arial" w:hAnsi="Arial" w:cs="Arial"/>
          <w:lang w:val="sq-AL"/>
        </w:rPr>
      </w:pPr>
    </w:p>
    <w:p w14:paraId="27C67254" w14:textId="77777777" w:rsidR="00B15518" w:rsidRPr="001C61AE" w:rsidRDefault="0091468A" w:rsidP="00B15518">
      <w:pPr>
        <w:pStyle w:val="Heading3"/>
        <w:rPr>
          <w:rFonts w:ascii="Arial" w:hAnsi="Arial" w:cs="Arial"/>
          <w:lang w:val="sq-AL"/>
        </w:rPr>
      </w:pPr>
      <w:bookmarkStart w:id="77" w:name="_Toc211532706"/>
      <w:bookmarkStart w:id="78" w:name="_Hlk200707913"/>
      <w:r w:rsidRPr="001C61AE">
        <w:rPr>
          <w:rStyle w:val="Heading2Char"/>
          <w:rFonts w:ascii="Arial" w:hAnsi="Arial" w:cs="Arial"/>
        </w:rPr>
        <w:t>Diversifikimi i burimeve të energjisë dhe përmirësimi i efiçiencës energjetike</w:t>
      </w:r>
      <w:bookmarkEnd w:id="77"/>
      <w:r w:rsidRPr="001C61AE">
        <w:rPr>
          <w:rFonts w:ascii="Arial" w:hAnsi="Arial" w:cs="Arial"/>
          <w:lang w:val="sq-AL"/>
        </w:rPr>
        <w:t xml:space="preserve"> </w:t>
      </w:r>
      <w:bookmarkEnd w:id="78"/>
    </w:p>
    <w:p w14:paraId="5463B08C" w14:textId="1365143F" w:rsidR="006267BD" w:rsidRPr="001C61AE" w:rsidRDefault="006267BD" w:rsidP="006267BD">
      <w:pPr>
        <w:spacing w:line="240" w:lineRule="auto"/>
        <w:jc w:val="both"/>
        <w:rPr>
          <w:rFonts w:ascii="Arial" w:hAnsi="Arial" w:cs="Arial"/>
          <w:lang w:val="sq-AL"/>
        </w:rPr>
      </w:pPr>
      <w:r w:rsidRPr="001C61AE">
        <w:rPr>
          <w:rFonts w:ascii="Arial" w:hAnsi="Arial" w:cs="Arial"/>
          <w:lang w:val="sq-AL"/>
        </w:rPr>
        <w:t xml:space="preserve">Një shtyllë qendrore e përpjekjeve për diversifikim është </w:t>
      </w:r>
      <w:r w:rsidR="00225E2E" w:rsidRPr="001C61AE">
        <w:rPr>
          <w:rFonts w:ascii="Arial" w:hAnsi="Arial" w:cs="Arial"/>
          <w:lang w:val="sq-AL"/>
        </w:rPr>
        <w:t>shtimi i prodhimit të energjisë nga burime të ndryshme</w:t>
      </w:r>
      <w:r w:rsidRPr="001C61AE">
        <w:rPr>
          <w:rFonts w:ascii="Arial" w:hAnsi="Arial" w:cs="Arial"/>
          <w:lang w:val="sq-AL"/>
        </w:rPr>
        <w:t>. Deri në vitin 2030–2031, syn</w:t>
      </w:r>
      <w:r w:rsidR="002C6EC9" w:rsidRPr="001C61AE">
        <w:rPr>
          <w:rFonts w:ascii="Arial" w:hAnsi="Arial" w:cs="Arial"/>
          <w:lang w:val="sq-AL"/>
        </w:rPr>
        <w:t xml:space="preserve">ohet </w:t>
      </w:r>
      <w:r w:rsidRPr="001C61AE">
        <w:rPr>
          <w:rFonts w:ascii="Arial" w:hAnsi="Arial" w:cs="Arial"/>
          <w:lang w:val="sq-AL"/>
        </w:rPr>
        <w:t xml:space="preserve"> </w:t>
      </w:r>
      <w:r w:rsidR="002C6EC9" w:rsidRPr="001C61AE">
        <w:rPr>
          <w:rFonts w:ascii="Arial" w:hAnsi="Arial" w:cs="Arial"/>
          <w:lang w:val="sq-AL"/>
        </w:rPr>
        <w:t xml:space="preserve">integrimi i </w:t>
      </w:r>
      <w:r w:rsidRPr="001C61AE">
        <w:rPr>
          <w:rFonts w:ascii="Arial" w:hAnsi="Arial" w:cs="Arial"/>
          <w:lang w:val="sq-AL"/>
        </w:rPr>
        <w:t xml:space="preserve">600–675 MW energji nga era, 600–727 MW kapacitet fotovoltaik (PV) nga dielli dhe 20 MW nga biomasa në sistemin energjetik. Gjithashtu, synohet instalimi i 100 MW kapaciteteve solare nga prosumatorë (qytetarë apo biznese që prodhojnë vetë energji), duke nxitur decentralizimin dhe pjesëmarrjen aktive të qytetarëve. Në sektorin e ngrohjes qendrore, planifikohet integrimi i 50 MW energji solare termale për të rritur qëndrueshmërinë e sistemeve termike. Deri në vitin 2031, objektivi është që së paku </w:t>
      </w:r>
      <w:r w:rsidRPr="001C61AE">
        <w:rPr>
          <w:rFonts w:ascii="Arial" w:hAnsi="Arial" w:cs="Arial"/>
          <w:b/>
          <w:bCs/>
          <w:lang w:val="sq-AL"/>
        </w:rPr>
        <w:t>35% e konsumit bruto final të energjisë elektrike</w:t>
      </w:r>
      <w:r w:rsidRPr="001C61AE">
        <w:rPr>
          <w:rFonts w:ascii="Arial" w:hAnsi="Arial" w:cs="Arial"/>
          <w:lang w:val="sq-AL"/>
        </w:rPr>
        <w:t xml:space="preserve"> të vijë nga burime </w:t>
      </w:r>
      <w:r w:rsidR="00225E2E" w:rsidRPr="001C61AE">
        <w:rPr>
          <w:rFonts w:ascii="Arial" w:hAnsi="Arial" w:cs="Arial"/>
          <w:lang w:val="sq-AL"/>
        </w:rPr>
        <w:t>të reja energjetike përtej thëngjillit</w:t>
      </w:r>
      <w:r w:rsidRPr="001C61AE">
        <w:rPr>
          <w:rFonts w:ascii="Arial" w:hAnsi="Arial" w:cs="Arial"/>
          <w:lang w:val="sq-AL"/>
        </w:rPr>
        <w:t xml:space="preserve"> (nga 6% në vitin 2021).</w:t>
      </w:r>
    </w:p>
    <w:p w14:paraId="6CA5BCC7" w14:textId="42C6763A" w:rsidR="001D4FA1" w:rsidRPr="001C61AE" w:rsidRDefault="006267BD" w:rsidP="001D4FA1">
      <w:pPr>
        <w:spacing w:line="240" w:lineRule="auto"/>
        <w:jc w:val="both"/>
        <w:rPr>
          <w:rFonts w:ascii="Arial" w:hAnsi="Arial" w:cs="Arial"/>
          <w:lang w:val="sq-AL"/>
        </w:rPr>
      </w:pPr>
      <w:r w:rsidRPr="001C61AE">
        <w:rPr>
          <w:rFonts w:ascii="Arial" w:hAnsi="Arial" w:cs="Arial"/>
          <w:lang w:val="sq-AL"/>
        </w:rPr>
        <w:t>Ky diversifikim mbështetet nga instrumente të përshtatshme politike, përfshirë ankande për energjinë e ripërtërishme, tarifa me pr</w:t>
      </w:r>
      <w:r w:rsidR="00225E2E" w:rsidRPr="001C61AE">
        <w:rPr>
          <w:rFonts w:ascii="Arial" w:hAnsi="Arial" w:cs="Arial"/>
          <w:lang w:val="sq-AL"/>
        </w:rPr>
        <w:t>emiume</w:t>
      </w:r>
      <w:r w:rsidRPr="001C61AE">
        <w:rPr>
          <w:rFonts w:ascii="Arial" w:hAnsi="Arial" w:cs="Arial"/>
          <w:lang w:val="sq-AL"/>
        </w:rPr>
        <w:t xml:space="preserve"> shtesë (feed-in premiums) dhe modele të pronësisë </w:t>
      </w:r>
      <w:r w:rsidR="00225E2E" w:rsidRPr="001C61AE">
        <w:rPr>
          <w:rFonts w:ascii="Arial" w:hAnsi="Arial" w:cs="Arial"/>
          <w:lang w:val="sq-AL"/>
        </w:rPr>
        <w:t>shoqërore</w:t>
      </w:r>
      <w:r w:rsidRPr="001C61AE">
        <w:rPr>
          <w:rFonts w:ascii="Arial" w:hAnsi="Arial" w:cs="Arial"/>
          <w:lang w:val="sq-AL"/>
        </w:rPr>
        <w:t xml:space="preserve">. Këto masa synojnë të tërheqin investime nga sektori privat, të demokratizojnë prodhimin e energjisë dhe të sigurojnë përputhje me objektivat më të gjera të dekarbonizimit. Integrimi i modeleve prosumator jo vetëm që decentralizon prodhimin, por edhe përmirëson qëndrueshmërinë e sistemit energjetik duke diversifikuar burimet e furnizimit dhe duke reduktuar ekspozimin ndaj </w:t>
      </w:r>
      <w:r w:rsidR="00225E2E" w:rsidRPr="001C61AE">
        <w:rPr>
          <w:rFonts w:ascii="Arial" w:hAnsi="Arial" w:cs="Arial"/>
          <w:lang w:val="sq-AL"/>
        </w:rPr>
        <w:t xml:space="preserve">rreziqeve të </w:t>
      </w:r>
      <w:r w:rsidRPr="001C61AE">
        <w:rPr>
          <w:rFonts w:ascii="Arial" w:hAnsi="Arial" w:cs="Arial"/>
          <w:lang w:val="sq-AL"/>
        </w:rPr>
        <w:t>ekstreme klimatike</w:t>
      </w:r>
      <w:r w:rsidR="00225E2E" w:rsidRPr="001C61AE">
        <w:rPr>
          <w:rFonts w:ascii="Arial" w:hAnsi="Arial" w:cs="Arial"/>
          <w:lang w:val="sq-AL"/>
        </w:rPr>
        <w:t xml:space="preserve"> në sistem.</w:t>
      </w:r>
    </w:p>
    <w:p w14:paraId="57DA4C44" w14:textId="1B7AFED7" w:rsidR="006267BD" w:rsidRPr="001C61AE" w:rsidRDefault="006267BD" w:rsidP="006267BD">
      <w:pPr>
        <w:spacing w:line="240" w:lineRule="auto"/>
        <w:jc w:val="both"/>
        <w:rPr>
          <w:rFonts w:ascii="Arial" w:hAnsi="Arial" w:cs="Arial"/>
          <w:lang w:val="sq-AL"/>
        </w:rPr>
      </w:pPr>
      <w:r w:rsidRPr="001C61AE">
        <w:rPr>
          <w:rFonts w:ascii="Arial" w:hAnsi="Arial" w:cs="Arial"/>
          <w:lang w:val="sq-AL"/>
        </w:rPr>
        <w:t>Efiçienca e energjisë është pozicionuar si një shtyllë po aq kritike e strategjisë së Kosovës për përshtatje ndaj ndryshimeve klimatike. Deri në vitin 2031, vendi synon të kufizojë konsumin final të energjisë në 1,877 kiloton ekuivalent nafte (ktoe), duke arritur kursime kumulative prej 266.4 ktoe. Për të arritur këto objektiva, po zbatohet një paketë gjithëpërfshirëse masash në disa sektorë. Një nga ndërhyrjet kyçe është zgjerimi i kapacitetit të ko-gjenerimit nga 140 MW në 280 MW, duke përmirësuar ndjeshëm efiçiencën e konvertimit të energjisë dhe duke reduktuar kërkesën për energji elektrike në sistemet e ngrohjes urbane.</w:t>
      </w:r>
    </w:p>
    <w:p w14:paraId="6CACB1E4" w14:textId="5677D076" w:rsidR="006267BD" w:rsidRPr="001C61AE" w:rsidRDefault="006267BD" w:rsidP="006267BD">
      <w:pPr>
        <w:spacing w:line="240" w:lineRule="auto"/>
        <w:jc w:val="both"/>
        <w:rPr>
          <w:rFonts w:ascii="Arial" w:hAnsi="Arial" w:cs="Arial"/>
          <w:lang w:val="sq-AL"/>
        </w:rPr>
      </w:pPr>
      <w:r w:rsidRPr="001C61AE">
        <w:rPr>
          <w:rFonts w:ascii="Arial" w:hAnsi="Arial" w:cs="Arial"/>
          <w:lang w:val="sq-AL"/>
        </w:rPr>
        <w:t xml:space="preserve">Rikonstruktimi i ndërtesave përbën një komponent të madh të masave për efiçiencë, me fokus në ndërtesat publike si shkollat dhe spitalet. </w:t>
      </w:r>
      <w:r w:rsidR="00225E2E" w:rsidRPr="001C61AE">
        <w:rPr>
          <w:rFonts w:ascii="Arial" w:hAnsi="Arial" w:cs="Arial"/>
          <w:lang w:val="sq-AL"/>
        </w:rPr>
        <w:t>Aktualisht</w:t>
      </w:r>
      <w:r w:rsidRPr="001C61AE">
        <w:rPr>
          <w:rFonts w:ascii="Arial" w:hAnsi="Arial" w:cs="Arial"/>
          <w:lang w:val="sq-AL"/>
        </w:rPr>
        <w:t xml:space="preserve"> planifik</w:t>
      </w:r>
      <w:r w:rsidR="00225E2E" w:rsidRPr="001C61AE">
        <w:rPr>
          <w:rFonts w:ascii="Arial" w:hAnsi="Arial" w:cs="Arial"/>
          <w:lang w:val="sq-AL"/>
        </w:rPr>
        <w:t>ohet</w:t>
      </w:r>
      <w:r w:rsidRPr="001C61AE">
        <w:rPr>
          <w:rFonts w:ascii="Arial" w:hAnsi="Arial" w:cs="Arial"/>
          <w:lang w:val="sq-AL"/>
        </w:rPr>
        <w:t xml:space="preserve"> </w:t>
      </w:r>
      <w:r w:rsidR="00225E2E" w:rsidRPr="001C61AE">
        <w:rPr>
          <w:rFonts w:ascii="Arial" w:hAnsi="Arial" w:cs="Arial"/>
          <w:lang w:val="sq-AL"/>
        </w:rPr>
        <w:t>certifikimi</w:t>
      </w:r>
      <w:r w:rsidRPr="001C61AE">
        <w:rPr>
          <w:rFonts w:ascii="Arial" w:hAnsi="Arial" w:cs="Arial"/>
          <w:lang w:val="sq-AL"/>
        </w:rPr>
        <w:t xml:space="preserve"> </w:t>
      </w:r>
      <w:r w:rsidR="00225E2E" w:rsidRPr="001C61AE">
        <w:rPr>
          <w:rFonts w:ascii="Arial" w:hAnsi="Arial" w:cs="Arial"/>
          <w:lang w:val="sq-AL"/>
        </w:rPr>
        <w:t xml:space="preserve">i </w:t>
      </w:r>
      <w:r w:rsidRPr="001C61AE">
        <w:rPr>
          <w:rFonts w:ascii="Arial" w:hAnsi="Arial" w:cs="Arial"/>
          <w:lang w:val="sq-AL"/>
        </w:rPr>
        <w:t>150 Ndërtesa me Konsum Gati Zero të Energjisë (NZEB) deri në vitin 2031</w:t>
      </w:r>
      <w:r w:rsidR="007464B3" w:rsidRPr="001C61AE">
        <w:rPr>
          <w:rStyle w:val="FootnoteReference"/>
          <w:rFonts w:ascii="Arial" w:hAnsi="Arial" w:cs="Arial"/>
          <w:lang w:val="sq-AL"/>
        </w:rPr>
        <w:footnoteReference w:id="63"/>
      </w:r>
      <w:r w:rsidRPr="001C61AE">
        <w:rPr>
          <w:rFonts w:ascii="Arial" w:hAnsi="Arial" w:cs="Arial"/>
          <w:lang w:val="sq-AL"/>
        </w:rPr>
        <w:t>, duke integruar dizajn të efiçientë, izolim cilësor dhe teknologji të energjisë së ripërtërishme për të minimizuar emetimet operative dhe për të reduktuar kostot afatgjata të energjisë. Infrastruktura publike gjithashtu është në fokus për instalimin e paneleve diellore, duke shfrytëzuar hapësirat e papërdorura në çati për prodhim të pastër të energjisë.</w:t>
      </w:r>
    </w:p>
    <w:p w14:paraId="5BBA0961" w14:textId="4D851928" w:rsidR="006267BD" w:rsidRPr="001C61AE" w:rsidRDefault="006267BD" w:rsidP="006267BD">
      <w:pPr>
        <w:spacing w:line="240" w:lineRule="auto"/>
        <w:jc w:val="both"/>
        <w:rPr>
          <w:rFonts w:ascii="Arial" w:hAnsi="Arial" w:cs="Arial"/>
          <w:lang w:val="sq-AL"/>
        </w:rPr>
      </w:pPr>
      <w:r w:rsidRPr="001C61AE">
        <w:rPr>
          <w:rFonts w:ascii="Arial" w:hAnsi="Arial" w:cs="Arial"/>
          <w:lang w:val="sq-AL"/>
        </w:rPr>
        <w:t xml:space="preserve">Në anën e kërkesës, </w:t>
      </w:r>
      <w:r w:rsidR="00167FF0" w:rsidRPr="001C61AE">
        <w:rPr>
          <w:rFonts w:ascii="Arial" w:hAnsi="Arial" w:cs="Arial"/>
          <w:lang w:val="sq-AL"/>
        </w:rPr>
        <w:t>nga operatori i sistemit të distribucionit po zbatohen</w:t>
      </w:r>
      <w:r w:rsidRPr="001C61AE">
        <w:rPr>
          <w:rFonts w:ascii="Arial" w:hAnsi="Arial" w:cs="Arial"/>
          <w:lang w:val="sq-AL"/>
        </w:rPr>
        <w:t xml:space="preserve"> sisteme të mençura të matjes dhe faturimit për të përmirësuar monitorimin e konsumit të energjisë dhe për të reduktuar humbjet teknike dhe komerciale. Përmirësimi i izolimit të gypave në rrjetet e ngrohjes qendrore kontribuon më tej në reduktimin e humbjeve të nxehtësisë dhe rritjen e efiçiencës së sistemit. Për të adresuar efektet e "ishujve të nxehtësisë urbane" dhe për të ulur kërkesën për ftohje në verë, po promovohen çatitë e gjelbra, gjelbërimi urban dhe infrastrukturat për ftohje brenda planifikimit urban.</w:t>
      </w:r>
    </w:p>
    <w:p w14:paraId="08B5B873" w14:textId="77777777" w:rsidR="005E06D7" w:rsidRPr="001C61AE" w:rsidRDefault="005E06D7" w:rsidP="005E06D7">
      <w:pPr>
        <w:spacing w:line="240" w:lineRule="auto"/>
        <w:jc w:val="both"/>
        <w:rPr>
          <w:rFonts w:ascii="Arial" w:hAnsi="Arial" w:cs="Arial"/>
          <w:lang w:val="sq-AL"/>
        </w:rPr>
      </w:pPr>
      <w:r w:rsidRPr="001C61AE">
        <w:rPr>
          <w:rFonts w:ascii="Arial" w:hAnsi="Arial" w:cs="Arial"/>
          <w:lang w:val="sq-AL"/>
        </w:rPr>
        <w:t xml:space="preserve">Këto përmirësime në efiçiencë shkojnë përtej reduktimit të emetimeve, duke rritur kapacitetin përshtatës, përmirësuar drejtpërdrejt standardet e jetesës dhe lehtësuar varfërinë energjetike. Duke ulur kërkesën për </w:t>
      </w:r>
      <w:r w:rsidRPr="001C61AE">
        <w:rPr>
          <w:rFonts w:ascii="Arial" w:hAnsi="Arial" w:cs="Arial"/>
          <w:lang w:val="sq-AL"/>
        </w:rPr>
        <w:lastRenderedPageBreak/>
        <w:t>energji dhe shpenzimet familjare për energji, masat për efiçiencë kontribuojnë në një qëndrueshmëri më të gjerë sociale, veçanërisht për popullatat më të ndjeshme.</w:t>
      </w:r>
    </w:p>
    <w:p w14:paraId="3E71C980" w14:textId="77777777" w:rsidR="005E06D7" w:rsidRPr="001C61AE" w:rsidRDefault="005E06D7" w:rsidP="005E06D7">
      <w:pPr>
        <w:spacing w:line="240" w:lineRule="auto"/>
        <w:jc w:val="both"/>
        <w:rPr>
          <w:rFonts w:ascii="Arial" w:hAnsi="Arial" w:cs="Arial"/>
          <w:lang w:val="sq-AL"/>
        </w:rPr>
      </w:pPr>
      <w:r w:rsidRPr="001C61AE">
        <w:rPr>
          <w:rFonts w:ascii="Arial" w:hAnsi="Arial" w:cs="Arial"/>
          <w:lang w:val="sq-AL"/>
        </w:rPr>
        <w:t>Strategjitë e Kosovës për diversifikimin dhe efiçiencën janë të integruara në një kornizë të fortë politike, duke përfshirë Planin Kombëtar për Energji dhe Klimë (NECP) 2025–2030 dhe Strategjinë e Energjisë 2022–2031. Këto dokumente e harmonizojnë përpjekjen e Kosovës me direktivat e Bashkimit Evropian për energjinë dhe klimën, duke siguruar koherencë midis objektivave kombëtare për përshtatje dhe rrugëve të dekarbonizimit evropian.</w:t>
      </w:r>
    </w:p>
    <w:p w14:paraId="0C2345AE" w14:textId="04440F56" w:rsidR="001D4FA1" w:rsidRPr="001C61AE" w:rsidRDefault="005E06D7" w:rsidP="001D4FA1">
      <w:pPr>
        <w:spacing w:line="240" w:lineRule="auto"/>
        <w:jc w:val="both"/>
        <w:rPr>
          <w:rFonts w:ascii="Arial" w:hAnsi="Arial" w:cs="Arial"/>
          <w:lang w:val="sq-AL"/>
        </w:rPr>
      </w:pPr>
      <w:r w:rsidRPr="001C61AE">
        <w:rPr>
          <w:rFonts w:ascii="Arial" w:hAnsi="Arial" w:cs="Arial"/>
          <w:lang w:val="sq-AL"/>
        </w:rPr>
        <w:t xml:space="preserve">Për të mbështetur zbatimin, </w:t>
      </w:r>
      <w:r w:rsidR="002C6EC9" w:rsidRPr="001C61AE">
        <w:rPr>
          <w:rFonts w:ascii="Arial" w:hAnsi="Arial" w:cs="Arial"/>
          <w:lang w:val="sq-AL"/>
        </w:rPr>
        <w:t>po përdoren</w:t>
      </w:r>
      <w:r w:rsidRPr="001C61AE">
        <w:rPr>
          <w:rFonts w:ascii="Arial" w:hAnsi="Arial" w:cs="Arial"/>
          <w:lang w:val="sq-AL"/>
        </w:rPr>
        <w:t xml:space="preserve"> partneritete ndërkombëtare dhe mekanizma financimi. Programi Kompakt i Korporatës së Sfidës së Mijëvjeçarit (MCC) ndan 202 milionë dollarë për projekte që përfshijnë përmirësime në efiçiencën e energjisë dhe përfshirjen e sektorit privat. Instrumente plotësuese</w:t>
      </w:r>
      <w:r w:rsidR="00167FF0" w:rsidRPr="001C61AE">
        <w:rPr>
          <w:rFonts w:ascii="Arial" w:hAnsi="Arial" w:cs="Arial"/>
          <w:lang w:val="sq-AL"/>
        </w:rPr>
        <w:t xml:space="preserve"> </w:t>
      </w:r>
      <w:r w:rsidRPr="001C61AE">
        <w:rPr>
          <w:rFonts w:ascii="Arial" w:hAnsi="Arial" w:cs="Arial"/>
          <w:lang w:val="sq-AL"/>
        </w:rPr>
        <w:t>partneritetet publiko-private, janë duke u zhvilluar për të mobilizuar investime për projektet e diversifikimit dhe efiçiencës</w:t>
      </w:r>
      <w:r w:rsidR="001D4FA1" w:rsidRPr="001C61AE">
        <w:rPr>
          <w:rFonts w:ascii="Arial" w:hAnsi="Arial" w:cs="Arial"/>
          <w:lang w:val="sq-AL"/>
        </w:rPr>
        <w:t>.</w:t>
      </w:r>
    </w:p>
    <w:p w14:paraId="4034CAA6" w14:textId="6C319248" w:rsidR="001D4FA1" w:rsidRPr="001C61AE" w:rsidRDefault="006267BD" w:rsidP="001D4FA1">
      <w:pPr>
        <w:spacing w:line="240" w:lineRule="auto"/>
        <w:rPr>
          <w:rFonts w:ascii="Arial" w:hAnsi="Arial" w:cs="Arial"/>
          <w:b/>
          <w:bCs/>
          <w:color w:val="0F4761"/>
          <w:lang w:val="sq-AL"/>
        </w:rPr>
      </w:pPr>
      <w:r w:rsidRPr="001C61AE">
        <w:rPr>
          <w:rFonts w:ascii="Arial" w:hAnsi="Arial" w:cs="Arial"/>
          <w:b/>
          <w:bCs/>
          <w:color w:val="0F4761"/>
          <w:lang w:val="sq-AL"/>
        </w:rPr>
        <w:t>Objektivat specifikë</w:t>
      </w:r>
    </w:p>
    <w:p w14:paraId="153BBC12" w14:textId="420D005A" w:rsidR="006267BD" w:rsidRPr="001C61AE" w:rsidRDefault="00862AC4" w:rsidP="006267BD">
      <w:pPr>
        <w:spacing w:line="240" w:lineRule="auto"/>
        <w:ind w:left="708"/>
        <w:jc w:val="both"/>
        <w:rPr>
          <w:rFonts w:ascii="Arial" w:hAnsi="Arial" w:cs="Arial"/>
          <w:b/>
          <w:bCs/>
          <w:color w:val="0F4761"/>
          <w:lang w:val="sq-AL"/>
        </w:rPr>
      </w:pPr>
      <w:r w:rsidRPr="001C61AE">
        <w:rPr>
          <w:rFonts w:ascii="Arial" w:hAnsi="Arial" w:cs="Arial"/>
          <w:b/>
          <w:bCs/>
          <w:color w:val="0F4761"/>
          <w:lang w:val="sq-AL"/>
        </w:rPr>
        <w:t>II.1</w:t>
      </w:r>
      <w:r w:rsidR="005A005C" w:rsidRPr="001C61AE">
        <w:rPr>
          <w:rFonts w:ascii="Arial" w:hAnsi="Arial" w:cs="Arial"/>
          <w:b/>
          <w:bCs/>
          <w:color w:val="0F4761"/>
          <w:lang w:val="sq-AL"/>
        </w:rPr>
        <w:t>4</w:t>
      </w:r>
      <w:r w:rsidR="00226DF3" w:rsidRPr="001C61AE">
        <w:rPr>
          <w:rFonts w:ascii="Arial" w:hAnsi="Arial" w:cs="Arial"/>
          <w:b/>
          <w:bCs/>
          <w:color w:val="0F4761"/>
          <w:lang w:val="sq-AL"/>
        </w:rPr>
        <w:t xml:space="preserve"> </w:t>
      </w:r>
      <w:r w:rsidR="006267BD" w:rsidRPr="001C61AE">
        <w:rPr>
          <w:rFonts w:ascii="Arial" w:hAnsi="Arial" w:cs="Arial"/>
          <w:b/>
          <w:bCs/>
          <w:color w:val="0F4761"/>
          <w:lang w:val="sq-AL"/>
        </w:rPr>
        <w:t>Zgjerimi i kapaciteteve të energjisë së erës për të shfrytëzuar prodhimin e qëndrueshëm ndaj ndryshimeve klimatike</w:t>
      </w:r>
      <w:r w:rsidR="005E06D7" w:rsidRPr="001C61AE">
        <w:rPr>
          <w:rFonts w:ascii="Arial" w:hAnsi="Arial" w:cs="Arial"/>
          <w:b/>
          <w:bCs/>
          <w:color w:val="0F4761"/>
          <w:lang w:val="sq-AL"/>
        </w:rPr>
        <w:t>.</w:t>
      </w:r>
    </w:p>
    <w:p w14:paraId="67E305F8" w14:textId="07D359AF" w:rsidR="00E00F4A" w:rsidRPr="001C61AE" w:rsidRDefault="005E06D7" w:rsidP="006267BD">
      <w:pPr>
        <w:spacing w:line="240" w:lineRule="auto"/>
        <w:jc w:val="both"/>
        <w:rPr>
          <w:rFonts w:ascii="Arial" w:hAnsi="Arial" w:cs="Arial"/>
          <w:lang w:val="sq-AL"/>
        </w:rPr>
      </w:pPr>
      <w:r w:rsidRPr="001C61AE">
        <w:rPr>
          <w:rFonts w:ascii="Arial" w:hAnsi="Arial" w:cs="Arial"/>
          <w:lang w:val="sq-AL"/>
        </w:rPr>
        <w:t xml:space="preserve">Zgjerimi i prodhimit të energjisë nga era përbën një shtyllë kyçe të strategjisë së Kosovës për të rritur qëndrueshmërinë e sektorit të energjisë ndaj ndryshimeve klimatike. Modelet e erës në Kosovë ofrojnë një </w:t>
      </w:r>
      <w:r w:rsidR="009D3691" w:rsidRPr="001C61AE">
        <w:rPr>
          <w:rFonts w:ascii="Arial" w:hAnsi="Arial" w:cs="Arial"/>
          <w:lang w:val="sq-AL"/>
        </w:rPr>
        <w:t xml:space="preserve">zëvëndësim </w:t>
      </w:r>
      <w:r w:rsidRPr="001C61AE">
        <w:rPr>
          <w:rFonts w:ascii="Arial" w:hAnsi="Arial" w:cs="Arial"/>
          <w:lang w:val="sq-AL"/>
        </w:rPr>
        <w:t>sezonal për energjinë hidrike, e cila shpesh pëson ulje të prodhimit gjatë thatësirave ose në fund të verës. Duke investuar në ferma të mëdha të erës dhe duke lehtësuar integrimin e energjisë së erës në rrjetin kombëtar, Kosova mund të reduktojë varësinë nga burimet e energjisë që janë të ndjeshme ndaj klimës dhe me intensitet të lartë të karbonit. Kjo masë adreson drejtpërdrejt dobësitë e furnizimit dhe besueshmërinë sezonale, duke kontribuar në një përzierje elektrike më të balancuar dhe të përshtatshme ndaj klimës</w:t>
      </w:r>
      <w:r w:rsidR="00E00F4A" w:rsidRPr="001C61AE">
        <w:rPr>
          <w:rFonts w:ascii="Arial" w:hAnsi="Arial" w:cs="Arial"/>
          <w:lang w:val="sq-AL"/>
        </w:rPr>
        <w:t>.</w:t>
      </w:r>
    </w:p>
    <w:p w14:paraId="06837820" w14:textId="52245202" w:rsidR="00226DF3" w:rsidRPr="001C61AE" w:rsidRDefault="00862AC4" w:rsidP="00226DF3">
      <w:pPr>
        <w:spacing w:line="240" w:lineRule="auto"/>
        <w:ind w:left="708"/>
        <w:jc w:val="both"/>
        <w:rPr>
          <w:rFonts w:ascii="Arial" w:hAnsi="Arial" w:cs="Arial"/>
          <w:b/>
          <w:bCs/>
          <w:color w:val="0F4761"/>
          <w:lang w:val="sq-AL"/>
        </w:rPr>
      </w:pPr>
      <w:r w:rsidRPr="001C61AE">
        <w:rPr>
          <w:rFonts w:ascii="Arial" w:hAnsi="Arial" w:cs="Arial"/>
          <w:b/>
          <w:bCs/>
          <w:color w:val="0F4761"/>
          <w:lang w:val="sq-AL"/>
        </w:rPr>
        <w:t>II.1</w:t>
      </w:r>
      <w:r w:rsidR="005A005C" w:rsidRPr="001C61AE">
        <w:rPr>
          <w:rFonts w:ascii="Arial" w:hAnsi="Arial" w:cs="Arial"/>
          <w:b/>
          <w:bCs/>
          <w:color w:val="0F4761"/>
          <w:lang w:val="sq-AL"/>
        </w:rPr>
        <w:t>5</w:t>
      </w:r>
      <w:r w:rsidR="00226DF3" w:rsidRPr="001C61AE">
        <w:rPr>
          <w:rFonts w:ascii="Arial" w:hAnsi="Arial" w:cs="Arial"/>
          <w:b/>
          <w:bCs/>
          <w:color w:val="0F4761"/>
          <w:lang w:val="sq-AL"/>
        </w:rPr>
        <w:t xml:space="preserve"> </w:t>
      </w:r>
      <w:r w:rsidR="005E06D7" w:rsidRPr="001C61AE">
        <w:rPr>
          <w:rFonts w:ascii="Arial" w:hAnsi="Arial" w:cs="Arial"/>
          <w:b/>
          <w:bCs/>
          <w:color w:val="0F4761"/>
          <w:lang w:val="sq-AL"/>
        </w:rPr>
        <w:t>Rritja e instalimit të paneleve fotovoltaike diellore (në shkallë industriale dhe mbi ndërtesa) për të diversifikuar furnizimin, veçanërisht gjatë pikut të verës.</w:t>
      </w:r>
    </w:p>
    <w:p w14:paraId="7EBF2E29" w14:textId="0FB2690C" w:rsidR="00E00F4A" w:rsidRPr="001C61AE" w:rsidRDefault="005E06D7" w:rsidP="008E17FD">
      <w:pPr>
        <w:spacing w:line="240" w:lineRule="auto"/>
        <w:jc w:val="both"/>
        <w:rPr>
          <w:rFonts w:ascii="Arial" w:hAnsi="Arial" w:cs="Arial"/>
          <w:lang w:val="sq-AL"/>
        </w:rPr>
      </w:pPr>
      <w:r w:rsidRPr="001C61AE">
        <w:rPr>
          <w:rFonts w:ascii="Arial" w:hAnsi="Arial" w:cs="Arial"/>
          <w:lang w:val="sq-AL"/>
        </w:rPr>
        <w:t>Zgjerimi i përdorimit të energjisë diellore fotovoltaike (PV)—si nëpërmjet instalimeve të shkallës së madhe ashtu edhe përmes sistemeve të decentralizuara në çati—ka për qëllim të rrisë diversifikimin e burimeve të energjisë dhe të ulë kufizimet e furnizimit gjatë periudhave të kërkesës së lartë në verë. Disponueshmëria e energjisë diellore përputhet me kërkesën për ftohje dhe kompenson mungesën e prodhimit hidro gjatë periudhave të thata. Duke promovuar korniza investimi si ankandet</w:t>
      </w:r>
      <w:r w:rsidR="009A5C2C" w:rsidRPr="001C61AE">
        <w:rPr>
          <w:rFonts w:ascii="Arial" w:hAnsi="Arial" w:cs="Arial"/>
          <w:lang w:val="sq-AL"/>
        </w:rPr>
        <w:t xml:space="preserve"> dhe subvencionet për panele solare</w:t>
      </w:r>
      <w:r w:rsidRPr="001C61AE">
        <w:rPr>
          <w:rFonts w:ascii="Arial" w:hAnsi="Arial" w:cs="Arial"/>
          <w:lang w:val="sq-AL"/>
        </w:rPr>
        <w:t>, Kosova synon të përshpejtojë adoptimin e energjisë diellore, duke përmirësuar gjithashtu qasjen në energji të pastër dhe të prodhuar në mënyrë lokale. Ky objektiv jo vetëm që mbështet qëllimet e reduktimit të emetimeve, por gjithashtu forcon drejtpërdrejt aftësinë e sektorit për të përballuar dhe për t’iu përshtatur ndryshueshmërisë klimatike sezonale</w:t>
      </w:r>
      <w:r w:rsidR="00E00F4A" w:rsidRPr="001C61AE">
        <w:rPr>
          <w:rFonts w:ascii="Arial" w:hAnsi="Arial" w:cs="Arial"/>
          <w:lang w:val="sq-AL"/>
        </w:rPr>
        <w:t>.</w:t>
      </w:r>
    </w:p>
    <w:p w14:paraId="2A711AAD" w14:textId="3C0CEC6A" w:rsidR="00226DF3" w:rsidRPr="001C61AE" w:rsidRDefault="00862AC4" w:rsidP="00226DF3">
      <w:pPr>
        <w:spacing w:line="240" w:lineRule="auto"/>
        <w:ind w:left="708"/>
        <w:jc w:val="both"/>
        <w:rPr>
          <w:rFonts w:ascii="Arial" w:hAnsi="Arial" w:cs="Arial"/>
          <w:b/>
          <w:bCs/>
          <w:color w:val="0F4761"/>
          <w:lang w:val="sq-AL"/>
        </w:rPr>
      </w:pPr>
      <w:r w:rsidRPr="001C61AE">
        <w:rPr>
          <w:rFonts w:ascii="Arial" w:hAnsi="Arial" w:cs="Arial"/>
          <w:b/>
          <w:bCs/>
          <w:color w:val="0F4761"/>
          <w:lang w:val="sq-AL"/>
        </w:rPr>
        <w:t>II.</w:t>
      </w:r>
      <w:r w:rsidR="00226DF3" w:rsidRPr="001C61AE">
        <w:rPr>
          <w:rFonts w:ascii="Arial" w:hAnsi="Arial" w:cs="Arial"/>
          <w:b/>
          <w:bCs/>
          <w:color w:val="0F4761"/>
          <w:lang w:val="sq-AL"/>
        </w:rPr>
        <w:t>1</w:t>
      </w:r>
      <w:r w:rsidR="005A005C" w:rsidRPr="001C61AE">
        <w:rPr>
          <w:rFonts w:ascii="Arial" w:hAnsi="Arial" w:cs="Arial"/>
          <w:b/>
          <w:bCs/>
          <w:color w:val="0F4761"/>
          <w:lang w:val="sq-AL"/>
        </w:rPr>
        <w:t>6</w:t>
      </w:r>
      <w:r w:rsidR="00226DF3" w:rsidRPr="001C61AE">
        <w:rPr>
          <w:rFonts w:ascii="Arial" w:hAnsi="Arial" w:cs="Arial"/>
          <w:b/>
          <w:bCs/>
          <w:color w:val="0F4761"/>
          <w:lang w:val="sq-AL"/>
        </w:rPr>
        <w:t xml:space="preserve"> </w:t>
      </w:r>
      <w:r w:rsidR="005E06D7" w:rsidRPr="001C61AE">
        <w:rPr>
          <w:rFonts w:ascii="Arial" w:hAnsi="Arial" w:cs="Arial"/>
          <w:b/>
          <w:bCs/>
          <w:color w:val="0F4761"/>
          <w:lang w:val="sq-AL"/>
        </w:rPr>
        <w:t>Rritja e pjesëmarrjes së burimeve të ripërtëritshme në prodhimin dhe konsumimin e energjisë elektrike</w:t>
      </w:r>
      <w:r w:rsidR="009A5C2C" w:rsidRPr="001C61AE">
        <w:rPr>
          <w:rFonts w:ascii="Arial" w:hAnsi="Arial" w:cs="Arial"/>
          <w:b/>
          <w:bCs/>
          <w:color w:val="0F4761"/>
          <w:lang w:val="sq-AL"/>
        </w:rPr>
        <w:t>.</w:t>
      </w:r>
    </w:p>
    <w:p w14:paraId="792B3B1B" w14:textId="59AD7CCA" w:rsidR="00E00F4A" w:rsidRPr="001C61AE" w:rsidRDefault="007E1C33" w:rsidP="008E17FD">
      <w:pPr>
        <w:spacing w:line="240" w:lineRule="auto"/>
        <w:jc w:val="both"/>
        <w:rPr>
          <w:rFonts w:ascii="Arial" w:hAnsi="Arial" w:cs="Arial"/>
          <w:lang w:val="sq-AL"/>
        </w:rPr>
      </w:pPr>
      <w:r w:rsidRPr="001C61AE">
        <w:rPr>
          <w:rFonts w:ascii="Arial" w:hAnsi="Arial" w:cs="Arial"/>
          <w:lang w:val="sq-AL"/>
        </w:rPr>
        <w:t>Rritja e përqindjes së energjisë së ripërtëritshme në përzierjen e prodhimit dhe konsumit të energjisë elektrike në Kosovë është thelbësore për përshtatjen afatgjatë ndaj ndryshimeve klimatike</w:t>
      </w:r>
      <w:r w:rsidR="009A5C2C" w:rsidRPr="001C61AE">
        <w:rPr>
          <w:rFonts w:ascii="Arial" w:hAnsi="Arial" w:cs="Arial"/>
          <w:lang w:val="sq-AL"/>
        </w:rPr>
        <w:t xml:space="preserve"> dhe ndërkohë</w:t>
      </w:r>
      <w:r w:rsidRPr="001C61AE">
        <w:rPr>
          <w:rFonts w:ascii="Arial" w:hAnsi="Arial" w:cs="Arial"/>
          <w:lang w:val="sq-AL"/>
        </w:rPr>
        <w:t xml:space="preserve"> </w:t>
      </w:r>
      <w:r w:rsidR="009A5C2C" w:rsidRPr="001C61AE">
        <w:rPr>
          <w:rFonts w:ascii="Arial" w:hAnsi="Arial" w:cs="Arial"/>
          <w:lang w:val="sq-AL"/>
        </w:rPr>
        <w:t xml:space="preserve"> na afron drejt </w:t>
      </w:r>
      <w:r w:rsidRPr="001C61AE">
        <w:rPr>
          <w:rFonts w:ascii="Arial" w:hAnsi="Arial" w:cs="Arial"/>
          <w:lang w:val="sq-AL"/>
        </w:rPr>
        <w:t xml:space="preserve">synimit të vitit 2031 për të arritur 35% të energjisë elektrike nga burime të ripërtëritshme. </w:t>
      </w:r>
    </w:p>
    <w:p w14:paraId="5234C37D" w14:textId="2923ADA9" w:rsidR="00226DF3" w:rsidRPr="001C61AE" w:rsidRDefault="00862AC4" w:rsidP="00226DF3">
      <w:pPr>
        <w:spacing w:line="240" w:lineRule="auto"/>
        <w:ind w:left="708"/>
        <w:jc w:val="both"/>
        <w:rPr>
          <w:rFonts w:ascii="Arial" w:hAnsi="Arial" w:cs="Arial"/>
          <w:b/>
          <w:bCs/>
          <w:color w:val="0F4761"/>
          <w:lang w:val="sq-AL"/>
        </w:rPr>
      </w:pPr>
      <w:r w:rsidRPr="001C61AE">
        <w:rPr>
          <w:rFonts w:ascii="Arial" w:hAnsi="Arial" w:cs="Arial"/>
          <w:b/>
          <w:bCs/>
          <w:color w:val="0F4761"/>
          <w:lang w:val="sq-AL"/>
        </w:rPr>
        <w:t>II.1</w:t>
      </w:r>
      <w:r w:rsidR="005A005C" w:rsidRPr="001C61AE">
        <w:rPr>
          <w:rFonts w:ascii="Arial" w:hAnsi="Arial" w:cs="Arial"/>
          <w:b/>
          <w:bCs/>
          <w:color w:val="0F4761"/>
          <w:lang w:val="sq-AL"/>
        </w:rPr>
        <w:t>7</w:t>
      </w:r>
      <w:r w:rsidR="00226DF3" w:rsidRPr="001C61AE">
        <w:rPr>
          <w:rFonts w:ascii="Arial" w:hAnsi="Arial" w:cs="Arial"/>
          <w:b/>
          <w:bCs/>
          <w:color w:val="0F4761"/>
          <w:lang w:val="sq-AL"/>
        </w:rPr>
        <w:t xml:space="preserve"> </w:t>
      </w:r>
      <w:r w:rsidR="005E06D7" w:rsidRPr="001C61AE">
        <w:rPr>
          <w:rFonts w:ascii="Arial" w:hAnsi="Arial" w:cs="Arial"/>
          <w:b/>
          <w:bCs/>
          <w:color w:val="0F4761"/>
          <w:lang w:val="sq-AL"/>
        </w:rPr>
        <w:t>Promovimi i energjisë së ripërtëritshme të shpërndarë</w:t>
      </w:r>
      <w:r w:rsidR="00146E90" w:rsidRPr="001C61AE">
        <w:rPr>
          <w:rFonts w:ascii="Arial" w:hAnsi="Arial" w:cs="Arial"/>
          <w:b/>
          <w:bCs/>
          <w:color w:val="0F4761"/>
          <w:lang w:val="sq-AL"/>
        </w:rPr>
        <w:t xml:space="preserve"> në mikro-rrjete</w:t>
      </w:r>
      <w:r w:rsidR="005E06D7" w:rsidRPr="001C61AE">
        <w:rPr>
          <w:rFonts w:ascii="Arial" w:hAnsi="Arial" w:cs="Arial"/>
          <w:b/>
          <w:bCs/>
          <w:color w:val="0F4761"/>
          <w:lang w:val="sq-AL"/>
        </w:rPr>
        <w:t xml:space="preserve"> (prodhues-konsumues dhe sisteme të vogla të biomasës/biogazit)</w:t>
      </w:r>
      <w:r w:rsidR="00146E90" w:rsidRPr="001C61AE">
        <w:rPr>
          <w:rFonts w:ascii="Arial" w:hAnsi="Arial" w:cs="Arial"/>
          <w:b/>
          <w:bCs/>
          <w:color w:val="0F4761"/>
          <w:lang w:val="sq-AL"/>
        </w:rPr>
        <w:t>.</w:t>
      </w:r>
    </w:p>
    <w:p w14:paraId="15D6C67E" w14:textId="13BD8BF8" w:rsidR="00E00F4A" w:rsidRPr="001C61AE" w:rsidRDefault="007E1C33" w:rsidP="008E17FD">
      <w:pPr>
        <w:spacing w:line="240" w:lineRule="auto"/>
        <w:jc w:val="both"/>
        <w:rPr>
          <w:rFonts w:ascii="Arial" w:hAnsi="Arial" w:cs="Arial"/>
          <w:lang w:val="sq-AL"/>
        </w:rPr>
      </w:pPr>
      <w:r w:rsidRPr="001C61AE">
        <w:rPr>
          <w:rFonts w:ascii="Arial" w:hAnsi="Arial" w:cs="Arial"/>
          <w:lang w:val="sq-AL"/>
        </w:rPr>
        <w:t>Promovimi i energjisë së ripërtëritshme të shpërndarë</w:t>
      </w:r>
      <w:r w:rsidR="00146E90" w:rsidRPr="001C61AE">
        <w:rPr>
          <w:rFonts w:ascii="Arial" w:hAnsi="Arial" w:cs="Arial"/>
          <w:lang w:val="sq-AL"/>
        </w:rPr>
        <w:t xml:space="preserve"> </w:t>
      </w:r>
      <w:r w:rsidRPr="001C61AE">
        <w:rPr>
          <w:rFonts w:ascii="Arial" w:hAnsi="Arial" w:cs="Arial"/>
          <w:lang w:val="sq-AL"/>
        </w:rPr>
        <w:t>si sistemet diellore në çati, turbina me kapacitet të vogël për komunitetet, dhe instalimet e biomasës apo biogazit në shkallë të vogël</w:t>
      </w:r>
      <w:r w:rsidR="00146E90" w:rsidRPr="001C61AE">
        <w:rPr>
          <w:rFonts w:ascii="Arial" w:hAnsi="Arial" w:cs="Arial"/>
          <w:lang w:val="sq-AL"/>
        </w:rPr>
        <w:t xml:space="preserve"> </w:t>
      </w:r>
      <w:r w:rsidRPr="001C61AE">
        <w:rPr>
          <w:rFonts w:ascii="Arial" w:hAnsi="Arial" w:cs="Arial"/>
          <w:lang w:val="sq-AL"/>
        </w:rPr>
        <w:t>forco</w:t>
      </w:r>
      <w:r w:rsidR="00146E90" w:rsidRPr="001C61AE">
        <w:rPr>
          <w:rFonts w:ascii="Arial" w:hAnsi="Arial" w:cs="Arial"/>
          <w:lang w:val="sq-AL"/>
        </w:rPr>
        <w:t>jnë</w:t>
      </w:r>
      <w:r w:rsidRPr="001C61AE">
        <w:rPr>
          <w:rFonts w:ascii="Arial" w:hAnsi="Arial" w:cs="Arial"/>
          <w:lang w:val="sq-AL"/>
        </w:rPr>
        <w:t xml:space="preserve"> qëndrueshmërinë në nivel lokal përballë ndërprerjeve të shkaktuara nga klima. Ky objektiv synon fuqizimin e amvisërive, fermave dhe bizneseve për t’u bërë prodhues të energjisë ("prodhues-konsumues"), duke garantuar qasje në energji gjatë dështimeve të rrjetit qendror ose në ngarkesat maksimale. Decentralizimi i prodhimit përforcon sigurinë energjetike të Kosovës, veçanërisht në zonat rurale dhe periferike, dhe mbështet një qeverisje më gjithëpërfshirëse dhe pjesëmarrëse të energjisë. Për më tepër, përdorimi i biomasës së qëndrueshme dhe mbetjeve organike kontribuon në diversifikimin e burimeve energjetike, ndërkohë që mbështet objektivat e përshtatjes klimatike dhe ekonomisë qarkulluese</w:t>
      </w:r>
      <w:r w:rsidR="00E00F4A" w:rsidRPr="001C61AE">
        <w:rPr>
          <w:rFonts w:ascii="Arial" w:hAnsi="Arial" w:cs="Arial"/>
          <w:lang w:val="sq-AL"/>
        </w:rPr>
        <w:t>.</w:t>
      </w:r>
    </w:p>
    <w:p w14:paraId="246AA4BD" w14:textId="07681FC0" w:rsidR="00226DF3" w:rsidRPr="001C61AE" w:rsidRDefault="00862AC4" w:rsidP="00226DF3">
      <w:pPr>
        <w:spacing w:line="240" w:lineRule="auto"/>
        <w:ind w:left="708"/>
        <w:jc w:val="both"/>
        <w:rPr>
          <w:rFonts w:ascii="Arial" w:hAnsi="Arial" w:cs="Arial"/>
          <w:b/>
          <w:bCs/>
          <w:color w:val="0F4761"/>
          <w:lang w:val="sq-AL"/>
        </w:rPr>
      </w:pPr>
      <w:r w:rsidRPr="001C61AE">
        <w:rPr>
          <w:rFonts w:ascii="Arial" w:hAnsi="Arial" w:cs="Arial"/>
          <w:b/>
          <w:bCs/>
          <w:color w:val="0F4761"/>
          <w:lang w:val="sq-AL"/>
        </w:rPr>
        <w:lastRenderedPageBreak/>
        <w:t>II.1</w:t>
      </w:r>
      <w:r w:rsidR="005A005C" w:rsidRPr="001C61AE">
        <w:rPr>
          <w:rFonts w:ascii="Arial" w:hAnsi="Arial" w:cs="Arial"/>
          <w:b/>
          <w:bCs/>
          <w:color w:val="0F4761"/>
          <w:lang w:val="sq-AL"/>
        </w:rPr>
        <w:t>8</w:t>
      </w:r>
      <w:r w:rsidR="00226DF3" w:rsidRPr="001C61AE">
        <w:rPr>
          <w:rFonts w:ascii="Arial" w:hAnsi="Arial" w:cs="Arial"/>
          <w:b/>
          <w:bCs/>
          <w:color w:val="0F4761"/>
          <w:lang w:val="sq-AL"/>
        </w:rPr>
        <w:t xml:space="preserve"> </w:t>
      </w:r>
      <w:r w:rsidR="007E1C33" w:rsidRPr="001C61AE">
        <w:rPr>
          <w:rFonts w:ascii="Arial" w:hAnsi="Arial" w:cs="Arial"/>
          <w:b/>
          <w:bCs/>
          <w:color w:val="0F4761"/>
          <w:lang w:val="sq-AL"/>
        </w:rPr>
        <w:t xml:space="preserve">Zhvillimi i kapaciteteve për ruajtjen e energjisë dhe fleksibilitetin e sistemit për të mbështetur integrimin e burimeve të </w:t>
      </w:r>
      <w:r w:rsidR="00146E90" w:rsidRPr="001C61AE">
        <w:rPr>
          <w:rFonts w:ascii="Arial" w:hAnsi="Arial" w:cs="Arial"/>
          <w:b/>
          <w:bCs/>
          <w:color w:val="0F4761"/>
          <w:lang w:val="sq-AL"/>
        </w:rPr>
        <w:t xml:space="preserve">reja energjetike </w:t>
      </w:r>
      <w:r w:rsidR="007E1C33" w:rsidRPr="001C61AE">
        <w:rPr>
          <w:rFonts w:ascii="Arial" w:hAnsi="Arial" w:cs="Arial"/>
          <w:b/>
          <w:bCs/>
          <w:color w:val="0F4761"/>
          <w:lang w:val="sq-AL"/>
        </w:rPr>
        <w:t>(duke zhvendosur furnizimin për t'iu përshtatur kërkesës)</w:t>
      </w:r>
      <w:r w:rsidR="00226DF3" w:rsidRPr="001C61AE">
        <w:rPr>
          <w:rFonts w:ascii="Arial" w:hAnsi="Arial" w:cs="Arial"/>
          <w:b/>
          <w:bCs/>
          <w:color w:val="0F4761"/>
          <w:lang w:val="sq-AL"/>
        </w:rPr>
        <w:t>.</w:t>
      </w:r>
    </w:p>
    <w:p w14:paraId="501583F6" w14:textId="4CF6E4F1" w:rsidR="00E00F4A" w:rsidRPr="001C61AE" w:rsidRDefault="007E1C33" w:rsidP="008E17FD">
      <w:pPr>
        <w:spacing w:line="240" w:lineRule="auto"/>
        <w:jc w:val="both"/>
        <w:rPr>
          <w:rFonts w:ascii="Arial" w:hAnsi="Arial" w:cs="Arial"/>
          <w:lang w:val="sq-AL"/>
        </w:rPr>
      </w:pPr>
      <w:r w:rsidRPr="001C61AE">
        <w:rPr>
          <w:rFonts w:ascii="Arial" w:hAnsi="Arial" w:cs="Arial"/>
          <w:lang w:val="sq-AL"/>
        </w:rPr>
        <w:t xml:space="preserve">Me rritjen e kapacitetit të energjisë në Kosovë, integrimi i sistemeve të ruajtjes së energjisë dhe i fleksibilitetit të sistemit energjetik bëhet gjithnjë e më i domosdoshëm për të ruajtur besueshmërinë e furnizimit. Ky objektiv promovon përdorimin e teknologjive si ruajtja me bateri, ruajtja termike dhe zgjidhjet e rrjetit të mençur (smart grid) për të menaxhuar ndërprerjet e prodhimit që lidhen me energjinë diellore dhe atë të erës. Infrastruktura fleksibile i mundëson sistemit energjetik të përthithë </w:t>
      </w:r>
      <w:r w:rsidR="007464B3" w:rsidRPr="001C61AE">
        <w:rPr>
          <w:rFonts w:ascii="Arial" w:hAnsi="Arial" w:cs="Arial"/>
          <w:lang w:val="sq-AL"/>
        </w:rPr>
        <w:t xml:space="preserve">ngarkesë të papritur </w:t>
      </w:r>
      <w:r w:rsidRPr="001C61AE">
        <w:rPr>
          <w:rFonts w:ascii="Arial" w:hAnsi="Arial" w:cs="Arial"/>
          <w:lang w:val="sq-AL"/>
        </w:rPr>
        <w:t>, të zhvendosë furnizimin në përputhje me kërkesat maksimale dhe të rikuperohet më shpejt nga ndërprerjet e shkaktuara nga ndryshimet klimatike. Duke stabilizuar rrjetin dhe përmirësuar reagimin operacional, ruajtja e energjisë luan një rol themelor në sigurimin e qëndrueshmërisë afatgjatë dhe të përshtatjes klimatike të një tranzicioni energjetik të bazuar në burime të ripërtëritshme</w:t>
      </w:r>
      <w:r w:rsidR="00E00F4A" w:rsidRPr="001C61AE">
        <w:rPr>
          <w:rFonts w:ascii="Arial" w:hAnsi="Arial" w:cs="Arial"/>
          <w:lang w:val="sq-AL"/>
        </w:rPr>
        <w:t>.</w:t>
      </w:r>
    </w:p>
    <w:p w14:paraId="2B02DD16" w14:textId="36B9C8FE" w:rsidR="001D4FA1" w:rsidRPr="001C61AE" w:rsidRDefault="0091468A" w:rsidP="00233010">
      <w:pPr>
        <w:pStyle w:val="Heading3"/>
        <w:rPr>
          <w:rFonts w:ascii="Arial" w:hAnsi="Arial" w:cs="Arial"/>
          <w:lang w:val="sq-AL"/>
        </w:rPr>
      </w:pPr>
      <w:bookmarkStart w:id="79" w:name="_Toc211532707"/>
      <w:bookmarkStart w:id="80" w:name="_Hlk200707862"/>
      <w:r w:rsidRPr="001C61AE">
        <w:rPr>
          <w:rFonts w:ascii="Arial" w:hAnsi="Arial" w:cs="Arial"/>
          <w:lang w:val="sq-AL"/>
        </w:rPr>
        <w:t>Forcimi i qëndrueshmërisë së rrjetit energjetik ndaj ndryshimeve klimatike</w:t>
      </w:r>
      <w:bookmarkEnd w:id="79"/>
      <w:r w:rsidRPr="001C61AE">
        <w:rPr>
          <w:rFonts w:ascii="Arial" w:hAnsi="Arial" w:cs="Arial"/>
          <w:lang w:val="sq-AL"/>
        </w:rPr>
        <w:t xml:space="preserve"> </w:t>
      </w:r>
    </w:p>
    <w:bookmarkEnd w:id="80"/>
    <w:p w14:paraId="5786EA67" w14:textId="60FD57BD" w:rsidR="004A350A" w:rsidRPr="001C61AE" w:rsidRDefault="00146E90" w:rsidP="004A350A">
      <w:pPr>
        <w:spacing w:line="240" w:lineRule="auto"/>
        <w:jc w:val="both"/>
        <w:rPr>
          <w:rFonts w:ascii="Arial" w:hAnsi="Arial" w:cs="Arial"/>
          <w:lang w:val="sq-AL"/>
        </w:rPr>
      </w:pPr>
      <w:r w:rsidRPr="001C61AE">
        <w:rPr>
          <w:rFonts w:ascii="Arial" w:hAnsi="Arial" w:cs="Arial"/>
          <w:lang w:val="sq-AL"/>
        </w:rPr>
        <w:t>P</w:t>
      </w:r>
      <w:r w:rsidR="004A350A" w:rsidRPr="001C61AE">
        <w:rPr>
          <w:rFonts w:ascii="Arial" w:hAnsi="Arial" w:cs="Arial"/>
          <w:lang w:val="sq-AL"/>
        </w:rPr>
        <w:t xml:space="preserve">ër forcimin e qëndrueshmërisë së rrjetit elektrik ndaj ndryshimeve klimatike </w:t>
      </w:r>
      <w:r w:rsidRPr="001C61AE">
        <w:rPr>
          <w:rFonts w:ascii="Arial" w:hAnsi="Arial" w:cs="Arial"/>
          <w:lang w:val="sq-AL"/>
        </w:rPr>
        <w:t xml:space="preserve">janë </w:t>
      </w:r>
      <w:r w:rsidR="004A350A" w:rsidRPr="001C61AE">
        <w:rPr>
          <w:rFonts w:ascii="Arial" w:hAnsi="Arial" w:cs="Arial"/>
          <w:lang w:val="sq-AL"/>
        </w:rPr>
        <w:t>disa sektorë prioritarë që kërkojnë masa të synuara të përshtatjes. Këto përfshijnë infrastrukturën e transmetimit dhe shpërndarjes, sistemet e nënstacioneve dhe transformatorëve, teknologjitë e automatizimit dhe kontrollit të sistemit energjetik, rrjetet e shpërndarjes në zonat rurale dhe urbane, rezervat strategjike të energjisë dhe sistemet rezervë, mekanizmat e reagimit emergjent brenda sektorit të energjisë, infrastrukturën e ngrohjes qëndrore, si dhe tregjet rajonale të energjisë dhe bashkëpunimin ndërkufitar të rrjetit. Secili prej këtyre sektorëve luan një rol jetik në sigurimin e stabilitetit, fleksibilitetit dhe vazhdimësisë së sistemit energjetik kombëtar përballë rritjes së ndërprerjeve të lidhura me klimën.</w:t>
      </w:r>
    </w:p>
    <w:p w14:paraId="6DDB5166" w14:textId="77777777" w:rsidR="004A350A" w:rsidRPr="001C61AE" w:rsidRDefault="004A350A" w:rsidP="004A350A">
      <w:pPr>
        <w:spacing w:line="240" w:lineRule="auto"/>
        <w:jc w:val="both"/>
        <w:rPr>
          <w:rFonts w:ascii="Arial" w:hAnsi="Arial" w:cs="Arial"/>
          <w:lang w:val="sq-AL"/>
        </w:rPr>
      </w:pPr>
      <w:r w:rsidRPr="001C61AE">
        <w:rPr>
          <w:rFonts w:ascii="Arial" w:hAnsi="Arial" w:cs="Arial"/>
          <w:lang w:val="sq-AL"/>
        </w:rPr>
        <w:t>Një nga masat kryesore të përshtatjes është modernizimi i rrjetit të transmetimit, i udhëhequr nga Plani për Zhvillimin e Transmetimit 2023–2032. Ky plan fokusohet në konsolidimin dhe përmirësimin e sistemeve 400 kV dhe 110 kV, duke e larguar gradualisht rrjetin më pak kritik 220 kV. Përpjekja për modernizim synon përmbushjen e standardit të besueshmërisë N-1, duke siguruar që rrjeti të funksionojë edhe në rast të dështimit të një komponenti të vetëm të transmetimit. Një ndërhyrje tjetër thelbësore përfshin zëvendësimin e transformatorëve dhe nënstacioneve të vjetruara me pajisje moderne dhe të qëndrueshme ndaj kushteve klimatike. Këto përmirësime janë të dizajnuara për të parandaluar mbinxehjen gjatë valëve ekstreme të të nxehtit dhe për të përballuar luhatjet e tensionit të shkaktuara nga ndërprerje të papritura klimatike, siç janë stuhitë apo rrufetë.</w:t>
      </w:r>
    </w:p>
    <w:p w14:paraId="30CB6939" w14:textId="34028EA6" w:rsidR="001D4FA1" w:rsidRPr="001C61AE" w:rsidRDefault="002C6EC9" w:rsidP="001D4FA1">
      <w:pPr>
        <w:spacing w:line="240" w:lineRule="auto"/>
        <w:jc w:val="both"/>
        <w:rPr>
          <w:rFonts w:ascii="Arial" w:hAnsi="Arial" w:cs="Arial"/>
          <w:lang w:val="sq-AL"/>
        </w:rPr>
      </w:pPr>
      <w:r w:rsidRPr="001C61AE">
        <w:rPr>
          <w:rFonts w:ascii="Arial" w:hAnsi="Arial" w:cs="Arial"/>
          <w:lang w:val="sq-AL"/>
        </w:rPr>
        <w:t>G</w:t>
      </w:r>
      <w:r w:rsidR="004A350A" w:rsidRPr="001C61AE">
        <w:rPr>
          <w:rFonts w:ascii="Arial" w:hAnsi="Arial" w:cs="Arial"/>
          <w:lang w:val="sq-AL"/>
        </w:rPr>
        <w:t>jithashtu</w:t>
      </w:r>
      <w:r w:rsidRPr="001C61AE">
        <w:rPr>
          <w:rFonts w:ascii="Arial" w:hAnsi="Arial" w:cs="Arial"/>
          <w:lang w:val="sq-AL"/>
        </w:rPr>
        <w:t>, po vendosen</w:t>
      </w:r>
      <w:r w:rsidR="004A350A" w:rsidRPr="001C61AE">
        <w:rPr>
          <w:rFonts w:ascii="Arial" w:hAnsi="Arial" w:cs="Arial"/>
          <w:lang w:val="sq-AL"/>
        </w:rPr>
        <w:t xml:space="preserve"> sisteme të avancuara të Kontrollit dhe Mbikëqyrjes së të Dhënave (SCADA) dhe Sisteme të Menaxhimit të Energjisë (EMS) për të përmirësuar vëzhgimin e rrjetit dhe reagimin operacional. Këto teknologji mundësojnë monitorim në kohë reale, kalim në distancë të linjave, dhe optimizim dinamik të rrjedhave të energjisë – elementë kyç për menaxhimin e goditjeve të papritura si përmbytjet ose valët e të nxehtit që mund të kufizojnë qasjen fizike në infrastrukturë. Për të reduktuar më tej cenueshmërinë, rrjeti po ristrukturohet për të përfshirë më shumë redundancë sistemore. Kjo përfshin rritjen e kapacitetit ndërlidhës dhe zhvillimin e konfigurimeve të rrjetit në formë rrethore (looped), të cilat mundësojnë ridrejtimin e energjisë në rast të dështimeve lokale dhe minimizojnë përhapjen e ndërprerjeve. Po ashtu, sistemet e komunikimit për operimin e rrjetit po pajisen me mbështetje rezervë për të siguruar që qendrat e kontrollit të ruajnë ndërgjegjësimin </w:t>
      </w:r>
      <w:r w:rsidR="004647E8" w:rsidRPr="001C61AE">
        <w:rPr>
          <w:rFonts w:ascii="Arial" w:hAnsi="Arial" w:cs="Arial"/>
          <w:lang w:val="sq-AL"/>
        </w:rPr>
        <w:t xml:space="preserve">për situatën </w:t>
      </w:r>
      <w:r w:rsidR="004A350A" w:rsidRPr="001C61AE">
        <w:rPr>
          <w:rFonts w:ascii="Arial" w:hAnsi="Arial" w:cs="Arial"/>
          <w:lang w:val="sq-AL"/>
        </w:rPr>
        <w:t>edhe kur sistemet primare komprometohen</w:t>
      </w:r>
      <w:r w:rsidR="001D4FA1" w:rsidRPr="001C61AE">
        <w:rPr>
          <w:rFonts w:ascii="Arial" w:hAnsi="Arial" w:cs="Arial"/>
          <w:lang w:val="sq-AL"/>
        </w:rPr>
        <w:t>.</w:t>
      </w:r>
    </w:p>
    <w:p w14:paraId="3644F3D2" w14:textId="3A9C7FBD" w:rsidR="004A350A" w:rsidRPr="001C61AE" w:rsidRDefault="004A350A" w:rsidP="004A350A">
      <w:pPr>
        <w:spacing w:line="240" w:lineRule="auto"/>
        <w:jc w:val="both"/>
        <w:rPr>
          <w:rFonts w:ascii="Arial" w:hAnsi="Arial" w:cs="Arial"/>
          <w:lang w:val="sq-AL"/>
        </w:rPr>
      </w:pPr>
      <w:r w:rsidRPr="001C61AE">
        <w:rPr>
          <w:rFonts w:ascii="Arial" w:hAnsi="Arial" w:cs="Arial"/>
          <w:lang w:val="sq-AL"/>
        </w:rPr>
        <w:t xml:space="preserve">Në zonat rurale dhe të rrezikuara nga fatkeqësitë natyrore, qëndrueshmëria e linjave të shpërndarjes po përmirësohet përmes përforcimeve strukturore. Këto përfshijnë zëvendësimin e shtyllave të vjetruara, zhvendosjen e segmenteve kritike të linjave nëntokë, dhe menaxhimin e vegjetacionit për të minimizuar dëmet nga erërat e fuqishme, rrëshqitjet e dheut, grumbullimi i borës dhe përmbytjet. Duke marrë parasysh rrezikun e shtuar nga ngjarjet ekstreme klimatike, po </w:t>
      </w:r>
      <w:r w:rsidR="002C6EC9" w:rsidRPr="001C61AE">
        <w:rPr>
          <w:rFonts w:ascii="Arial" w:hAnsi="Arial" w:cs="Arial"/>
          <w:lang w:val="sq-AL"/>
        </w:rPr>
        <w:t xml:space="preserve">përforcohen </w:t>
      </w:r>
      <w:r w:rsidRPr="001C61AE">
        <w:rPr>
          <w:rFonts w:ascii="Arial" w:hAnsi="Arial" w:cs="Arial"/>
          <w:lang w:val="sq-AL"/>
        </w:rPr>
        <w:t>gjithashtu sistemet e reagimit emergjent në sektorin e energjisë. Po zhvillohen protokolle për vlerësimin e shpejtë të dëmeve, rikthimin e funksionimit të rrjetit dhe vazhdimësinë e shërbimeve. Këto përfshijnë vendosjen strategjike të ekipeve të riparimit, krijimin e rezervave të pjesëve këmbimore, dhe vendosjen e nënstacioneve të lëvizshme dhe gjeneratorëve rezervë për të mbrojtur infrastrukturën kritike gjatë ndërprerjeve të zgjatura. Në këtë kontekst, është planifikuar rinovimi i të paktën një njësie të Termocentralit “Kosova A”, e cila pritet të funksionojë si rezervë strategjike duke filluar nga viti 2028. Njësia e rehabilituar do të përdoret gjatë kulmit të kërkesës në dimër ose në raste emergjente energjetike, me përmirësime që do të rrisin sigurinë operative, do të zgjasin jetëgjatësinë e saj për 20 vjet dhe do të ulin konsumin e thëngjillit.</w:t>
      </w:r>
    </w:p>
    <w:p w14:paraId="702DA639" w14:textId="7D54D59D" w:rsidR="001D4FA1" w:rsidRPr="001C61AE" w:rsidRDefault="004A350A" w:rsidP="001D4FA1">
      <w:pPr>
        <w:spacing w:line="240" w:lineRule="auto"/>
        <w:jc w:val="both"/>
        <w:rPr>
          <w:rFonts w:ascii="Arial" w:hAnsi="Arial" w:cs="Arial"/>
          <w:lang w:val="sq-AL"/>
        </w:rPr>
      </w:pPr>
      <w:r w:rsidRPr="001C61AE">
        <w:rPr>
          <w:rFonts w:ascii="Arial" w:hAnsi="Arial" w:cs="Arial"/>
          <w:lang w:val="sq-AL"/>
        </w:rPr>
        <w:lastRenderedPageBreak/>
        <w:t xml:space="preserve">Mjetet e planifikimit afatgjatë po integrohen në strategjinë për qëndrueshmëri të rrjetit për të parashikuar ndikimet e ardhshme të ndryshimeve klimatike mbi kërkesën për energji elektrike dhe performancën e infrastrukturës. Modelimi i skenarëve po përdoret për të vlerësuar ndryshimet në modelet e konsumit të energjisë – siç është rritja e ngarkesave maksimale për shkak të përdorimit të kondicionerëve gjatë verërave më të nxehta – dhe për të orientuar vendimmarrjen mbi zgjerimin e kapaciteteve dhe përforcimin e sistemit. Në nivel rajonal, </w:t>
      </w:r>
      <w:r w:rsidR="00146E90" w:rsidRPr="001C61AE">
        <w:rPr>
          <w:rFonts w:ascii="Arial" w:hAnsi="Arial" w:cs="Arial"/>
          <w:lang w:val="sq-AL"/>
        </w:rPr>
        <w:t>po harmonizohen</w:t>
      </w:r>
      <w:r w:rsidRPr="001C61AE">
        <w:rPr>
          <w:rFonts w:ascii="Arial" w:hAnsi="Arial" w:cs="Arial"/>
          <w:lang w:val="sq-AL"/>
        </w:rPr>
        <w:t xml:space="preserve"> standardet teknike dhe operacionale me ato të Rrjetit Evropian të Operatorëve të Sistemit të Transmetimit të Energjisë Elektrike (ENTSO-E) dhe po thell</w:t>
      </w:r>
      <w:r w:rsidR="00146E90" w:rsidRPr="001C61AE">
        <w:rPr>
          <w:rFonts w:ascii="Arial" w:hAnsi="Arial" w:cs="Arial"/>
          <w:lang w:val="sq-AL"/>
        </w:rPr>
        <w:t>ohet</w:t>
      </w:r>
      <w:r w:rsidRPr="001C61AE">
        <w:rPr>
          <w:rFonts w:ascii="Arial" w:hAnsi="Arial" w:cs="Arial"/>
          <w:lang w:val="sq-AL"/>
        </w:rPr>
        <w:t xml:space="preserve"> pjesëmarrj</w:t>
      </w:r>
      <w:r w:rsidR="00146E90" w:rsidRPr="001C61AE">
        <w:rPr>
          <w:rFonts w:ascii="Arial" w:hAnsi="Arial" w:cs="Arial"/>
          <w:lang w:val="sq-AL"/>
        </w:rPr>
        <w:t>a</w:t>
      </w:r>
      <w:r w:rsidRPr="001C61AE">
        <w:rPr>
          <w:rFonts w:ascii="Arial" w:hAnsi="Arial" w:cs="Arial"/>
          <w:lang w:val="sq-AL"/>
        </w:rPr>
        <w:t xml:space="preserve"> në tregjet rajonale, </w:t>
      </w:r>
      <w:r w:rsidR="00146E90" w:rsidRPr="001C61AE">
        <w:rPr>
          <w:rFonts w:ascii="Arial" w:hAnsi="Arial" w:cs="Arial"/>
          <w:lang w:val="sq-AL"/>
        </w:rPr>
        <w:t xml:space="preserve">me theks të veçantë </w:t>
      </w:r>
      <w:r w:rsidRPr="001C61AE">
        <w:rPr>
          <w:rFonts w:ascii="Arial" w:hAnsi="Arial" w:cs="Arial"/>
          <w:lang w:val="sq-AL"/>
        </w:rPr>
        <w:t>Bursën Shqiptare të Energjisë (ALPEX). Këto iniciativa forcojnë kapacitetin e Kosovës për të importuar ose eksportuar energji, për të ndarë rezerva, dhe për të koordinuar reagimin në raste të ndërprerjeve ndërkufitare të rrjetit</w:t>
      </w:r>
      <w:r w:rsidR="009B7497" w:rsidRPr="001C61AE">
        <w:rPr>
          <w:rFonts w:ascii="Arial" w:hAnsi="Arial" w:cs="Arial"/>
          <w:lang w:val="sq-AL"/>
        </w:rPr>
        <w:t>.</w:t>
      </w:r>
    </w:p>
    <w:p w14:paraId="6EB7815B" w14:textId="3B321A03" w:rsidR="004A350A" w:rsidRPr="001C61AE" w:rsidRDefault="004A350A" w:rsidP="004A350A">
      <w:pPr>
        <w:spacing w:line="240" w:lineRule="auto"/>
        <w:jc w:val="both"/>
        <w:rPr>
          <w:rFonts w:ascii="Arial" w:hAnsi="Arial" w:cs="Arial"/>
          <w:lang w:val="sq-AL"/>
        </w:rPr>
      </w:pPr>
      <w:r w:rsidRPr="001C61AE">
        <w:rPr>
          <w:rFonts w:ascii="Arial" w:hAnsi="Arial" w:cs="Arial"/>
          <w:lang w:val="sq-AL"/>
        </w:rPr>
        <w:t xml:space="preserve">Përveç energjisë elektrike, </w:t>
      </w:r>
      <w:r w:rsidR="00146E90" w:rsidRPr="001C61AE">
        <w:rPr>
          <w:rFonts w:ascii="Arial" w:hAnsi="Arial" w:cs="Arial"/>
          <w:lang w:val="sq-AL"/>
        </w:rPr>
        <w:t>po</w:t>
      </w:r>
      <w:r w:rsidRPr="001C61AE">
        <w:rPr>
          <w:rFonts w:ascii="Arial" w:hAnsi="Arial" w:cs="Arial"/>
          <w:lang w:val="sq-AL"/>
        </w:rPr>
        <w:t xml:space="preserve"> forco</w:t>
      </w:r>
      <w:r w:rsidR="00146E90" w:rsidRPr="001C61AE">
        <w:rPr>
          <w:rFonts w:ascii="Arial" w:hAnsi="Arial" w:cs="Arial"/>
          <w:lang w:val="sq-AL"/>
        </w:rPr>
        <w:t xml:space="preserve">het </w:t>
      </w:r>
      <w:r w:rsidRPr="001C61AE">
        <w:rPr>
          <w:rFonts w:ascii="Arial" w:hAnsi="Arial" w:cs="Arial"/>
          <w:lang w:val="sq-AL"/>
        </w:rPr>
        <w:t>gjithashtu qëndrueshmër</w:t>
      </w:r>
      <w:r w:rsidR="00146E90" w:rsidRPr="001C61AE">
        <w:rPr>
          <w:rFonts w:ascii="Arial" w:hAnsi="Arial" w:cs="Arial"/>
          <w:lang w:val="sq-AL"/>
        </w:rPr>
        <w:t>ia</w:t>
      </w:r>
      <w:r w:rsidRPr="001C61AE">
        <w:rPr>
          <w:rFonts w:ascii="Arial" w:hAnsi="Arial" w:cs="Arial"/>
          <w:lang w:val="sq-AL"/>
        </w:rPr>
        <w:t xml:space="preserve"> e infrastrukturës së ngrohjes qendrore, veçanërisht në Prishtinë dhe Gjakovë. Kjo përfshin integrimin e planifikuar të 50 MW energji solare termike në rrjetin e ngrohjes qendrore, duke rritur qëndrueshmërinë e sistemit. </w:t>
      </w:r>
    </w:p>
    <w:p w14:paraId="10EA7E9E" w14:textId="77777777" w:rsidR="004A350A" w:rsidRPr="001C61AE" w:rsidRDefault="004A350A" w:rsidP="004A350A">
      <w:pPr>
        <w:spacing w:line="240" w:lineRule="auto"/>
        <w:jc w:val="both"/>
        <w:rPr>
          <w:rFonts w:ascii="Arial" w:hAnsi="Arial" w:cs="Arial"/>
          <w:lang w:val="sq-AL"/>
        </w:rPr>
      </w:pPr>
      <w:r w:rsidRPr="001C61AE">
        <w:rPr>
          <w:rFonts w:ascii="Arial" w:hAnsi="Arial" w:cs="Arial"/>
          <w:lang w:val="sq-AL"/>
        </w:rPr>
        <w:t>Digjitalizimi po luan një rol gjithnjë e më të rëndësishëm në strategjinë e Kosovës për përshtatjen e rrjetit energjetik. Infrastruktura e mençur—përfshirë matësit inteligjentë, ndërprerësit automatikë, sistemet për zbulimin e defekteve dhe mjetet për mirëmbajtje parandaluese—po vendoset për të mundësuar një rrjet më të decentralizuar dhe vetë-riparues. Këto teknologji mbështesin izolimin më të shpejtë të defekteve, zvogëlimin e kohës jashtë funksionit dhe përshtatshmëri më të madhe ndaj luhatjeve në kërkesë dhe prodhim, të gjitha thelbësore për menaxhimin e ndikimeve klimatike si ato të ngadalta ashtu edhe ato të papritura.</w:t>
      </w:r>
    </w:p>
    <w:p w14:paraId="2E068C44" w14:textId="45CA19A7" w:rsidR="00083FB3" w:rsidRPr="001C61AE" w:rsidRDefault="004A350A" w:rsidP="001D4FA1">
      <w:pPr>
        <w:spacing w:line="240" w:lineRule="auto"/>
        <w:jc w:val="both"/>
        <w:rPr>
          <w:rFonts w:ascii="Arial" w:hAnsi="Arial" w:cs="Arial"/>
          <w:lang w:val="sq-AL"/>
        </w:rPr>
      </w:pPr>
      <w:r w:rsidRPr="001C61AE">
        <w:rPr>
          <w:rFonts w:ascii="Arial" w:hAnsi="Arial" w:cs="Arial"/>
          <w:lang w:val="sq-AL"/>
        </w:rPr>
        <w:t xml:space="preserve">Në përmbledhje, qasja e Kosovës për forcimin e qëndrueshmërisë së rrjetit energjetik është gjithëpërfshirëse dhe me vizion afatgjatë. Ajo kombinon modernizimin e infrastrukturës, inovacionin teknologjik, rezervat strategjike të energjisë, gatishmërinë për emergjenca dhe bashkëpunimin rajonal për të mbrojtur sistemin energjetik nga rreziqet klimatike. Këto përpjekje jo vetëm që forcojnë sigurinë dhe funksionalitetin e rrjetit ekzistues, por gjithashtu krijojnë themelet për integrimin e burimeve dhe shërbimeve të ardhshme të energjisë </w:t>
      </w:r>
      <w:r w:rsidR="004647E8" w:rsidRPr="001C61AE">
        <w:rPr>
          <w:rFonts w:ascii="Arial" w:hAnsi="Arial" w:cs="Arial"/>
          <w:lang w:val="sq-AL"/>
        </w:rPr>
        <w:t xml:space="preserve">në </w:t>
      </w:r>
      <w:r w:rsidRPr="001C61AE">
        <w:rPr>
          <w:rFonts w:ascii="Arial" w:hAnsi="Arial" w:cs="Arial"/>
          <w:lang w:val="sq-AL"/>
        </w:rPr>
        <w:t>mënyrë të qëndrueshme dhe të përshtatshme ndaj klimës</w:t>
      </w:r>
      <w:r w:rsidR="001D4FA1" w:rsidRPr="001C61AE">
        <w:rPr>
          <w:rFonts w:ascii="Arial" w:hAnsi="Arial" w:cs="Arial"/>
          <w:lang w:val="sq-AL"/>
        </w:rPr>
        <w:t>.</w:t>
      </w:r>
    </w:p>
    <w:p w14:paraId="4DB2B479" w14:textId="521A79FF" w:rsidR="001D4FA1" w:rsidRPr="001C61AE" w:rsidRDefault="006267BD" w:rsidP="001D4FA1">
      <w:pPr>
        <w:spacing w:line="240" w:lineRule="auto"/>
        <w:rPr>
          <w:rFonts w:ascii="Arial" w:hAnsi="Arial" w:cs="Arial"/>
          <w:b/>
          <w:bCs/>
          <w:color w:val="0F4761"/>
          <w:lang w:val="sq-AL"/>
        </w:rPr>
      </w:pPr>
      <w:r w:rsidRPr="001C61AE">
        <w:rPr>
          <w:rFonts w:ascii="Arial" w:hAnsi="Arial" w:cs="Arial"/>
          <w:b/>
          <w:bCs/>
          <w:color w:val="0F4761"/>
          <w:lang w:val="sq-AL"/>
        </w:rPr>
        <w:t>Objektivi specifikë</w:t>
      </w:r>
    </w:p>
    <w:p w14:paraId="674D8D4B" w14:textId="7546FC79" w:rsidR="00223B35" w:rsidRPr="001C61AE" w:rsidRDefault="00862AC4" w:rsidP="00223B35">
      <w:pPr>
        <w:spacing w:line="240" w:lineRule="auto"/>
        <w:ind w:left="708"/>
        <w:jc w:val="both"/>
        <w:rPr>
          <w:rFonts w:ascii="Arial" w:hAnsi="Arial" w:cs="Arial"/>
          <w:b/>
          <w:bCs/>
          <w:color w:val="0F4761"/>
          <w:lang w:val="sq-AL"/>
        </w:rPr>
      </w:pPr>
      <w:r w:rsidRPr="001C61AE">
        <w:rPr>
          <w:rFonts w:ascii="Arial" w:hAnsi="Arial" w:cs="Arial"/>
          <w:b/>
          <w:bCs/>
          <w:color w:val="0F4761"/>
          <w:lang w:val="sq-AL"/>
        </w:rPr>
        <w:t>II.1</w:t>
      </w:r>
      <w:r w:rsidR="005A005C" w:rsidRPr="001C61AE">
        <w:rPr>
          <w:rFonts w:ascii="Arial" w:hAnsi="Arial" w:cs="Arial"/>
          <w:b/>
          <w:bCs/>
          <w:color w:val="0F4761"/>
          <w:lang w:val="sq-AL"/>
        </w:rPr>
        <w:t>9</w:t>
      </w:r>
      <w:r w:rsidR="00223B35" w:rsidRPr="001C61AE">
        <w:rPr>
          <w:rFonts w:ascii="Arial" w:hAnsi="Arial" w:cs="Arial"/>
          <w:b/>
          <w:bCs/>
          <w:color w:val="0F4761"/>
          <w:lang w:val="sq-AL"/>
        </w:rPr>
        <w:t xml:space="preserve"> </w:t>
      </w:r>
      <w:r w:rsidR="004A350A" w:rsidRPr="001C61AE">
        <w:rPr>
          <w:rFonts w:ascii="Arial" w:hAnsi="Arial" w:cs="Arial"/>
          <w:b/>
          <w:bCs/>
          <w:color w:val="0F4761"/>
          <w:lang w:val="sq-AL"/>
        </w:rPr>
        <w:t>Sigurimi ndaj klimës i infrastrukturës kritike të energjisë (termocentraleve, linjave të transmetimit, nënstacioneve) kundër përmbytjeve, valëve të të nxehtit dhe rreziqeve të tjera.</w:t>
      </w:r>
    </w:p>
    <w:p w14:paraId="30C9190D" w14:textId="135EC1DB" w:rsidR="00C71B2F" w:rsidRPr="001C61AE" w:rsidRDefault="004A350A" w:rsidP="008E17FD">
      <w:pPr>
        <w:spacing w:line="240" w:lineRule="auto"/>
        <w:jc w:val="both"/>
        <w:rPr>
          <w:rFonts w:ascii="Arial" w:hAnsi="Arial" w:cs="Arial"/>
          <w:lang w:val="sq-AL"/>
        </w:rPr>
      </w:pPr>
      <w:r w:rsidRPr="001C61AE">
        <w:rPr>
          <w:rFonts w:ascii="Arial" w:hAnsi="Arial" w:cs="Arial"/>
          <w:lang w:val="sq-AL"/>
        </w:rPr>
        <w:t xml:space="preserve">Për të reduktuar cenueshmërinë e sistemit të energjisë elektrike të Kosovës ndaj rreziqeve të lidhura me ndryshimet klimatike, do të </w:t>
      </w:r>
      <w:r w:rsidR="00DF1F32" w:rsidRPr="001C61AE">
        <w:rPr>
          <w:rFonts w:ascii="Arial" w:hAnsi="Arial" w:cs="Arial"/>
          <w:lang w:val="sq-AL"/>
        </w:rPr>
        <w:t xml:space="preserve">ndërmirren </w:t>
      </w:r>
      <w:r w:rsidRPr="001C61AE">
        <w:rPr>
          <w:rFonts w:ascii="Arial" w:hAnsi="Arial" w:cs="Arial"/>
          <w:lang w:val="sq-AL"/>
        </w:rPr>
        <w:t>përmirësime fizike të synuara në infrastrukturën esenciale. Kjo përfshin forcimin e linjave të transmetimit dhe ngritjen e nënstacioneve për të parandaluar dëmtimet nga përmbytjet, instalimin e sistemeve ftohëse të qëndrueshme ndaj nxehtësisë në termocentrale, si dhe zëvendësimin e transformatorëve të vjetruar që janë të ndjeshëm ndaj mbinxehjes apo dështimeve të shkaktuara nga moti ekstrem. Këto ndërhyrje janë thelbësore për të siguruar që furnizimi me energji elektrike të mbetet i qëndrueshëm dhe i sigurt gjatë ngjarjeve ekstreme klimatike, duke mbrojtur mirëqenien publike dhe aktivitetin ekonomik</w:t>
      </w:r>
      <w:r w:rsidR="00C71B2F" w:rsidRPr="001C61AE">
        <w:rPr>
          <w:rFonts w:ascii="Arial" w:hAnsi="Arial" w:cs="Arial"/>
          <w:lang w:val="sq-AL"/>
        </w:rPr>
        <w:t>.</w:t>
      </w:r>
    </w:p>
    <w:p w14:paraId="023FC996" w14:textId="353F99DE" w:rsidR="00223B35" w:rsidRPr="001C61AE" w:rsidRDefault="00862AC4" w:rsidP="00223B35">
      <w:pPr>
        <w:spacing w:line="240" w:lineRule="auto"/>
        <w:ind w:left="708"/>
        <w:jc w:val="both"/>
        <w:rPr>
          <w:rFonts w:ascii="Arial" w:hAnsi="Arial" w:cs="Arial"/>
          <w:b/>
          <w:bCs/>
          <w:color w:val="0F4761"/>
          <w:lang w:val="sq-AL"/>
        </w:rPr>
      </w:pPr>
      <w:r w:rsidRPr="001C61AE">
        <w:rPr>
          <w:rFonts w:ascii="Arial" w:hAnsi="Arial" w:cs="Arial"/>
          <w:b/>
          <w:bCs/>
          <w:color w:val="0F4761"/>
          <w:lang w:val="sq-AL"/>
        </w:rPr>
        <w:t>II.</w:t>
      </w:r>
      <w:r w:rsidR="005A005C" w:rsidRPr="001C61AE">
        <w:rPr>
          <w:rFonts w:ascii="Arial" w:hAnsi="Arial" w:cs="Arial"/>
          <w:b/>
          <w:bCs/>
          <w:color w:val="0F4761"/>
          <w:lang w:val="sq-AL"/>
        </w:rPr>
        <w:t>20</w:t>
      </w:r>
      <w:r w:rsidR="00223B35" w:rsidRPr="001C61AE">
        <w:rPr>
          <w:rFonts w:ascii="Arial" w:hAnsi="Arial" w:cs="Arial"/>
          <w:b/>
          <w:bCs/>
          <w:color w:val="0F4761"/>
          <w:lang w:val="sq-AL"/>
        </w:rPr>
        <w:t xml:space="preserve"> </w:t>
      </w:r>
      <w:r w:rsidR="004A350A" w:rsidRPr="001C61AE">
        <w:rPr>
          <w:rFonts w:ascii="Arial" w:hAnsi="Arial" w:cs="Arial"/>
          <w:b/>
          <w:bCs/>
          <w:color w:val="0F4761"/>
          <w:lang w:val="sq-AL"/>
        </w:rPr>
        <w:t>Modernizimi dhe automatizimi i rrjetit të energjisë elektrike për të përmirësuar besueshmërinë në kushte stresi (rrjete të mençura, tepricë N-1, izolim i shpejtë i defekteve).</w:t>
      </w:r>
    </w:p>
    <w:p w14:paraId="2A7D4431" w14:textId="3003E150" w:rsidR="00C71B2F" w:rsidRPr="001C61AE" w:rsidRDefault="004A350A" w:rsidP="008E17FD">
      <w:pPr>
        <w:spacing w:line="240" w:lineRule="auto"/>
        <w:jc w:val="both"/>
        <w:rPr>
          <w:rFonts w:ascii="Arial" w:hAnsi="Arial" w:cs="Arial"/>
          <w:lang w:val="sq-AL"/>
        </w:rPr>
      </w:pPr>
      <w:r w:rsidRPr="001C61AE">
        <w:rPr>
          <w:rFonts w:ascii="Arial" w:hAnsi="Arial" w:cs="Arial"/>
          <w:lang w:val="sq-AL"/>
        </w:rPr>
        <w:t>Modernizimi i rrjetit është një komponent kyç i strategjisë së Kosovës për përshtatje ndaj ndryshimeve klimatike. Integrimi i infrastrukturës digjitale—siç janë sistemet SCADA, EMS, matësit inteligjentë dhe ndërprerësit automatikë—do të mundësojë monitorimin në kohë reale dhe kontrollin reagues të rrjetit nën stres klimatik. Kjo përfshin ridrejtimin dinamik të energjisë, izolimin e shpejtë të defekteve dhe ruajtjen e funksionalitetit të sistemit edhe në rast të ndërprerjeve të lokalizuara të infrastrukturës. Qëllimi është të arrihet standardi i besueshmërisë N-1, duke siguruar që sistemi të mbetet funksional edhe nëse një komponent i vetëm dështon për shkak të ngjarjeve të lidhura me klimën</w:t>
      </w:r>
      <w:r w:rsidR="00C71B2F" w:rsidRPr="001C61AE">
        <w:rPr>
          <w:rFonts w:ascii="Arial" w:hAnsi="Arial" w:cs="Arial"/>
          <w:lang w:val="sq-AL"/>
        </w:rPr>
        <w:t>.</w:t>
      </w:r>
    </w:p>
    <w:p w14:paraId="6ABD6244" w14:textId="63FEB309" w:rsidR="00223B35" w:rsidRPr="001C61AE" w:rsidRDefault="00862AC4" w:rsidP="00223B35">
      <w:pPr>
        <w:spacing w:line="240" w:lineRule="auto"/>
        <w:ind w:left="708"/>
        <w:jc w:val="both"/>
        <w:rPr>
          <w:rFonts w:ascii="Arial" w:hAnsi="Arial" w:cs="Arial"/>
          <w:b/>
          <w:bCs/>
          <w:color w:val="0F4761"/>
          <w:lang w:val="sq-AL"/>
        </w:rPr>
      </w:pPr>
      <w:r w:rsidRPr="001C61AE">
        <w:rPr>
          <w:rFonts w:ascii="Arial" w:hAnsi="Arial" w:cs="Arial"/>
          <w:b/>
          <w:bCs/>
          <w:color w:val="0F4761"/>
          <w:lang w:val="sq-AL"/>
        </w:rPr>
        <w:t>II.2</w:t>
      </w:r>
      <w:r w:rsidR="005A005C" w:rsidRPr="001C61AE">
        <w:rPr>
          <w:rFonts w:ascii="Arial" w:hAnsi="Arial" w:cs="Arial"/>
          <w:b/>
          <w:bCs/>
          <w:color w:val="0F4761"/>
          <w:lang w:val="sq-AL"/>
        </w:rPr>
        <w:t>1</w:t>
      </w:r>
      <w:r w:rsidR="00223B35" w:rsidRPr="001C61AE">
        <w:rPr>
          <w:rFonts w:ascii="Arial" w:hAnsi="Arial" w:cs="Arial"/>
          <w:b/>
          <w:bCs/>
          <w:color w:val="0F4761"/>
          <w:lang w:val="sq-AL"/>
        </w:rPr>
        <w:t xml:space="preserve"> </w:t>
      </w:r>
      <w:r w:rsidR="004A350A" w:rsidRPr="001C61AE">
        <w:rPr>
          <w:rFonts w:ascii="Arial" w:hAnsi="Arial" w:cs="Arial"/>
          <w:b/>
          <w:bCs/>
          <w:color w:val="0F4761"/>
          <w:lang w:val="sq-AL"/>
        </w:rPr>
        <w:t>Rritja e kapaciteteve rezervë dhe të ruajtjes së energjisë për të siguruar furnizim me energji gjatë emergjencave ose ngarkesave maksimale (Kjo përfshin rezerva të diversifikuara si bateritë, hidrocentralet me pompim dhe gjeneratorët rezervë)</w:t>
      </w:r>
    </w:p>
    <w:p w14:paraId="6377698B" w14:textId="7E9D83D2" w:rsidR="00C71B2F" w:rsidRPr="001C61AE" w:rsidRDefault="001A751B" w:rsidP="008E17FD">
      <w:pPr>
        <w:spacing w:line="240" w:lineRule="auto"/>
        <w:jc w:val="both"/>
        <w:rPr>
          <w:rFonts w:ascii="Arial" w:hAnsi="Arial" w:cs="Arial"/>
          <w:lang w:val="sq-AL"/>
        </w:rPr>
      </w:pPr>
      <w:r w:rsidRPr="001C61AE">
        <w:rPr>
          <w:rFonts w:ascii="Arial" w:hAnsi="Arial" w:cs="Arial"/>
          <w:lang w:val="sq-AL"/>
        </w:rPr>
        <w:t xml:space="preserve">Për të siguruar vazhdimësinë e shërbimit gjatë ndërprerjeve të shkaktuara nga ndikimet klimatike, do të </w:t>
      </w:r>
      <w:r w:rsidR="00004057" w:rsidRPr="001C61AE">
        <w:rPr>
          <w:rFonts w:ascii="Arial" w:hAnsi="Arial" w:cs="Arial"/>
          <w:lang w:val="sq-AL"/>
        </w:rPr>
        <w:t xml:space="preserve">zgjerohen </w:t>
      </w:r>
      <w:r w:rsidRPr="001C61AE">
        <w:rPr>
          <w:rFonts w:ascii="Arial" w:hAnsi="Arial" w:cs="Arial"/>
          <w:lang w:val="sq-AL"/>
        </w:rPr>
        <w:t xml:space="preserve">rezervat strategjike të energjisë. Kjo përfshin vendosjen e sistemeve modulare të ruajtjes së energjisë me bateri, mirëmbajtjen e nënstacioneve mobile dhe sigurimin e gjeneratorëve rezervë që mund </w:t>
      </w:r>
      <w:r w:rsidRPr="001C61AE">
        <w:rPr>
          <w:rFonts w:ascii="Arial" w:hAnsi="Arial" w:cs="Arial"/>
          <w:lang w:val="sq-AL"/>
        </w:rPr>
        <w:lastRenderedPageBreak/>
        <w:t>të aktivizohen shpejt gjatë ndërprerjeve. Ruajtja e energjisë luan gjithashtu një rol kyç në balancimin e rrjetit gjatë periudhave të kërkesës së lartë apo furnizimit të ndryshueshëm nga burimet e ripërtëritshme, duke përmirësuar qëndrueshmërinë dhe stabilitetin e sistemit përballë si goditjeve të menjëhershme, ashtu edhe ndryshimeve graduale klimatike</w:t>
      </w:r>
      <w:r w:rsidR="00C71B2F" w:rsidRPr="001C61AE">
        <w:rPr>
          <w:rFonts w:ascii="Arial" w:hAnsi="Arial" w:cs="Arial"/>
          <w:lang w:val="sq-AL"/>
        </w:rPr>
        <w:t>.</w:t>
      </w:r>
    </w:p>
    <w:p w14:paraId="64B89521" w14:textId="7BD71688" w:rsidR="00223B35" w:rsidRPr="001C61AE" w:rsidRDefault="00862AC4" w:rsidP="00223B35">
      <w:pPr>
        <w:spacing w:line="240" w:lineRule="auto"/>
        <w:ind w:left="708"/>
        <w:jc w:val="both"/>
        <w:rPr>
          <w:rFonts w:ascii="Arial" w:hAnsi="Arial" w:cs="Arial"/>
          <w:b/>
          <w:bCs/>
          <w:color w:val="0F4761"/>
          <w:lang w:val="sq-AL"/>
        </w:rPr>
      </w:pPr>
      <w:r w:rsidRPr="001C61AE">
        <w:rPr>
          <w:rFonts w:ascii="Arial" w:hAnsi="Arial" w:cs="Arial"/>
          <w:b/>
          <w:bCs/>
          <w:color w:val="0F4761"/>
          <w:lang w:val="sq-AL"/>
        </w:rPr>
        <w:t>II.2</w:t>
      </w:r>
      <w:r w:rsidR="005A005C" w:rsidRPr="001C61AE">
        <w:rPr>
          <w:rFonts w:ascii="Arial" w:hAnsi="Arial" w:cs="Arial"/>
          <w:b/>
          <w:bCs/>
          <w:color w:val="0F4761"/>
          <w:lang w:val="sq-AL"/>
        </w:rPr>
        <w:t>2</w:t>
      </w:r>
      <w:r w:rsidR="00223B35" w:rsidRPr="001C61AE">
        <w:rPr>
          <w:rFonts w:ascii="Arial" w:hAnsi="Arial" w:cs="Arial"/>
          <w:b/>
          <w:bCs/>
          <w:color w:val="0F4761"/>
          <w:lang w:val="sq-AL"/>
        </w:rPr>
        <w:t xml:space="preserve"> </w:t>
      </w:r>
      <w:r w:rsidR="004A350A" w:rsidRPr="001C61AE">
        <w:rPr>
          <w:rFonts w:ascii="Arial" w:hAnsi="Arial" w:cs="Arial"/>
          <w:b/>
          <w:bCs/>
          <w:color w:val="0F4761"/>
          <w:lang w:val="sq-AL"/>
        </w:rPr>
        <w:t>Zgjerimi i ndërlidhjeve dhe bashkëpunimit rajonal për të forcuar qëndrueshmërinë e sistemit energjetik përmes importit/eksportit dhe mbështetjes ndërkufitare të rrjetit në situata krize</w:t>
      </w:r>
    </w:p>
    <w:p w14:paraId="3CE993D0" w14:textId="3063AF0F" w:rsidR="00223B35" w:rsidRPr="001C61AE" w:rsidRDefault="001A751B" w:rsidP="008E17FD">
      <w:pPr>
        <w:spacing w:line="240" w:lineRule="auto"/>
        <w:jc w:val="both"/>
        <w:rPr>
          <w:rFonts w:ascii="Arial" w:hAnsi="Arial" w:cs="Arial"/>
          <w:lang w:val="sq-AL"/>
        </w:rPr>
      </w:pPr>
      <w:r w:rsidRPr="001C61AE">
        <w:rPr>
          <w:rFonts w:ascii="Arial" w:hAnsi="Arial" w:cs="Arial"/>
          <w:lang w:val="sq-AL"/>
        </w:rPr>
        <w:t>Bashkëpunimi ndërkufitar në fushën e energjisë rrit aftësinë e Kosovës për të menaxhuar rreziqet e brendshme të furnizimit të shkaktuara nga ndikimet klimatike. Duke rritur kapacitetin e ndërlidhjes dhe duke u harmonizuar me standardet operacionale të ENTSO-E, Kosova do të jetë më e përgatitur për të importuar energji gjatë krizave, për të ndarë rezerva dhe për të koordinuar përpjekjet e reagimit. Pjesëmarrja në tregjet rajonale si ALPEX do të lehtësojë gjithashtu mbështetjen e ndërsjellë gjatë çrregullimeve të rrjetit dhe do të kontribuojë në rritjen e fleksibilitetit sistemik, duke siguruar që furnizimi me energji të mos ndërpritet edhe nën stres rajonal klimatik</w:t>
      </w:r>
      <w:r w:rsidR="00C71B2F" w:rsidRPr="001C61AE">
        <w:rPr>
          <w:rFonts w:ascii="Arial" w:hAnsi="Arial" w:cs="Arial"/>
          <w:lang w:val="sq-AL"/>
        </w:rPr>
        <w:t>.</w:t>
      </w:r>
    </w:p>
    <w:p w14:paraId="2F05D17C" w14:textId="05885A5E" w:rsidR="00EC493B" w:rsidRPr="001C61AE" w:rsidRDefault="00EC493B" w:rsidP="00EC493B">
      <w:pPr>
        <w:spacing w:line="240" w:lineRule="auto"/>
        <w:ind w:left="708"/>
        <w:jc w:val="both"/>
        <w:rPr>
          <w:rFonts w:ascii="Arial" w:hAnsi="Arial" w:cs="Arial"/>
          <w:b/>
          <w:bCs/>
          <w:color w:val="0F4761"/>
          <w:lang w:val="sq-AL"/>
        </w:rPr>
      </w:pPr>
      <w:r w:rsidRPr="001C61AE">
        <w:rPr>
          <w:rFonts w:ascii="Arial" w:hAnsi="Arial" w:cs="Arial"/>
          <w:b/>
          <w:bCs/>
          <w:color w:val="0F4761"/>
          <w:lang w:val="sq-AL"/>
        </w:rPr>
        <w:t>II.2</w:t>
      </w:r>
      <w:r w:rsidR="005A005C" w:rsidRPr="001C61AE">
        <w:rPr>
          <w:rFonts w:ascii="Arial" w:hAnsi="Arial" w:cs="Arial"/>
          <w:b/>
          <w:bCs/>
          <w:color w:val="0F4761"/>
          <w:lang w:val="sq-AL"/>
        </w:rPr>
        <w:t>3</w:t>
      </w:r>
      <w:r w:rsidRPr="001C61AE">
        <w:rPr>
          <w:rFonts w:ascii="Arial" w:hAnsi="Arial" w:cs="Arial"/>
          <w:b/>
          <w:bCs/>
          <w:color w:val="0F4761"/>
          <w:lang w:val="sq-AL"/>
        </w:rPr>
        <w:t xml:space="preserve"> </w:t>
      </w:r>
      <w:r w:rsidR="004A350A" w:rsidRPr="001C61AE">
        <w:rPr>
          <w:rFonts w:ascii="Arial" w:hAnsi="Arial" w:cs="Arial"/>
          <w:b/>
          <w:bCs/>
          <w:color w:val="0F4761"/>
          <w:lang w:val="sq-AL"/>
        </w:rPr>
        <w:t>Rinovimi i dy njësive të TC “Kosova B” dhe të paktën një njësie të “Kosova A”.</w:t>
      </w:r>
    </w:p>
    <w:p w14:paraId="0D4244A9" w14:textId="55601203" w:rsidR="00EC493B" w:rsidRPr="001C61AE" w:rsidRDefault="001A751B" w:rsidP="00EC493B">
      <w:pPr>
        <w:spacing w:line="240" w:lineRule="auto"/>
        <w:jc w:val="both"/>
        <w:rPr>
          <w:rFonts w:ascii="Arial" w:hAnsi="Arial" w:cs="Arial"/>
          <w:lang w:val="sq-AL"/>
        </w:rPr>
      </w:pPr>
      <w:r w:rsidRPr="001C61AE">
        <w:rPr>
          <w:rFonts w:ascii="Arial" w:hAnsi="Arial" w:cs="Arial"/>
          <w:lang w:val="sq-AL"/>
        </w:rPr>
        <w:t>Njësia(t) e rinovuara të Termocentralit “Kosova A” do të funksionojnë si rezervë strategjike duke filluar nga viti 2028, që do të thotë se këto njësi do të jenë të disponueshme gjatë sezonit të dimrit, kur kërkesa për energji elektrike është më e lartë, ose gjatë situatave të jashtëzakonshme siç janë krizat energjetike. Përmes rehabilitimit dhe modernizimit, do të rritet siguria operacionale, do të përmirësohet efikasiteti i energjisë dhe kapaciteti i prodhimit do të ngrihet nga 130 MW në 200 MW, ndërkohë që konsumi i qymyrit do të ulet nga 1.5 tonë në 1 ton për MW. Gjithashtu, do të zgjatet jetëgjatësia operacionale për 20 vjet dhe do të përforcohet siguria e funksionimit</w:t>
      </w:r>
      <w:r w:rsidR="00EC493B" w:rsidRPr="001C61AE">
        <w:rPr>
          <w:rFonts w:ascii="Arial" w:hAnsi="Arial" w:cs="Arial"/>
          <w:lang w:val="sq-AL"/>
        </w:rPr>
        <w:t xml:space="preserve">. </w:t>
      </w:r>
    </w:p>
    <w:p w14:paraId="482F0BEB" w14:textId="77777777" w:rsidR="00B15518" w:rsidRPr="001C61AE" w:rsidRDefault="0091468A" w:rsidP="00B15518">
      <w:pPr>
        <w:pStyle w:val="Heading3"/>
        <w:rPr>
          <w:rFonts w:ascii="Arial" w:hAnsi="Arial" w:cs="Arial"/>
          <w:lang w:val="sq-AL"/>
        </w:rPr>
      </w:pPr>
      <w:r w:rsidRPr="001C61AE">
        <w:rPr>
          <w:rFonts w:ascii="Arial" w:hAnsi="Arial" w:cs="Arial"/>
          <w:lang w:val="sq-AL"/>
        </w:rPr>
        <w:t xml:space="preserve">Sigurimi i qëndrueshmërisë energjetike përmes menaxhimit të burimeve të brendshme </w:t>
      </w:r>
    </w:p>
    <w:p w14:paraId="1897A413" w14:textId="1091E5F1" w:rsidR="001D4FA1" w:rsidRPr="001C61AE" w:rsidRDefault="00BE39C7" w:rsidP="008E17FD">
      <w:pPr>
        <w:spacing w:line="240" w:lineRule="auto"/>
        <w:jc w:val="both"/>
        <w:rPr>
          <w:rFonts w:ascii="Arial" w:hAnsi="Arial" w:cs="Arial"/>
          <w:lang w:val="sq-AL"/>
        </w:rPr>
      </w:pPr>
      <w:r w:rsidRPr="001C61AE">
        <w:rPr>
          <w:rFonts w:ascii="Arial" w:hAnsi="Arial" w:cs="Arial"/>
          <w:lang w:val="sq-AL"/>
        </w:rPr>
        <w:t>Strategjia</w:t>
      </w:r>
      <w:r w:rsidR="00D81AE1" w:rsidRPr="001C61AE">
        <w:rPr>
          <w:rFonts w:ascii="Arial" w:hAnsi="Arial" w:cs="Arial"/>
          <w:lang w:val="sq-AL"/>
        </w:rPr>
        <w:t xml:space="preserve"> fokusohet në forcimin e rolit të burimeve kombëtare, modernizimin e infrastrukturës kritike dhe rritjen e qëndrueshmërisë së sistemit përballë rreziqeve klimatike dhe operacionale. Ky qasje e integruar është thelbësore për të garantuar furnizimin me energji, duke avancuar njëkohësisht qëllimet e përshtatjes ndaj ndryshimeve klimatike dhe të qëndrueshmërisë afatgjatë</w:t>
      </w:r>
      <w:r w:rsidR="001D4FA1" w:rsidRPr="001C61AE">
        <w:rPr>
          <w:rFonts w:ascii="Arial" w:hAnsi="Arial" w:cs="Arial"/>
          <w:lang w:val="sq-AL"/>
        </w:rPr>
        <w:t>.</w:t>
      </w:r>
    </w:p>
    <w:p w14:paraId="1D14A6E3" w14:textId="77777777" w:rsidR="00D81AE1" w:rsidRPr="001C61AE" w:rsidRDefault="00D81AE1" w:rsidP="00D81AE1">
      <w:pPr>
        <w:spacing w:line="240" w:lineRule="auto"/>
        <w:jc w:val="both"/>
        <w:rPr>
          <w:rFonts w:ascii="Arial" w:hAnsi="Arial" w:cs="Arial"/>
          <w:lang w:val="sq-AL"/>
        </w:rPr>
      </w:pPr>
      <w:r w:rsidRPr="001C61AE">
        <w:rPr>
          <w:rFonts w:ascii="Arial" w:hAnsi="Arial" w:cs="Arial"/>
          <w:lang w:val="sq-AL"/>
        </w:rPr>
        <w:t>Në thelb të agjendës së sigurisë energjetike të Kosovës qëndron përdorimi i vazhdueshëm dhe menaxhimi strategjik i burimeve të linjitit. Deri në vitin 2023, termocentralet me qymyr përbëjnë 77.69% të kapacitetit të instaluar të prodhimit të energjisë elektrike, duke ofruar një bazë kritike të brendshme për furnizimin me energji. Pavarësisht ambicieve për diversifikim, linjiti mbetet një shtyllë e sigurisë së furnizimit në afat të shkurtër dhe të mesëm. Qeveria po mban kapacitetet operacionale të termocentraleve “Kosova A” dhe “Kosova B” duke zbatuar njëkohësisht masa për kontrollin e ndotjes nën Kornizën Kombëtare për Reduktimin e Emisioneve (NERP), përfshirë sistemet për desulfurizimin e gazrave të tymit dhe instalimin e djegësve të tipit “low-NOx”, për të përmbushur direktivat e BE-së për Impiantet e Mëdha të Djegies dhe për Emisionet Industriale deri në vitin 2027. Rehabilitimi i njësive të termocentraleve “Kosova A” dhe “Kosova B”—përmes përmirësimeve në kontrollin e ndotjes dhe modernizimit të infrastrukturës—shërben jo vetëm për të siguruar vazhdimësinë e furnizimit me energji, por edhe për të rritur kapacitetin e përshtatjes ndaj ndryshimeve klimatike. Duke forcuar besueshmërinë e burimeve të brendshme të energjisë bazë përballë ndërprerjeve të mundshme klimatike, këto investime zvogëlojnë cenueshmërinë nga goditjet e jashtme dhe mbështesin planifikimin energjetik të qëndrueshëm ndaj klimës.</w:t>
      </w:r>
    </w:p>
    <w:p w14:paraId="61EB8A06" w14:textId="6C4C308F" w:rsidR="001D4FA1" w:rsidRPr="001C61AE" w:rsidRDefault="00D81AE1" w:rsidP="008E17FD">
      <w:pPr>
        <w:spacing w:line="240" w:lineRule="auto"/>
        <w:jc w:val="both"/>
        <w:rPr>
          <w:rFonts w:ascii="Arial" w:hAnsi="Arial" w:cs="Arial"/>
          <w:lang w:val="sq-AL"/>
        </w:rPr>
      </w:pPr>
      <w:r w:rsidRPr="001C61AE">
        <w:rPr>
          <w:rFonts w:ascii="Arial" w:hAnsi="Arial" w:cs="Arial"/>
          <w:lang w:val="sq-AL"/>
        </w:rPr>
        <w:t xml:space="preserve">Për të përforcuar besueshmërinë e prodhimit të brendshëm, </w:t>
      </w:r>
      <w:r w:rsidR="002C6EC9" w:rsidRPr="001C61AE">
        <w:rPr>
          <w:rFonts w:ascii="Arial" w:hAnsi="Arial" w:cs="Arial"/>
          <w:lang w:val="sq-AL"/>
        </w:rPr>
        <w:t xml:space="preserve">ne </w:t>
      </w:r>
      <w:r w:rsidRPr="001C61AE">
        <w:rPr>
          <w:rFonts w:ascii="Arial" w:hAnsi="Arial" w:cs="Arial"/>
          <w:lang w:val="sq-AL"/>
        </w:rPr>
        <w:t>po e priorit</w:t>
      </w:r>
      <w:r w:rsidR="002C6EC9" w:rsidRPr="001C61AE">
        <w:rPr>
          <w:rFonts w:ascii="Arial" w:hAnsi="Arial" w:cs="Arial"/>
          <w:lang w:val="sq-AL"/>
        </w:rPr>
        <w:t xml:space="preserve">izojmë </w:t>
      </w:r>
      <w:r w:rsidRPr="001C61AE">
        <w:rPr>
          <w:rFonts w:ascii="Arial" w:hAnsi="Arial" w:cs="Arial"/>
          <w:lang w:val="sq-AL"/>
        </w:rPr>
        <w:t xml:space="preserve"> modernizimin e infrastrukturës ekzistuese. Plani për Zhvillimin e Transmetimit (2023–2032) parashikon investime për përmirësimin e rrjeteve të transmetimit 400 kV dhe 110 kV, duke ruajtur në mënyrë selektive pjesët kritike të rrjetit 220 kV. Këto përmirësime synojnë përmirësimin e rrjedhës së energjisë, reduktimin e humbjeve teknike dhe rritjen e redundancës së sistemit për të përmbushur kriterin e besueshmërisë N-1—duke siguruar që rrjeti të mund të vazhdojë furnizimin me energji edhe në rast të dështimit të një komponenti të vetëm</w:t>
      </w:r>
      <w:r w:rsidR="001D4FA1" w:rsidRPr="001C61AE">
        <w:rPr>
          <w:rFonts w:ascii="Arial" w:hAnsi="Arial" w:cs="Arial"/>
          <w:lang w:val="sq-AL"/>
        </w:rPr>
        <w:t>.</w:t>
      </w:r>
    </w:p>
    <w:p w14:paraId="06FEE2A6" w14:textId="1608886B" w:rsidR="00D81AE1" w:rsidRPr="001C61AE" w:rsidRDefault="00D81AE1" w:rsidP="00D81AE1">
      <w:pPr>
        <w:spacing w:line="240" w:lineRule="auto"/>
        <w:jc w:val="both"/>
        <w:rPr>
          <w:rFonts w:ascii="Arial" w:hAnsi="Arial" w:cs="Arial"/>
          <w:lang w:val="sq-AL"/>
        </w:rPr>
      </w:pPr>
      <w:r w:rsidRPr="001C61AE">
        <w:rPr>
          <w:rFonts w:ascii="Arial" w:hAnsi="Arial" w:cs="Arial"/>
          <w:lang w:val="sq-AL"/>
        </w:rPr>
        <w:t xml:space="preserve">Sektori i ngrohjes qendrore po forcohet gjithashtu si një shtyllë e sigurisë energjetike. Kapaciteti i bashkëgjenerimit në Prishtina është planifikuar të dyfishohet nga 140 MW në 280 MW, ndërsa 29 MW të kapacitetit të energjisë diellore termike po integrohen për të zvogëluar varësinë nga lëndët djegëse të </w:t>
      </w:r>
      <w:r w:rsidRPr="001C61AE">
        <w:rPr>
          <w:rFonts w:ascii="Arial" w:hAnsi="Arial" w:cs="Arial"/>
          <w:lang w:val="sq-AL"/>
        </w:rPr>
        <w:lastRenderedPageBreak/>
        <w:t>importuara. Sistemet rezervë emergjente të mundësuara nga mazuti (vaji i karburantit) mbeten funksionale për të mbrojtur furnizimin termik gjatë ndërprerjeve, veçanërisht në TC Kosova B.</w:t>
      </w:r>
    </w:p>
    <w:p w14:paraId="38911224" w14:textId="41EFDA8E" w:rsidR="001D4FA1" w:rsidRPr="001C61AE" w:rsidRDefault="00D81AE1" w:rsidP="00D81AE1">
      <w:pPr>
        <w:spacing w:line="240" w:lineRule="auto"/>
        <w:jc w:val="both"/>
        <w:rPr>
          <w:rFonts w:ascii="Arial" w:hAnsi="Arial" w:cs="Arial"/>
          <w:lang w:val="sq-AL"/>
        </w:rPr>
      </w:pPr>
      <w:r w:rsidRPr="001C61AE">
        <w:rPr>
          <w:rFonts w:ascii="Arial" w:hAnsi="Arial" w:cs="Arial"/>
          <w:lang w:val="sq-AL"/>
        </w:rPr>
        <w:t xml:space="preserve">Duke njohur dobësitë në bilancin e energjisë, </w:t>
      </w:r>
      <w:r w:rsidR="002C6EC9" w:rsidRPr="001C61AE">
        <w:rPr>
          <w:rFonts w:ascii="Arial" w:hAnsi="Arial" w:cs="Arial"/>
          <w:lang w:val="sq-AL"/>
        </w:rPr>
        <w:t>janë miratuar</w:t>
      </w:r>
      <w:r w:rsidRPr="001C61AE">
        <w:rPr>
          <w:rFonts w:ascii="Arial" w:hAnsi="Arial" w:cs="Arial"/>
          <w:lang w:val="sq-AL"/>
        </w:rPr>
        <w:t xml:space="preserve"> masa për të minimizuar varësinë nga importi. Në vitin 2023, vendi importoi 1,248 GWh për të mbuluar një hendek furnizim-kërkesë prej gati 1,000 GWh. Adresimi i këtij deficiti është një objektiv kyç, i ndjekur përmes zgjerimit të kapacitetit vendas të rinovueshëm dhe zvogëlimit të humbjeve në transmetim dhe shpërndarje, të cilat aktualisht janë 1.21% për transmetim dhe 20.67% të kombinuara për shpërndarjen teknike dhe komerciale</w:t>
      </w:r>
      <w:r w:rsidR="001D4FA1" w:rsidRPr="001C61AE">
        <w:rPr>
          <w:rFonts w:ascii="Arial" w:hAnsi="Arial" w:cs="Arial"/>
          <w:lang w:val="sq-AL"/>
        </w:rPr>
        <w:t>.</w:t>
      </w:r>
    </w:p>
    <w:p w14:paraId="30E7B00A" w14:textId="68878EF8" w:rsidR="000B1947" w:rsidRPr="001C61AE" w:rsidRDefault="000B1947" w:rsidP="000B1947">
      <w:pPr>
        <w:spacing w:line="240" w:lineRule="auto"/>
        <w:jc w:val="both"/>
        <w:rPr>
          <w:rFonts w:ascii="Arial" w:hAnsi="Arial" w:cs="Arial"/>
          <w:lang w:val="sq-AL"/>
        </w:rPr>
      </w:pPr>
      <w:r w:rsidRPr="001C61AE">
        <w:rPr>
          <w:rFonts w:ascii="Arial" w:hAnsi="Arial" w:cs="Arial"/>
          <w:lang w:val="sq-AL"/>
        </w:rPr>
        <w:t>Përmirësimet në efiçiencën e energjisë përbëjnë një strategji plotësuese ndaj menaxhimit të burimeve vendore, duke ulur presionin nga ana e kërkesës për energji.</w:t>
      </w:r>
      <w:r w:rsidR="005A005C" w:rsidRPr="001C61AE">
        <w:rPr>
          <w:rFonts w:ascii="Arial" w:hAnsi="Arial" w:cs="Arial"/>
          <w:lang w:val="sq-AL"/>
        </w:rPr>
        <w:t>S</w:t>
      </w:r>
      <w:r w:rsidRPr="001C61AE">
        <w:rPr>
          <w:rFonts w:ascii="Arial" w:hAnsi="Arial" w:cs="Arial"/>
          <w:lang w:val="sq-AL"/>
        </w:rPr>
        <w:t>yno</w:t>
      </w:r>
      <w:r w:rsidR="005A005C" w:rsidRPr="001C61AE">
        <w:rPr>
          <w:rFonts w:ascii="Arial" w:hAnsi="Arial" w:cs="Arial"/>
          <w:lang w:val="sq-AL"/>
        </w:rPr>
        <w:t>het</w:t>
      </w:r>
      <w:r w:rsidRPr="001C61AE">
        <w:rPr>
          <w:rFonts w:ascii="Arial" w:hAnsi="Arial" w:cs="Arial"/>
          <w:lang w:val="sq-AL"/>
        </w:rPr>
        <w:t xml:space="preserve"> të </w:t>
      </w:r>
      <w:r w:rsidR="005A005C" w:rsidRPr="001C61AE">
        <w:rPr>
          <w:rFonts w:ascii="Arial" w:hAnsi="Arial" w:cs="Arial"/>
          <w:lang w:val="sq-AL"/>
        </w:rPr>
        <w:t xml:space="preserve">kufizohet </w:t>
      </w:r>
      <w:r w:rsidRPr="001C61AE">
        <w:rPr>
          <w:rFonts w:ascii="Arial" w:hAnsi="Arial" w:cs="Arial"/>
          <w:lang w:val="sq-AL"/>
        </w:rPr>
        <w:t xml:space="preserve">konsumi final </w:t>
      </w:r>
      <w:r w:rsidR="005A005C" w:rsidRPr="001C61AE">
        <w:rPr>
          <w:rFonts w:ascii="Arial" w:hAnsi="Arial" w:cs="Arial"/>
          <w:lang w:val="sq-AL"/>
        </w:rPr>
        <w:t xml:space="preserve">i </w:t>
      </w:r>
      <w:r w:rsidRPr="001C61AE">
        <w:rPr>
          <w:rFonts w:ascii="Arial" w:hAnsi="Arial" w:cs="Arial"/>
          <w:lang w:val="sq-AL"/>
        </w:rPr>
        <w:t>energjisë në 1,877 kiloton ekuivalente nafte (ktoe) deri në vitin 2031, me kursime kumulative prej 266.4 ktoe. Masat përfshijnë renovimin e ndërtesave publike dhe banesore, përmirësimin e proceseve në sektorin industrial dhe të shërbimeve, përforcimin e izolimit të tubacioneve, vendosjen e matësve të mençur dhe promovimin e ndërtesave me konsum pothuajse zero energjie (NZEB). Këto veprime zvogëlojnë varësinë nga importet, duke liruar njëkohësisht kapacitetin e prodhimit të brendshëm për përdorime prioritare, veçanërisht gjatë periudhave të kërkesës së lartë për shkak të ekstremeve klimatike.</w:t>
      </w:r>
    </w:p>
    <w:p w14:paraId="435937B7" w14:textId="02CFC374" w:rsidR="000B1947" w:rsidRPr="001C61AE" w:rsidRDefault="000B1947" w:rsidP="000B1947">
      <w:pPr>
        <w:spacing w:line="240" w:lineRule="auto"/>
        <w:jc w:val="both"/>
        <w:rPr>
          <w:rFonts w:ascii="Arial" w:hAnsi="Arial" w:cs="Arial"/>
          <w:lang w:val="sq-AL"/>
        </w:rPr>
      </w:pPr>
      <w:r w:rsidRPr="001C61AE">
        <w:rPr>
          <w:rFonts w:ascii="Arial" w:hAnsi="Arial" w:cs="Arial"/>
          <w:lang w:val="sq-AL"/>
        </w:rPr>
        <w:t xml:space="preserve">Reformat politike dhe rregullatore mbështesin këto iniciativa duke integruar objektivat e sigurisë energjetike brenda kornizave më të gjera të përshtatjes ndaj klimës dhe dekarbonizimit. </w:t>
      </w:r>
      <w:r w:rsidR="00BE39C7" w:rsidRPr="001C61AE">
        <w:rPr>
          <w:rFonts w:ascii="Arial" w:hAnsi="Arial" w:cs="Arial"/>
          <w:lang w:val="sq-AL"/>
        </w:rPr>
        <w:t>Strategjia</w:t>
      </w:r>
      <w:r w:rsidRPr="001C61AE">
        <w:rPr>
          <w:rFonts w:ascii="Arial" w:hAnsi="Arial" w:cs="Arial"/>
          <w:lang w:val="sq-AL"/>
        </w:rPr>
        <w:t xml:space="preserve"> e Energjisë 2022–2031, Plani Kombëtar për Energji dhe Klimë (NECP) 2025–2030 dhe </w:t>
      </w:r>
      <w:r w:rsidR="00602281" w:rsidRPr="001C61AE">
        <w:rPr>
          <w:rFonts w:ascii="Arial" w:hAnsi="Arial" w:cs="Arial"/>
          <w:lang w:val="sq-AL"/>
        </w:rPr>
        <w:t xml:space="preserve">Ligji i Klimës </w:t>
      </w:r>
      <w:r w:rsidRPr="001C61AE">
        <w:rPr>
          <w:rFonts w:ascii="Arial" w:hAnsi="Arial" w:cs="Arial"/>
          <w:lang w:val="sq-AL"/>
        </w:rPr>
        <w:t>obligojnë integrimin e konsideratave të sigurisë, përshtatjes dhe zbutjes së efekteve klimatike në planifikimin dhe funksionimin e sektorit të energjisë. Këto instrumente sigurojnë që menaxhimi i burimeve vendore të jetë i harmonizuar me politikat klimatike dhe energjetike të Bashkimit Evropian, duke lehtësuar qasjen në mekanizmat rajonalë të mbështetjes dhe në mundësitë e investimeve.</w:t>
      </w:r>
    </w:p>
    <w:p w14:paraId="5AEC194B" w14:textId="63E7E484" w:rsidR="001D4FA1" w:rsidRPr="001C61AE" w:rsidRDefault="000B1947" w:rsidP="008E17FD">
      <w:pPr>
        <w:spacing w:line="240" w:lineRule="auto"/>
        <w:jc w:val="both"/>
        <w:rPr>
          <w:rFonts w:ascii="Arial" w:hAnsi="Arial" w:cs="Arial"/>
          <w:lang w:val="sq-AL"/>
        </w:rPr>
      </w:pPr>
      <w:r w:rsidRPr="001C61AE">
        <w:rPr>
          <w:rFonts w:ascii="Arial" w:hAnsi="Arial" w:cs="Arial"/>
          <w:lang w:val="sq-AL"/>
        </w:rPr>
        <w:t xml:space="preserve">Nga ana e qeverisjes, </w:t>
      </w:r>
      <w:r w:rsidR="00C475C8" w:rsidRPr="001C61AE">
        <w:rPr>
          <w:rFonts w:ascii="Arial" w:hAnsi="Arial" w:cs="Arial"/>
          <w:lang w:val="sq-AL"/>
        </w:rPr>
        <w:t>kemi</w:t>
      </w:r>
      <w:r w:rsidRPr="001C61AE">
        <w:rPr>
          <w:rFonts w:ascii="Arial" w:hAnsi="Arial" w:cs="Arial"/>
          <w:lang w:val="sq-AL"/>
        </w:rPr>
        <w:t xml:space="preserve"> forcuar kapacitetin e </w:t>
      </w:r>
      <w:r w:rsidR="00C475C8" w:rsidRPr="001C61AE">
        <w:rPr>
          <w:rFonts w:ascii="Arial" w:hAnsi="Arial" w:cs="Arial"/>
          <w:lang w:val="sq-AL"/>
        </w:rPr>
        <w:t xml:space="preserve">tonë </w:t>
      </w:r>
      <w:r w:rsidRPr="001C61AE">
        <w:rPr>
          <w:rFonts w:ascii="Arial" w:hAnsi="Arial" w:cs="Arial"/>
          <w:lang w:val="sq-AL"/>
        </w:rPr>
        <w:t>institucional për të monitoruar dhe menaxhuar burimet e energjisë vendase. Monitorimi i rrjetit në kohë reale përmes sistemeve SCADA/EMS rrit më tej sigurinë operacionale duke mundësuar reagim të shpejtë ndaj rreziqeve dhe luhatjeve të sistemit në zhvillim</w:t>
      </w:r>
      <w:r w:rsidR="001D4FA1" w:rsidRPr="001C61AE">
        <w:rPr>
          <w:rFonts w:ascii="Arial" w:hAnsi="Arial" w:cs="Arial"/>
          <w:lang w:val="sq-AL"/>
        </w:rPr>
        <w:t>.</w:t>
      </w:r>
    </w:p>
    <w:p w14:paraId="2E934902" w14:textId="6DA4E194" w:rsidR="001D4FA1" w:rsidRPr="001C61AE" w:rsidRDefault="00D81AE1" w:rsidP="008E17FD">
      <w:pPr>
        <w:spacing w:line="240" w:lineRule="auto"/>
        <w:jc w:val="both"/>
        <w:rPr>
          <w:rFonts w:ascii="Arial" w:hAnsi="Arial" w:cs="Arial"/>
          <w:lang w:val="sq-AL"/>
        </w:rPr>
      </w:pPr>
      <w:r w:rsidRPr="001C61AE">
        <w:rPr>
          <w:rFonts w:ascii="Arial" w:hAnsi="Arial" w:cs="Arial"/>
          <w:lang w:val="sq-AL"/>
        </w:rPr>
        <w:t xml:space="preserve">Së fundmi, pjesëmarrja e Kosovës në nismat rajonale të integrimit plotëson masat e sigurisë së brendshme. Duke ruajtur fokusin në shfrytëzimin e burimeve të brendshme, po </w:t>
      </w:r>
      <w:r w:rsidR="00C475C8" w:rsidRPr="001C61AE">
        <w:rPr>
          <w:rFonts w:ascii="Arial" w:hAnsi="Arial" w:cs="Arial"/>
          <w:lang w:val="sq-AL"/>
        </w:rPr>
        <w:t>përmirësojm</w:t>
      </w:r>
      <w:r w:rsidR="00C475C8" w:rsidRPr="001C61AE">
        <w:rPr>
          <w:rFonts w:ascii="Arial" w:hAnsi="Arial" w:cs="Arial"/>
          <w:lang w:eastAsia="ja-JP"/>
        </w:rPr>
        <w:t>ë</w:t>
      </w:r>
      <w:r w:rsidR="00C475C8" w:rsidRPr="001C61AE">
        <w:rPr>
          <w:rFonts w:ascii="Arial" w:hAnsi="Arial" w:cs="Arial"/>
          <w:lang w:val="sq-AL"/>
        </w:rPr>
        <w:t xml:space="preserve"> </w:t>
      </w:r>
      <w:r w:rsidRPr="001C61AE">
        <w:rPr>
          <w:rFonts w:ascii="Arial" w:hAnsi="Arial" w:cs="Arial"/>
          <w:lang w:val="sq-AL"/>
        </w:rPr>
        <w:t xml:space="preserve">marrëveshjet ndërkufitare të ndërlidhjes dhe ndarjes së rezervave për të </w:t>
      </w:r>
      <w:r w:rsidR="00C475C8" w:rsidRPr="001C61AE">
        <w:rPr>
          <w:rFonts w:ascii="Arial" w:hAnsi="Arial" w:cs="Arial"/>
          <w:lang w:val="sq-AL"/>
        </w:rPr>
        <w:t xml:space="preserve">ju qasur </w:t>
      </w:r>
      <w:r w:rsidRPr="001C61AE">
        <w:rPr>
          <w:rFonts w:ascii="Arial" w:hAnsi="Arial" w:cs="Arial"/>
          <w:lang w:val="sq-AL"/>
        </w:rPr>
        <w:t>burime</w:t>
      </w:r>
      <w:r w:rsidR="00C475C8" w:rsidRPr="001C61AE">
        <w:rPr>
          <w:rFonts w:ascii="Arial" w:hAnsi="Arial" w:cs="Arial"/>
          <w:lang w:val="sq-AL"/>
        </w:rPr>
        <w:t>ve</w:t>
      </w:r>
      <w:r w:rsidRPr="001C61AE">
        <w:rPr>
          <w:rFonts w:ascii="Arial" w:hAnsi="Arial" w:cs="Arial"/>
          <w:lang w:val="sq-AL"/>
        </w:rPr>
        <w:t xml:space="preserve"> shtesë balancuese gjatë periudhave të stresit të brendshëm. </w:t>
      </w:r>
      <w:r w:rsidR="00020C31" w:rsidRPr="001C61AE">
        <w:rPr>
          <w:rFonts w:ascii="Arial" w:hAnsi="Arial" w:cs="Arial"/>
          <w:lang w:val="sq-AL"/>
        </w:rPr>
        <w:t>Themelimi</w:t>
      </w:r>
      <w:r w:rsidRPr="001C61AE">
        <w:rPr>
          <w:rFonts w:ascii="Arial" w:hAnsi="Arial" w:cs="Arial"/>
          <w:lang w:val="sq-AL"/>
        </w:rPr>
        <w:t xml:space="preserve"> </w:t>
      </w:r>
      <w:r w:rsidR="00020C31" w:rsidRPr="001C61AE">
        <w:rPr>
          <w:rFonts w:ascii="Arial" w:hAnsi="Arial" w:cs="Arial"/>
          <w:lang w:val="sq-AL"/>
        </w:rPr>
        <w:t xml:space="preserve">i </w:t>
      </w:r>
      <w:r w:rsidRPr="001C61AE">
        <w:rPr>
          <w:rFonts w:ascii="Arial" w:hAnsi="Arial" w:cs="Arial"/>
          <w:lang w:val="sq-AL"/>
        </w:rPr>
        <w:t>Bursë</w:t>
      </w:r>
      <w:r w:rsidR="00020C31" w:rsidRPr="001C61AE">
        <w:rPr>
          <w:rFonts w:ascii="Arial" w:hAnsi="Arial" w:cs="Arial"/>
          <w:lang w:val="sq-AL"/>
        </w:rPr>
        <w:t>s</w:t>
      </w:r>
      <w:r w:rsidRPr="001C61AE">
        <w:rPr>
          <w:rFonts w:ascii="Arial" w:hAnsi="Arial" w:cs="Arial"/>
          <w:lang w:val="sq-AL"/>
        </w:rPr>
        <w:t xml:space="preserve"> </w:t>
      </w:r>
      <w:r w:rsidR="00020C31" w:rsidRPr="001C61AE">
        <w:rPr>
          <w:rFonts w:ascii="Arial" w:hAnsi="Arial" w:cs="Arial"/>
          <w:lang w:val="sq-AL"/>
        </w:rPr>
        <w:t>së</w:t>
      </w:r>
      <w:r w:rsidRPr="001C61AE">
        <w:rPr>
          <w:rFonts w:ascii="Arial" w:hAnsi="Arial" w:cs="Arial"/>
          <w:lang w:val="sq-AL"/>
        </w:rPr>
        <w:t xml:space="preserve"> Energjisë Elektrike Shqiptare (ALPEX) dhe përputhshmëria me standardet e Rrjetit Evropian të Operatorëve të Sistemit të Transmisionit për Energjinë Elektrike (ENTSO-E) mbështesin ndërveprimin dhe planifikimin rajonal të emergjencës, duke përforcuar sigurinë kombëtare të energjisë përmes mekanizmave bashkëpunues</w:t>
      </w:r>
      <w:r w:rsidR="001D4FA1" w:rsidRPr="001C61AE">
        <w:rPr>
          <w:rFonts w:ascii="Arial" w:hAnsi="Arial" w:cs="Arial"/>
          <w:lang w:val="sq-AL"/>
        </w:rPr>
        <w:t>.</w:t>
      </w:r>
    </w:p>
    <w:p w14:paraId="4680BC4D" w14:textId="5D2255E5" w:rsidR="009B7497" w:rsidRPr="001C61AE" w:rsidRDefault="00D81AE1" w:rsidP="008E17FD">
      <w:pPr>
        <w:spacing w:line="240" w:lineRule="auto"/>
        <w:jc w:val="both"/>
        <w:rPr>
          <w:rFonts w:ascii="Arial" w:hAnsi="Arial" w:cs="Arial"/>
          <w:lang w:val="sq-AL"/>
        </w:rPr>
      </w:pPr>
      <w:r w:rsidRPr="001C61AE">
        <w:rPr>
          <w:rFonts w:ascii="Arial" w:hAnsi="Arial" w:cs="Arial"/>
          <w:lang w:val="sq-AL"/>
        </w:rPr>
        <w:t>Në përgjithësi, këto masa pasqyrojnë një strategji shumëdimensionale për të siguruar sigurinë energjetike përmes menaxhimit të burimeve vendase. Duke modernizuar infrastrukturën e trashëguar, duke përmirësuar efikasitetin e sistemit në familje, ndërtesa publike dhe industri, duke optimizuar asetet lokale të energjisë dhe duke përfshirë qëndrueshmërinë në planifikim, po puno</w:t>
      </w:r>
      <w:r w:rsidR="00FC4EF1" w:rsidRPr="001C61AE">
        <w:rPr>
          <w:rFonts w:ascii="Arial" w:hAnsi="Arial" w:cs="Arial"/>
          <w:lang w:val="sq-AL"/>
        </w:rPr>
        <w:t>het</w:t>
      </w:r>
      <w:r w:rsidRPr="001C61AE">
        <w:rPr>
          <w:rFonts w:ascii="Arial" w:hAnsi="Arial" w:cs="Arial"/>
          <w:lang w:val="sq-AL"/>
        </w:rPr>
        <w:t xml:space="preserve"> për të zvogëluar varësitë e jashtme, për të zbutur ndërprerjet e furnizimit dhe për të ndërtuar një të ardhme të qëndrueshme dhe të sigurt energjetike, të aftë të përshtatet si me sfidat klimatike ashtu edhe me ato operacionale</w:t>
      </w:r>
      <w:r w:rsidR="009B7497" w:rsidRPr="001C61AE">
        <w:rPr>
          <w:rFonts w:ascii="Arial" w:hAnsi="Arial" w:cs="Arial"/>
          <w:lang w:val="sq-AL"/>
        </w:rPr>
        <w:t>.</w:t>
      </w:r>
    </w:p>
    <w:p w14:paraId="10B1364D" w14:textId="288FA171" w:rsidR="001D4FA1" w:rsidRPr="001C61AE" w:rsidRDefault="006267BD" w:rsidP="001D4FA1">
      <w:pPr>
        <w:spacing w:line="240" w:lineRule="auto"/>
        <w:rPr>
          <w:rFonts w:ascii="Arial" w:hAnsi="Arial" w:cs="Arial"/>
          <w:b/>
          <w:bCs/>
          <w:color w:val="0F4761"/>
          <w:lang w:val="sq-AL"/>
        </w:rPr>
      </w:pPr>
      <w:r w:rsidRPr="001C61AE">
        <w:rPr>
          <w:rFonts w:ascii="Arial" w:hAnsi="Arial" w:cs="Arial"/>
          <w:b/>
          <w:bCs/>
          <w:color w:val="0F4761"/>
          <w:lang w:val="sq-AL"/>
        </w:rPr>
        <w:t>Objektivat specifikë</w:t>
      </w:r>
    </w:p>
    <w:p w14:paraId="64A25FF4" w14:textId="094611CE" w:rsidR="00B245A4" w:rsidRPr="001C61AE" w:rsidRDefault="00862AC4" w:rsidP="00B245A4">
      <w:pPr>
        <w:spacing w:line="240" w:lineRule="auto"/>
        <w:ind w:left="708"/>
        <w:jc w:val="both"/>
        <w:rPr>
          <w:rFonts w:ascii="Arial" w:hAnsi="Arial" w:cs="Arial"/>
          <w:b/>
          <w:bCs/>
          <w:color w:val="0F4761"/>
          <w:lang w:val="sq-AL"/>
        </w:rPr>
      </w:pPr>
      <w:r w:rsidRPr="001C61AE">
        <w:rPr>
          <w:rFonts w:ascii="Arial" w:hAnsi="Arial" w:cs="Arial"/>
          <w:b/>
          <w:bCs/>
          <w:color w:val="0F4761"/>
          <w:lang w:val="sq-AL"/>
        </w:rPr>
        <w:t>II.2</w:t>
      </w:r>
      <w:r w:rsidR="000A6F64" w:rsidRPr="001C61AE">
        <w:rPr>
          <w:rFonts w:ascii="Arial" w:hAnsi="Arial" w:cs="Arial"/>
          <w:b/>
          <w:bCs/>
          <w:color w:val="0F4761"/>
          <w:lang w:val="sq-AL"/>
        </w:rPr>
        <w:t>4</w:t>
      </w:r>
      <w:r w:rsidR="00B245A4" w:rsidRPr="001C61AE">
        <w:rPr>
          <w:rFonts w:ascii="Arial" w:hAnsi="Arial" w:cs="Arial"/>
          <w:b/>
          <w:bCs/>
          <w:color w:val="0F4761"/>
          <w:lang w:val="sq-AL"/>
        </w:rPr>
        <w:t xml:space="preserve"> </w:t>
      </w:r>
      <w:r w:rsidR="004249A0" w:rsidRPr="001C61AE">
        <w:rPr>
          <w:rFonts w:ascii="Arial" w:hAnsi="Arial" w:cs="Arial"/>
          <w:b/>
          <w:bCs/>
          <w:color w:val="0F4761"/>
          <w:lang w:val="sq-AL"/>
        </w:rPr>
        <w:t>Rinovimi i ndërtesave publike dhe banesore për rritjen e efiçiencës energjetike (izolim, ndriçim dhe ngrohje efiçiente).</w:t>
      </w:r>
    </w:p>
    <w:p w14:paraId="162B578F" w14:textId="7D89AA03" w:rsidR="00C71B2F" w:rsidRPr="001C61AE" w:rsidRDefault="00E028F1" w:rsidP="008E17FD">
      <w:pPr>
        <w:spacing w:line="240" w:lineRule="auto"/>
        <w:jc w:val="both"/>
        <w:rPr>
          <w:rFonts w:ascii="Arial" w:hAnsi="Arial" w:cs="Arial"/>
          <w:lang w:val="sq-AL"/>
        </w:rPr>
      </w:pPr>
      <w:r w:rsidRPr="001C61AE">
        <w:rPr>
          <w:rFonts w:ascii="Arial" w:hAnsi="Arial" w:cs="Arial"/>
          <w:lang w:val="sq-AL"/>
        </w:rPr>
        <w:t>Përmirësimi i performancës energjetike të ndërtesave është thelbësor për të ulur presionin nga ana e kërkesës mbi sistemin energjetik të Kosovës, në kushtet e stresit klimatik në rritje. Renovimi i ndërtesave publike dhe banesore—veçanërisht objekteve kritike si shkollat dhe spitalet—me izolim termik të avancuar, ndriçim efikas dhe sisteme të përmirësuara të ngrohjes rrit rehatinë termike dhe sigurinë gjatë valëve të të nxehtit dhe periudhave të të ftohtit. Këto masa reduktojnë kërkesën maksimale për energji, ulin kostot operacionale dhe ofrojnë mbrojtje të rëndësishme për popullatat</w:t>
      </w:r>
      <w:r w:rsidR="00E56B52" w:rsidRPr="001C61AE">
        <w:rPr>
          <w:rFonts w:ascii="Arial" w:hAnsi="Arial" w:cs="Arial"/>
          <w:lang w:val="sq-AL"/>
        </w:rPr>
        <w:t xml:space="preserve"> e cenueshme </w:t>
      </w:r>
      <w:r w:rsidRPr="001C61AE">
        <w:rPr>
          <w:rFonts w:ascii="Arial" w:hAnsi="Arial" w:cs="Arial"/>
          <w:lang w:val="sq-AL"/>
        </w:rPr>
        <w:t xml:space="preserve"> gjatë ekstremeve klimatike</w:t>
      </w:r>
      <w:r w:rsidR="00C71B2F" w:rsidRPr="001C61AE">
        <w:rPr>
          <w:rFonts w:ascii="Arial" w:hAnsi="Arial" w:cs="Arial"/>
          <w:lang w:val="sq-AL"/>
        </w:rPr>
        <w:t>.</w:t>
      </w:r>
    </w:p>
    <w:p w14:paraId="740B1133" w14:textId="6025B69E" w:rsidR="00B245A4" w:rsidRPr="001C61AE" w:rsidRDefault="00862AC4" w:rsidP="00B245A4">
      <w:pPr>
        <w:spacing w:line="240" w:lineRule="auto"/>
        <w:ind w:left="708"/>
        <w:jc w:val="both"/>
        <w:rPr>
          <w:rFonts w:ascii="Arial" w:hAnsi="Arial" w:cs="Arial"/>
          <w:b/>
          <w:bCs/>
          <w:color w:val="0F4761"/>
          <w:lang w:val="sq-AL"/>
        </w:rPr>
      </w:pPr>
      <w:r w:rsidRPr="001C61AE">
        <w:rPr>
          <w:rFonts w:ascii="Arial" w:hAnsi="Arial" w:cs="Arial"/>
          <w:b/>
          <w:bCs/>
          <w:color w:val="0F4761"/>
          <w:lang w:val="sq-AL"/>
        </w:rPr>
        <w:t>II.</w:t>
      </w:r>
      <w:r w:rsidR="00EC493B" w:rsidRPr="001C61AE">
        <w:rPr>
          <w:rFonts w:ascii="Arial" w:hAnsi="Arial" w:cs="Arial"/>
          <w:b/>
          <w:bCs/>
          <w:color w:val="0F4761"/>
          <w:lang w:val="sq-AL"/>
        </w:rPr>
        <w:t>2</w:t>
      </w:r>
      <w:r w:rsidR="000A6F64" w:rsidRPr="001C61AE">
        <w:rPr>
          <w:rFonts w:ascii="Arial" w:hAnsi="Arial" w:cs="Arial"/>
          <w:b/>
          <w:bCs/>
          <w:color w:val="0F4761"/>
          <w:lang w:val="sq-AL"/>
        </w:rPr>
        <w:t>5</w:t>
      </w:r>
      <w:r w:rsidR="00B245A4" w:rsidRPr="001C61AE">
        <w:rPr>
          <w:rFonts w:ascii="Arial" w:hAnsi="Arial" w:cs="Arial"/>
          <w:b/>
          <w:bCs/>
          <w:color w:val="0F4761"/>
          <w:lang w:val="sq-AL"/>
        </w:rPr>
        <w:t xml:space="preserve"> </w:t>
      </w:r>
      <w:r w:rsidR="004249A0" w:rsidRPr="001C61AE">
        <w:rPr>
          <w:rFonts w:ascii="Arial" w:hAnsi="Arial" w:cs="Arial"/>
          <w:b/>
          <w:bCs/>
          <w:color w:val="0F4761"/>
          <w:lang w:val="sq-AL"/>
        </w:rPr>
        <w:t>Rritja e efiçiencës energjetike në sektorin industrial dhe atë të shërbimeve, duke përfshirë pajisje dhe procese efiçiente.</w:t>
      </w:r>
    </w:p>
    <w:p w14:paraId="432A8391" w14:textId="659A723A" w:rsidR="00C71B2F" w:rsidRPr="001C61AE" w:rsidRDefault="00217776" w:rsidP="008E17FD">
      <w:pPr>
        <w:spacing w:line="240" w:lineRule="auto"/>
        <w:jc w:val="both"/>
        <w:rPr>
          <w:rFonts w:ascii="Arial" w:hAnsi="Arial" w:cs="Arial"/>
          <w:lang w:val="sq-AL"/>
        </w:rPr>
      </w:pPr>
      <w:r w:rsidRPr="001C61AE">
        <w:rPr>
          <w:rFonts w:ascii="Arial" w:hAnsi="Arial" w:cs="Arial"/>
          <w:lang w:val="sq-AL"/>
        </w:rPr>
        <w:lastRenderedPageBreak/>
        <w:t>Rritja e efiçiencës energjetike në sektorët industrial dhe tregtar është një komponent kyç i strategjisë së përshtatjes së Kosovës. Kalimi në pajisje me efikasitet të lartë, optimizimi i proceseve të prodhimit dhe vendosja e sistemeve të menaxhimit të mençur të energjisë ulin intensitetin energjetik, sigurojnë vazhdimësinë e bizneseve gjatë kufizimeve në furnizim dhe reduktojnë emetimet. Këto ndërhyrje ndihmojnë ndërmarrjet të vazhdojnë operimin përballë ndërprerjeve klimatike, duke kontribuar në qëndrueshmërinë dhe konkurrueshmërinë kombëtare</w:t>
      </w:r>
      <w:r w:rsidR="00C71B2F" w:rsidRPr="001C61AE">
        <w:rPr>
          <w:rFonts w:ascii="Arial" w:hAnsi="Arial" w:cs="Arial"/>
          <w:lang w:val="sq-AL"/>
        </w:rPr>
        <w:t>.</w:t>
      </w:r>
    </w:p>
    <w:p w14:paraId="4EE9D5EC" w14:textId="21DBC0BD" w:rsidR="00B245A4" w:rsidRPr="001C61AE" w:rsidRDefault="00862AC4" w:rsidP="00B245A4">
      <w:pPr>
        <w:spacing w:line="240" w:lineRule="auto"/>
        <w:ind w:left="708"/>
        <w:jc w:val="both"/>
        <w:rPr>
          <w:rFonts w:ascii="Arial" w:hAnsi="Arial" w:cs="Arial"/>
          <w:b/>
          <w:bCs/>
          <w:color w:val="0F4761"/>
          <w:lang w:val="sq-AL"/>
        </w:rPr>
      </w:pPr>
      <w:r w:rsidRPr="001C61AE">
        <w:rPr>
          <w:rFonts w:ascii="Arial" w:hAnsi="Arial" w:cs="Arial"/>
          <w:b/>
          <w:bCs/>
          <w:color w:val="0F4761"/>
          <w:lang w:val="sq-AL"/>
        </w:rPr>
        <w:t>II.2</w:t>
      </w:r>
      <w:r w:rsidR="000A6F64" w:rsidRPr="001C61AE">
        <w:rPr>
          <w:rFonts w:ascii="Arial" w:hAnsi="Arial" w:cs="Arial"/>
          <w:b/>
          <w:bCs/>
          <w:color w:val="0F4761"/>
          <w:lang w:val="sq-AL"/>
        </w:rPr>
        <w:t>6</w:t>
      </w:r>
      <w:r w:rsidR="00B245A4" w:rsidRPr="001C61AE">
        <w:rPr>
          <w:rFonts w:ascii="Arial" w:hAnsi="Arial" w:cs="Arial"/>
          <w:b/>
          <w:bCs/>
          <w:color w:val="0F4761"/>
          <w:lang w:val="sq-AL"/>
        </w:rPr>
        <w:t xml:space="preserve"> </w:t>
      </w:r>
      <w:r w:rsidR="004249A0" w:rsidRPr="001C61AE">
        <w:rPr>
          <w:rFonts w:ascii="Arial" w:hAnsi="Arial" w:cs="Arial"/>
          <w:b/>
          <w:bCs/>
          <w:color w:val="0F4761"/>
          <w:lang w:val="sq-AL"/>
        </w:rPr>
        <w:t>Ulja e humbjeve në transmetimin dhe shpërndarjen e energjisë elektrike përmes përmirësimeve të rrjetit dhe masave kundër vjedhjes së energjisë (Kjo përmirëson efiçiencën dhe besueshmërinë, veçanërisht në kushte të vështira nga moti ekstrem).</w:t>
      </w:r>
    </w:p>
    <w:p w14:paraId="3DC0BCA9" w14:textId="07D74C9C" w:rsidR="00C71B2F" w:rsidRPr="001C61AE" w:rsidRDefault="00217776" w:rsidP="008E17FD">
      <w:pPr>
        <w:spacing w:line="240" w:lineRule="auto"/>
        <w:jc w:val="both"/>
        <w:rPr>
          <w:rFonts w:ascii="Arial" w:hAnsi="Arial" w:cs="Arial"/>
          <w:lang w:val="sq-AL"/>
        </w:rPr>
      </w:pPr>
      <w:r w:rsidRPr="001C61AE">
        <w:rPr>
          <w:rFonts w:ascii="Arial" w:hAnsi="Arial" w:cs="Arial"/>
          <w:lang w:val="sq-AL"/>
        </w:rPr>
        <w:t>Kosova përballet me humbje të larta teknike dhe komerciale të energjisë elektrike, që në disa rajone kalojnë 20%. Trajtimi i këtyre humbjeve përmes përmirësimeve të synuara në rrjet—duke përfshirë transformatorë të modernizuar, përçues të izoluar dhe matje të mençur—si dhe forcimi i masave kundër vjedhjes përmirëson efiçiencën dhe besueshmërinë e përgjithshme të sistemit. Ulja e humbjeve ruan burimet e kufizuara të energjisë dhe forcon kapacitetin e rrjetit për t'iu përgjigjur stresit gjatë ngjarjeve klimatike, duke zvogëluar rrezikun për ndërprerje dhe paqëndrueshmëri të tensionit</w:t>
      </w:r>
      <w:r w:rsidR="00C71B2F" w:rsidRPr="001C61AE">
        <w:rPr>
          <w:rFonts w:ascii="Arial" w:hAnsi="Arial" w:cs="Arial"/>
          <w:lang w:val="sq-AL"/>
        </w:rPr>
        <w:t>.</w:t>
      </w:r>
    </w:p>
    <w:p w14:paraId="7B2B070A" w14:textId="067DD760" w:rsidR="00B245A4" w:rsidRPr="001C61AE" w:rsidRDefault="00862AC4" w:rsidP="00B245A4">
      <w:pPr>
        <w:spacing w:line="240" w:lineRule="auto"/>
        <w:ind w:left="708"/>
        <w:jc w:val="both"/>
        <w:rPr>
          <w:rFonts w:ascii="Arial" w:hAnsi="Arial" w:cs="Arial"/>
          <w:b/>
          <w:bCs/>
          <w:color w:val="0F4761"/>
          <w:lang w:val="sq-AL"/>
        </w:rPr>
      </w:pPr>
      <w:r w:rsidRPr="001C61AE">
        <w:rPr>
          <w:rFonts w:ascii="Arial" w:hAnsi="Arial" w:cs="Arial"/>
          <w:b/>
          <w:bCs/>
          <w:color w:val="0F4761"/>
          <w:lang w:val="sq-AL"/>
        </w:rPr>
        <w:t>II.2</w:t>
      </w:r>
      <w:r w:rsidR="000A6F64" w:rsidRPr="001C61AE">
        <w:rPr>
          <w:rFonts w:ascii="Arial" w:hAnsi="Arial" w:cs="Arial"/>
          <w:b/>
          <w:bCs/>
          <w:color w:val="0F4761"/>
          <w:lang w:val="sq-AL"/>
        </w:rPr>
        <w:t>7</w:t>
      </w:r>
      <w:r w:rsidR="00B245A4" w:rsidRPr="001C61AE">
        <w:rPr>
          <w:rFonts w:ascii="Arial" w:hAnsi="Arial" w:cs="Arial"/>
          <w:b/>
          <w:bCs/>
          <w:color w:val="0F4761"/>
          <w:lang w:val="sq-AL"/>
        </w:rPr>
        <w:t xml:space="preserve"> </w:t>
      </w:r>
      <w:r w:rsidR="00217776" w:rsidRPr="001C61AE">
        <w:rPr>
          <w:rFonts w:ascii="Arial" w:hAnsi="Arial" w:cs="Arial"/>
          <w:b/>
          <w:bCs/>
          <w:color w:val="0F4761"/>
          <w:lang w:val="sq-AL"/>
        </w:rPr>
        <w:t>Promovimi i sistemeve efiçiente të ngrohjes dhe pajisjeve shtëpiake për të ulur ngarkesën maksimale të energjisë elektrike dhe për të përmirësuar komoditetin gjatë ekstremeve klimatike</w:t>
      </w:r>
      <w:r w:rsidR="00B245A4" w:rsidRPr="001C61AE">
        <w:rPr>
          <w:rFonts w:ascii="Arial" w:hAnsi="Arial" w:cs="Arial"/>
          <w:b/>
          <w:bCs/>
          <w:color w:val="0F4761"/>
          <w:lang w:val="sq-AL"/>
        </w:rPr>
        <w:t>.</w:t>
      </w:r>
    </w:p>
    <w:p w14:paraId="0A88B07D" w14:textId="254C416F" w:rsidR="001D4FA1" w:rsidRPr="001C61AE" w:rsidRDefault="009300BE" w:rsidP="00217776">
      <w:pPr>
        <w:spacing w:line="240" w:lineRule="auto"/>
        <w:jc w:val="both"/>
        <w:rPr>
          <w:rFonts w:ascii="Arial" w:hAnsi="Arial" w:cs="Arial"/>
          <w:lang w:val="sq-AL"/>
        </w:rPr>
      </w:pPr>
      <w:r w:rsidRPr="001C61AE">
        <w:rPr>
          <w:rFonts w:ascii="Arial" w:hAnsi="Arial" w:cs="Arial"/>
          <w:noProof/>
        </w:rPr>
        <mc:AlternateContent>
          <mc:Choice Requires="wps">
            <w:drawing>
              <wp:anchor distT="0" distB="0" distL="114300" distR="114300" simplePos="0" relativeHeight="251762688" behindDoc="0" locked="0" layoutInCell="1" allowOverlap="1" wp14:anchorId="512028A2" wp14:editId="4E8C7356">
                <wp:simplePos x="0" y="0"/>
                <wp:positionH relativeFrom="margin">
                  <wp:posOffset>57150</wp:posOffset>
                </wp:positionH>
                <wp:positionV relativeFrom="paragraph">
                  <wp:posOffset>1284605</wp:posOffset>
                </wp:positionV>
                <wp:extent cx="6467475" cy="600075"/>
                <wp:effectExtent l="0" t="0" r="28575" b="28575"/>
                <wp:wrapTopAndBottom/>
                <wp:docPr id="1121622055" name="Cuadro de texto 13"/>
                <wp:cNvGraphicFramePr/>
                <a:graphic xmlns:a="http://schemas.openxmlformats.org/drawingml/2006/main">
                  <a:graphicData uri="http://schemas.microsoft.com/office/word/2010/wordprocessingShape">
                    <wps:wsp>
                      <wps:cNvSpPr txBox="1"/>
                      <wps:spPr>
                        <a:xfrm>
                          <a:off x="0" y="0"/>
                          <a:ext cx="6467475" cy="600075"/>
                        </a:xfrm>
                        <a:prstGeom prst="rect">
                          <a:avLst/>
                        </a:prstGeom>
                        <a:solidFill>
                          <a:schemeClr val="lt1"/>
                        </a:solidFill>
                        <a:ln w="12700">
                          <a:solidFill>
                            <a:schemeClr val="accent1"/>
                          </a:solidFill>
                          <a:prstDash val="dash"/>
                        </a:ln>
                      </wps:spPr>
                      <wps:txbx>
                        <w:txbxContent>
                          <w:p w14:paraId="17E82DC9" w14:textId="2CD30F1F" w:rsidR="007065D4" w:rsidRDefault="007065D4" w:rsidP="00217776">
                            <w:pPr>
                              <w:jc w:val="both"/>
                            </w:pPr>
                            <w:r w:rsidRPr="00217776">
                              <w:rPr>
                                <w:b/>
                                <w:bCs/>
                              </w:rPr>
                              <w:t>Plani i Veprimit,</w:t>
                            </w:r>
                            <w:r w:rsidRPr="00217776">
                              <w:t xml:space="preserve"> që detajon Objektivat specificë të prioritizuar për zbatim midis viteve 2026–2028, paraqitet në </w:t>
                            </w:r>
                            <w:hyperlink w:anchor="_Annex_II:_Energy" w:history="1">
                              <w:r w:rsidRPr="00217776">
                                <w:t xml:space="preserve"> </w:t>
                              </w:r>
                              <w:r w:rsidRPr="00217776">
                                <w:rPr>
                                  <w:rStyle w:val="Hyperlink"/>
                                </w:rPr>
                                <w:t>Shtojcën</w:t>
                              </w:r>
                              <w:r>
                                <w:rPr>
                                  <w:rStyle w:val="Hyperlink"/>
                                </w:rPr>
                                <w:t xml:space="preserve"> </w:t>
                              </w:r>
                              <w:r w:rsidRPr="000622A1">
                                <w:rPr>
                                  <w:rStyle w:val="Hyperlink"/>
                                </w:rPr>
                                <w:t>II.</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2028A2" id="Cuadro de texto 13" o:spid="_x0000_s1060" type="#_x0000_t202" style="position:absolute;left:0;text-align:left;margin-left:4.5pt;margin-top:101.15pt;width:509.25pt;height:47.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" fillcolor="white [3201]" strokecolor="#156082 [3204]" strokeweight="1pt">
                <v:stroke dashstyle="dash"/>
                <v:textbox>
                  <w:txbxContent>
                    <w:p w14:paraId="17E82DC9" w14:textId="2CD30F1F" w:rsidR="007065D4" w:rsidRDefault="007065D4" w:rsidP="00217776">
                      <w:pPr>
                        <w:jc w:val="both"/>
                      </w:pPr>
                      <w:r w:rsidRPr="00217776">
                        <w:rPr>
                          <w:b/>
                          <w:bCs/>
                        </w:rPr>
                        <w:t>Plani i Veprimit,</w:t>
                      </w:r>
                      <w:r w:rsidRPr="00217776">
                        <w:t xml:space="preserve"> që detajon Objektivat specificë të prioritizuar për zbatim midis viteve 2026–2028, paraqitet në </w:t>
                      </w:r>
                      <w:hyperlink w:anchor="_Annex_II:_Energy" w:history="1">
                        <w:r w:rsidRPr="00217776">
                          <w:t xml:space="preserve"> </w:t>
                        </w:r>
                        <w:r w:rsidRPr="00217776">
                          <w:rPr>
                            <w:rStyle w:val="Hyperlink"/>
                          </w:rPr>
                          <w:t>Shtojcën</w:t>
                        </w:r>
                        <w:r>
                          <w:rPr>
                            <w:rStyle w:val="Hyperlink"/>
                          </w:rPr>
                          <w:t xml:space="preserve"> </w:t>
                        </w:r>
                        <w:r w:rsidRPr="000622A1">
                          <w:rPr>
                            <w:rStyle w:val="Hyperlink"/>
                          </w:rPr>
                          <w:t>II.</w:t>
                        </w:r>
                      </w:hyperlink>
                    </w:p>
                  </w:txbxContent>
                </v:textbox>
                <w10:wrap type="topAndBottom" anchorx="margin"/>
              </v:shape>
            </w:pict>
          </mc:Fallback>
        </mc:AlternateContent>
      </w:r>
      <w:r w:rsidR="00217776" w:rsidRPr="001C61AE">
        <w:rPr>
          <w:rFonts w:ascii="Arial" w:hAnsi="Arial" w:cs="Arial"/>
          <w:lang w:val="sq-AL"/>
        </w:rPr>
        <w:t xml:space="preserve">Përmirësimi i efiçiencës së energjisë në nivelin e amvisërive është një strategji me kosto të përballueshme për të ulur kërkesën maksimale dhe për të rritur qëndrueshmërinë. Nxitja e përdorimit të sistemeve të ngrohjes me efikasitet të lartë, pajisjeve shtëpiake </w:t>
      </w:r>
      <w:r w:rsidR="00AF6C69" w:rsidRPr="001C61AE">
        <w:rPr>
          <w:rFonts w:ascii="Arial" w:hAnsi="Arial" w:cs="Arial"/>
          <w:lang w:val="sq-AL"/>
        </w:rPr>
        <w:t>efiçiente</w:t>
      </w:r>
      <w:r w:rsidR="00217776" w:rsidRPr="001C61AE">
        <w:rPr>
          <w:rFonts w:ascii="Arial" w:hAnsi="Arial" w:cs="Arial"/>
          <w:lang w:val="sq-AL"/>
        </w:rPr>
        <w:t>dhe izolimit termik—veçanërisht në familjet me të ardhura të ulëta—redukon faturat e energjisë, ul varësinë nga karburantet e importuara dhe ndihmon në ruajtjen e rehatisë së brendshme gjatë ekstremeve klimatike. Këto masa kontribuojnë gjithashtu në zvogëlimin e stresit sistemik mbi rrjetin elektrik gjatë periudhave të kërkesës së lartë të shkaktuar nga ngritja ekstreme e temperaturave apo periudhat e gjata të të ftohtit</w:t>
      </w:r>
      <w:r w:rsidR="00C71B2F" w:rsidRPr="001C61AE">
        <w:rPr>
          <w:rFonts w:ascii="Arial" w:hAnsi="Arial" w:cs="Arial"/>
          <w:lang w:val="sq-AL"/>
        </w:rPr>
        <w:t>.</w:t>
      </w:r>
      <w:r w:rsidR="001F0D69" w:rsidRPr="001C61AE">
        <w:rPr>
          <w:rFonts w:ascii="Arial" w:hAnsi="Arial" w:cs="Arial"/>
          <w:lang w:val="sq-AL"/>
        </w:rPr>
        <w:br w:type="page"/>
      </w:r>
    </w:p>
    <w:p w14:paraId="4720CF42" w14:textId="2F6DCBA2" w:rsidR="001D4FA1" w:rsidRPr="001C61AE" w:rsidRDefault="00712803" w:rsidP="00D846AE">
      <w:pPr>
        <w:pStyle w:val="Heading2"/>
        <w:rPr>
          <w:rFonts w:ascii="Arial" w:hAnsi="Arial" w:cs="Arial"/>
          <w:color w:val="246D5D"/>
          <w:lang w:val="sq-AL"/>
        </w:rPr>
      </w:pPr>
      <w:bookmarkStart w:id="81" w:name="_Toc211532708"/>
      <w:r w:rsidRPr="001C61AE">
        <w:rPr>
          <w:rFonts w:ascii="Arial" w:hAnsi="Arial" w:cs="Arial"/>
          <w:color w:val="246D5D"/>
          <w:lang w:val="sq-AL"/>
        </w:rPr>
        <w:lastRenderedPageBreak/>
        <w:t>PËRSHTATJA E BUJQËSISË DHE PYLLTARISË</w:t>
      </w:r>
      <w:bookmarkEnd w:id="81"/>
      <w:r w:rsidRPr="001C61AE">
        <w:rPr>
          <w:rFonts w:ascii="Arial" w:hAnsi="Arial" w:cs="Arial"/>
          <w:color w:val="246D5D"/>
          <w:lang w:val="sq-AL"/>
        </w:rPr>
        <w:t xml:space="preserve"> </w:t>
      </w:r>
    </w:p>
    <w:p w14:paraId="42FDA7BA" w14:textId="3150D3D2" w:rsidR="00F1149F" w:rsidRPr="001C61AE" w:rsidRDefault="00217776" w:rsidP="008E17FD">
      <w:pPr>
        <w:jc w:val="both"/>
        <w:rPr>
          <w:rFonts w:ascii="Arial" w:eastAsia="Times New Roman" w:hAnsi="Arial" w:cs="Arial"/>
          <w:b/>
          <w:bCs/>
          <w:kern w:val="0"/>
          <w:lang w:val="sq-AL" w:eastAsia="es-ES"/>
          <w14:ligatures w14:val="none"/>
        </w:rPr>
      </w:pPr>
      <w:r w:rsidRPr="001C61AE">
        <w:rPr>
          <w:rFonts w:ascii="Arial" w:eastAsia="Times New Roman" w:hAnsi="Arial" w:cs="Arial"/>
          <w:b/>
          <w:bCs/>
          <w:kern w:val="0"/>
          <w:lang w:val="sq-AL" w:eastAsia="es-ES"/>
          <w14:ligatures w14:val="none"/>
        </w:rPr>
        <w:t>Përmbledhje e Sektorit</w:t>
      </w:r>
    </w:p>
    <w:p w14:paraId="1B33D929" w14:textId="0FAF08CF" w:rsidR="00217776" w:rsidRPr="001C61AE" w:rsidRDefault="00217776" w:rsidP="00217776">
      <w:pPr>
        <w:spacing w:after="100" w:afterAutospacing="1"/>
        <w:jc w:val="both"/>
        <w:rPr>
          <w:rFonts w:ascii="Arial" w:eastAsia="Times New Roman" w:hAnsi="Arial" w:cs="Arial"/>
          <w:kern w:val="0"/>
          <w:lang w:val="sq-AL" w:eastAsia="es-ES"/>
          <w14:ligatures w14:val="none"/>
        </w:rPr>
      </w:pPr>
      <w:r w:rsidRPr="001C61AE">
        <w:rPr>
          <w:rFonts w:ascii="Arial" w:eastAsia="Times New Roman" w:hAnsi="Arial" w:cs="Arial"/>
          <w:kern w:val="0"/>
          <w:lang w:val="sq-AL" w:eastAsia="es-ES"/>
          <w14:ligatures w14:val="none"/>
        </w:rPr>
        <w:t xml:space="preserve">Burimet tokësore të Kosovës ndahen kryesisht midis bujqësisë dhe pyjeve. Nga një sipërfaqe totale prej </w:t>
      </w:r>
      <w:r w:rsidR="00BF3D56" w:rsidRPr="001C61AE">
        <w:rPr>
          <w:rFonts w:ascii="Arial" w:eastAsia="Times New Roman" w:hAnsi="Arial" w:cs="Arial"/>
          <w:kern w:val="0"/>
          <w:lang w:val="sq-AL" w:eastAsia="es-ES"/>
          <w14:ligatures w14:val="none"/>
        </w:rPr>
        <w:t xml:space="preserve">10,887 </w:t>
      </w:r>
      <w:r w:rsidRPr="001C61AE">
        <w:rPr>
          <w:rFonts w:ascii="Arial" w:eastAsia="Times New Roman" w:hAnsi="Arial" w:cs="Arial"/>
          <w:kern w:val="0"/>
          <w:lang w:val="sq-AL" w:eastAsia="es-ES"/>
          <w14:ligatures w14:val="none"/>
        </w:rPr>
        <w:t>km², rreth 38.5% është tokë bujqësore dhe 44% është mbulesë pyjore, ndërsa pjesa tjetër është për përdorime urbane ose të tjera.</w:t>
      </w:r>
      <w:r w:rsidR="00DB5CD7" w:rsidRPr="001C61AE">
        <w:rPr>
          <w:rStyle w:val="FootnoteReference"/>
          <w:rFonts w:ascii="Arial" w:eastAsia="Times New Roman" w:hAnsi="Arial" w:cs="Arial"/>
          <w:kern w:val="0"/>
          <w:lang w:val="sq-AL" w:eastAsia="es-ES"/>
          <w14:ligatures w14:val="none"/>
        </w:rPr>
        <w:footnoteReference w:id="64"/>
      </w:r>
    </w:p>
    <w:p w14:paraId="2F1EC5B9" w14:textId="77777777" w:rsidR="00217776" w:rsidRPr="001C61AE" w:rsidRDefault="00217776" w:rsidP="00217776">
      <w:pPr>
        <w:spacing w:after="100" w:afterAutospacing="1"/>
        <w:jc w:val="both"/>
        <w:rPr>
          <w:rFonts w:ascii="Arial" w:eastAsia="Times New Roman" w:hAnsi="Arial" w:cs="Arial"/>
          <w:kern w:val="0"/>
          <w:lang w:val="sq-AL" w:eastAsia="es-ES"/>
          <w14:ligatures w14:val="none"/>
        </w:rPr>
      </w:pPr>
      <w:r w:rsidRPr="001C61AE">
        <w:rPr>
          <w:rFonts w:ascii="Arial" w:eastAsia="Times New Roman" w:hAnsi="Arial" w:cs="Arial"/>
          <w:kern w:val="0"/>
          <w:lang w:val="sq-AL" w:eastAsia="es-ES"/>
          <w14:ligatures w14:val="none"/>
        </w:rPr>
        <w:t>Bujqësia kontribuon afërsisht 7-7.5% të PBB-së (afërsisht 650-700 milionë euro) dhe mbetet jetike për jetesën dhe sigurinë ushqimore. Sektori punëson një pjesë të madhe të fuqisë punëtore (deri në 23% duke përfshirë punën sezonale) pavarësisht pjesës së saj modeste në PBB.</w:t>
      </w:r>
    </w:p>
    <w:p w14:paraId="2BAE5D81" w14:textId="2F2F3DEE" w:rsidR="007B4274" w:rsidRPr="001C61AE" w:rsidRDefault="00217776" w:rsidP="00217776">
      <w:pPr>
        <w:spacing w:after="100" w:afterAutospacing="1"/>
        <w:jc w:val="both"/>
        <w:rPr>
          <w:rFonts w:ascii="Arial" w:eastAsia="Times New Roman" w:hAnsi="Arial" w:cs="Arial"/>
          <w:kern w:val="0"/>
          <w:lang w:val="sq-AL" w:eastAsia="es-ES"/>
          <w14:ligatures w14:val="none"/>
        </w:rPr>
      </w:pPr>
      <w:r w:rsidRPr="001C61AE">
        <w:rPr>
          <w:rFonts w:ascii="Arial" w:eastAsia="Times New Roman" w:hAnsi="Arial" w:cs="Arial"/>
          <w:kern w:val="0"/>
          <w:lang w:val="sq-AL" w:eastAsia="es-ES"/>
          <w14:ligatures w14:val="none"/>
        </w:rPr>
        <w:t>Paralelisht, peizazhet pyjore të Kosovës luajnë një rol vendimtar në zbutjen e klimës, mbrojtjen e biodiversitetit dhe ruajtjen e tokës, duke nënvizuar rëndësinë e menaxhimit të integruar dhe të qëndrueshëm në të dy sektorët e bazuar në tokë. Sipas Strategjisë së Zhvillimit të Pylltarisë në Kosovë 2022-2030, kontributi i pylltarisë në PBB është rreth 1%, me vlerën e prodhimit të drurit që varion midis 24-48 milionë euro dhe industrinë përfundimtare të përpunimit të drurit midis 40-50 milionë euro. Sektori aktualisht punëson rreth 2% të fuqisë punëtore totale. Si rezultat i presionit të ndryshimeve klimatike, pyjet po përballen gjithnjë e më shumë me rreziqe të sëmundjeve të ndryshme, të cilat janë një kërcënim i zakonshëm për burimet pyjore dhe pritet të përkeqësohen gradualisht nga ndryshimet klimatike. Të dhënat nga Inventari i fundit Kombëtar i Pyjeve tregojnë se një total prej 58,200 hektarësh pyjesh preken negativisht nga faktorë biotikë dhe abiotikë, duke rezultuar në dëmtimin e 5.8 milionë m³ masë druri. Nga kjo, insektet dhe sëmundjet janë përgjegjëse për dëmtimin e 14,600 hektarëve. Si pasojë, është e nevojshme të zhvillohen kapacitete për monitorimin e burimeve pyjore dhe parandalimin e shpërthimeve të insekteve, sëmundjeve dhe rreziqeve të tjera shëndetësore që mund të çojnë në humbje të konsiderueshme ekonomike dhe të kërcënojnë shëndetin dhe vitalitetin e pyjeve</w:t>
      </w:r>
      <w:r w:rsidR="007B4274" w:rsidRPr="001C61AE">
        <w:rPr>
          <w:rFonts w:ascii="Arial" w:eastAsia="Times New Roman" w:hAnsi="Arial" w:cs="Arial"/>
          <w:kern w:val="0"/>
          <w:lang w:val="sq-AL" w:eastAsia="es-ES"/>
          <w14:ligatures w14:val="none"/>
        </w:rPr>
        <w:t>.</w:t>
      </w:r>
      <w:r w:rsidR="007B4274" w:rsidRPr="001C61AE">
        <w:rPr>
          <w:rFonts w:ascii="Arial" w:eastAsia="Times New Roman" w:hAnsi="Arial" w:cs="Arial"/>
          <w:kern w:val="0"/>
          <w:vertAlign w:val="superscript"/>
          <w:lang w:val="sq-AL" w:eastAsia="es-ES"/>
          <w14:ligatures w14:val="none"/>
        </w:rPr>
        <w:footnoteReference w:id="65"/>
      </w:r>
    </w:p>
    <w:p w14:paraId="1F848C39" w14:textId="0AF87D7C" w:rsidR="001D4FA1" w:rsidRPr="001C61AE" w:rsidRDefault="00217776" w:rsidP="008E17FD">
      <w:pPr>
        <w:jc w:val="both"/>
        <w:rPr>
          <w:rFonts w:ascii="Arial" w:eastAsia="Times New Roman" w:hAnsi="Arial" w:cs="Arial"/>
          <w:b/>
          <w:bCs/>
          <w:kern w:val="0"/>
          <w:lang w:val="sq-AL" w:eastAsia="es-ES"/>
          <w14:ligatures w14:val="none"/>
        </w:rPr>
      </w:pPr>
      <w:r w:rsidRPr="001C61AE">
        <w:rPr>
          <w:rFonts w:ascii="Arial" w:eastAsia="Times New Roman" w:hAnsi="Arial" w:cs="Arial"/>
          <w:b/>
          <w:bCs/>
          <w:kern w:val="0"/>
          <w:lang w:val="sq-AL" w:eastAsia="es-ES"/>
          <w14:ligatures w14:val="none"/>
        </w:rPr>
        <w:t>Cenueshmëritë ndaj klimës dhe sfidat kryesore të përshtatjes</w:t>
      </w:r>
    </w:p>
    <w:p w14:paraId="4215BF2C" w14:textId="77777777" w:rsidR="00217776" w:rsidRPr="001C61AE" w:rsidRDefault="00217776" w:rsidP="00217776">
      <w:pPr>
        <w:jc w:val="both"/>
        <w:rPr>
          <w:rFonts w:ascii="Arial" w:eastAsia="Times New Roman" w:hAnsi="Arial" w:cs="Arial"/>
          <w:kern w:val="0"/>
          <w:lang w:val="sq-AL" w:eastAsia="es-ES"/>
          <w14:ligatures w14:val="none"/>
        </w:rPr>
      </w:pPr>
      <w:r w:rsidRPr="001C61AE">
        <w:rPr>
          <w:rFonts w:ascii="Arial" w:eastAsia="Times New Roman" w:hAnsi="Arial" w:cs="Arial"/>
          <w:kern w:val="0"/>
          <w:lang w:val="sq-AL" w:eastAsia="es-ES"/>
          <w14:ligatures w14:val="none"/>
        </w:rPr>
        <w:t>Sektori i bujqësisë dhe pylltarisë në Kosovë është shumë i ndjeshëm ndaj ndikimeve të ndryshimeve klimatike. Rritja e temperaturave, ndryshimi i modeleve të reshjeve dhe frekuenca në rritje e ngjarjeve ekstreme të motit - siç janë thatësirat, përmbytjet, zjarret dhe stuhitë - tashmë po prishin produktivitetin bujqësor, po degradojnë ekosistemet pyjore dhe po kërcënojnë jetesën rurale.</w:t>
      </w:r>
    </w:p>
    <w:p w14:paraId="119F493E" w14:textId="45A65CDE" w:rsidR="00277185" w:rsidRPr="001C61AE" w:rsidRDefault="00217776" w:rsidP="00B15518">
      <w:pPr>
        <w:jc w:val="both"/>
        <w:rPr>
          <w:rFonts w:ascii="Arial" w:eastAsia="Times New Roman" w:hAnsi="Arial" w:cs="Arial"/>
          <w:kern w:val="0"/>
          <w:lang w:val="sq-AL" w:eastAsia="es-ES"/>
          <w14:ligatures w14:val="none"/>
        </w:rPr>
      </w:pPr>
      <w:r w:rsidRPr="001C61AE">
        <w:rPr>
          <w:rFonts w:ascii="Arial" w:eastAsia="Times New Roman" w:hAnsi="Arial" w:cs="Arial"/>
          <w:kern w:val="0"/>
          <w:lang w:val="sq-AL" w:eastAsia="es-ES"/>
          <w14:ligatures w14:val="none"/>
        </w:rPr>
        <w:t xml:space="preserve">Në bujqësi, stresi nga uji dhe ndryshueshmëria e reshjeve janë veçanërisht kritike. Për shembull, një thatësirë e rëndë në vitin 2014 shteroi rezervuarët dhe detyroi racionimin e ujit në Prishtinë, duke nxjerrë në pah një cenueshmëri sistemike që ndikon gjithashtu në ujitje dhe rendimentet e të korrave. Anasjelltas, përmbytjet si ato në janar 2023 përmbytën zonat rurale dhe urbane, duke dëmtuar tokat bujqësore dhe duke çuar në ndotje të tokës, me mbi 25 milionë euro humbje të raportuara midis viteve 2015 dhe 2022. Këto ngjarje - të kombinuara me zjarret në shkurre, degradimin e tokës, ndotjen e akuiferit dhe shpërthimet e sëmundjeve - po kontribuojnë në rritjen e kostove të prodhimit, humbjen e produktivitetit dhe rritjen e </w:t>
      </w:r>
      <w:r w:rsidRPr="001C61AE">
        <w:rPr>
          <w:rFonts w:ascii="Arial" w:eastAsia="Times New Roman" w:hAnsi="Arial" w:cs="Arial"/>
          <w:kern w:val="0"/>
          <w:lang w:val="sq-AL" w:eastAsia="es-ES"/>
          <w14:ligatures w14:val="none"/>
        </w:rPr>
        <w:lastRenderedPageBreak/>
        <w:t xml:space="preserve">pasigurisë ushqimore. Zinxhiri i ndikimit në bujqësi nxjerr në pah se si stresorët klimatikë çojnë në tendosje </w:t>
      </w:r>
      <w:r w:rsidR="0010486D" w:rsidRPr="001C61AE">
        <w:rPr>
          <w:rFonts w:ascii="Arial" w:hAnsi="Arial" w:cs="Arial"/>
          <w:noProof/>
        </w:rPr>
        <mc:AlternateContent>
          <mc:Choice Requires="wps">
            <w:drawing>
              <wp:anchor distT="0" distB="0" distL="114300" distR="114300" simplePos="0" relativeHeight="251832320" behindDoc="0" locked="0" layoutInCell="1" allowOverlap="1" wp14:anchorId="5C4AA23E" wp14:editId="1A457D9A">
                <wp:simplePos x="0" y="0"/>
                <wp:positionH relativeFrom="margin">
                  <wp:align>left</wp:align>
                </wp:positionH>
                <wp:positionV relativeFrom="paragraph">
                  <wp:posOffset>4366895</wp:posOffset>
                </wp:positionV>
                <wp:extent cx="6480810" cy="182880"/>
                <wp:effectExtent l="0" t="0" r="0" b="7620"/>
                <wp:wrapTopAndBottom/>
                <wp:docPr id="1620802223" name="Text Box 1"/>
                <wp:cNvGraphicFramePr/>
                <a:graphic xmlns:a="http://schemas.openxmlformats.org/drawingml/2006/main">
                  <a:graphicData uri="http://schemas.microsoft.com/office/word/2010/wordprocessingShape">
                    <wps:wsp>
                      <wps:cNvSpPr txBox="1"/>
                      <wps:spPr>
                        <a:xfrm>
                          <a:off x="0" y="0"/>
                          <a:ext cx="6480810" cy="182880"/>
                        </a:xfrm>
                        <a:prstGeom prst="rect">
                          <a:avLst/>
                        </a:prstGeom>
                        <a:solidFill>
                          <a:prstClr val="white"/>
                        </a:solidFill>
                        <a:ln>
                          <a:noFill/>
                        </a:ln>
                      </wps:spPr>
                      <wps:txbx>
                        <w:txbxContent>
                          <w:p w14:paraId="6D77B481" w14:textId="2CA73965" w:rsidR="00D23BB3" w:rsidRPr="002A46E3" w:rsidRDefault="00D23BB3" w:rsidP="004C6E93">
                            <w:pPr>
                              <w:pStyle w:val="Caption"/>
                              <w:rPr>
                                <w:rFonts w:ascii="Arial" w:hAnsi="Arial" w:cs="Arial"/>
                                <w:b/>
                                <w:bCs/>
                                <w:noProof/>
                                <w:sz w:val="20"/>
                                <w:szCs w:val="20"/>
                                <w:lang w:val="sq-AL" w:eastAsia="sq-AL"/>
                              </w:rPr>
                            </w:pPr>
                            <w:bookmarkStart w:id="82" w:name="_Toc211532629"/>
                            <w:r w:rsidRPr="002A46E3">
                              <w:rPr>
                                <w:rFonts w:ascii="Arial" w:hAnsi="Arial" w:cs="Arial"/>
                              </w:rPr>
                              <w:t xml:space="preserve">Figura </w:t>
                            </w:r>
                            <w:r w:rsidRPr="002A46E3">
                              <w:rPr>
                                <w:rFonts w:ascii="Arial" w:hAnsi="Arial" w:cs="Arial"/>
                              </w:rPr>
                              <w:fldChar w:fldCharType="begin"/>
                            </w:r>
                            <w:r w:rsidRPr="002A46E3">
                              <w:rPr>
                                <w:rFonts w:ascii="Arial" w:hAnsi="Arial" w:cs="Arial"/>
                              </w:rPr>
                              <w:instrText xml:space="preserve"> SEQ Figura \* ARABIC </w:instrText>
                            </w:r>
                            <w:r w:rsidRPr="002A46E3">
                              <w:rPr>
                                <w:rFonts w:ascii="Arial" w:hAnsi="Arial" w:cs="Arial"/>
                              </w:rPr>
                              <w:fldChar w:fldCharType="separate"/>
                            </w:r>
                            <w:r w:rsidR="0005579F" w:rsidRPr="002A46E3">
                              <w:rPr>
                                <w:rFonts w:ascii="Arial" w:hAnsi="Arial" w:cs="Arial"/>
                                <w:noProof/>
                              </w:rPr>
                              <w:t>28</w:t>
                            </w:r>
                            <w:r w:rsidRPr="002A46E3">
                              <w:rPr>
                                <w:rFonts w:ascii="Arial" w:hAnsi="Arial" w:cs="Arial"/>
                              </w:rPr>
                              <w:fldChar w:fldCharType="end"/>
                            </w:r>
                            <w:r w:rsidRPr="002A46E3">
                              <w:rPr>
                                <w:rFonts w:ascii="Arial" w:hAnsi="Arial" w:cs="Arial"/>
                              </w:rPr>
                              <w:t>. Zinxhiri i ndikimit për sektorin e bujqësisë. Burimi: MMPHI, 2025.</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C4AA23E" id="_x0000_t202" coordsize="21600,21600" o:spt="202" path="m,l,21600r21600,l21600,xe">
                <v:stroke joinstyle="miter"/>
                <v:path gradientshapeok="t" o:connecttype="rect"/>
              </v:shapetype>
              <v:shape id="_x0000_s1061" type="#_x0000_t202" style="position:absolute;left:0;text-align:left;margin-left:0;margin-top:343.85pt;width:510.3pt;height:14.4pt;z-index:251832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" stroked="f">
                <v:textbox inset="0,0,0,0">
                  <w:txbxContent>
                    <w:p w14:paraId="6D77B481" w14:textId="2CA73965" w:rsidR="00D23BB3" w:rsidRPr="002A46E3" w:rsidRDefault="00D23BB3" w:rsidP="004C6E93">
                      <w:pPr>
                        <w:pStyle w:val="Caption"/>
                        <w:rPr>
                          <w:rFonts w:ascii="Arial" w:hAnsi="Arial" w:cs="Arial"/>
                          <w:b/>
                          <w:bCs/>
                          <w:noProof/>
                          <w:sz w:val="20"/>
                          <w:szCs w:val="20"/>
                          <w:lang w:val="sq-AL" w:eastAsia="sq-AL"/>
                        </w:rPr>
                      </w:pPr>
                      <w:bookmarkStart w:id="81" w:name="_Toc211532629"/>
                      <w:r w:rsidRPr="002A46E3">
                        <w:rPr>
                          <w:rFonts w:ascii="Arial" w:hAnsi="Arial" w:cs="Arial"/>
                        </w:rPr>
                        <w:t xml:space="preserve">Figura </w:t>
                      </w:r>
                      <w:r w:rsidRPr="002A46E3">
                        <w:rPr>
                          <w:rFonts w:ascii="Arial" w:hAnsi="Arial" w:cs="Arial"/>
                        </w:rPr>
                        <w:fldChar w:fldCharType="begin"/>
                      </w:r>
                      <w:r w:rsidRPr="002A46E3">
                        <w:rPr>
                          <w:rFonts w:ascii="Arial" w:hAnsi="Arial" w:cs="Arial"/>
                        </w:rPr>
                        <w:instrText xml:space="preserve"> SEQ Figura \* ARABIC </w:instrText>
                      </w:r>
                      <w:r w:rsidRPr="002A46E3">
                        <w:rPr>
                          <w:rFonts w:ascii="Arial" w:hAnsi="Arial" w:cs="Arial"/>
                        </w:rPr>
                        <w:fldChar w:fldCharType="separate"/>
                      </w:r>
                      <w:r w:rsidR="0005579F" w:rsidRPr="002A46E3">
                        <w:rPr>
                          <w:rFonts w:ascii="Arial" w:hAnsi="Arial" w:cs="Arial"/>
                          <w:noProof/>
                        </w:rPr>
                        <w:t>28</w:t>
                      </w:r>
                      <w:r w:rsidRPr="002A46E3">
                        <w:rPr>
                          <w:rFonts w:ascii="Arial" w:hAnsi="Arial" w:cs="Arial"/>
                        </w:rPr>
                        <w:fldChar w:fldCharType="end"/>
                      </w:r>
                      <w:r w:rsidRPr="002A46E3">
                        <w:rPr>
                          <w:rFonts w:ascii="Arial" w:hAnsi="Arial" w:cs="Arial"/>
                        </w:rPr>
                        <w:t>. Zinxhiri i ndikimit për sektorin e bujqësisë. Burimi: MMPHI, 2025.</w:t>
                      </w:r>
                      <w:bookmarkEnd w:id="81"/>
                    </w:p>
                  </w:txbxContent>
                </v:textbox>
                <w10:wrap type="topAndBottom" anchorx="margin"/>
              </v:shape>
            </w:pict>
          </mc:Fallback>
        </mc:AlternateContent>
      </w:r>
      <w:r w:rsidR="0010486D" w:rsidRPr="001C61AE">
        <w:rPr>
          <w:rFonts w:ascii="Arial" w:hAnsi="Arial" w:cs="Arial"/>
          <w:b/>
          <w:bCs/>
          <w:i/>
          <w:iCs/>
          <w:noProof/>
          <w:sz w:val="20"/>
          <w:szCs w:val="20"/>
        </w:rPr>
        <w:drawing>
          <wp:anchor distT="0" distB="0" distL="114300" distR="114300" simplePos="0" relativeHeight="251752448" behindDoc="0" locked="0" layoutInCell="1" allowOverlap="1" wp14:anchorId="61AA0BF9" wp14:editId="50127C6E">
            <wp:simplePos x="0" y="0"/>
            <wp:positionH relativeFrom="margin">
              <wp:align>left</wp:align>
            </wp:positionH>
            <wp:positionV relativeFrom="paragraph">
              <wp:posOffset>352425</wp:posOffset>
            </wp:positionV>
            <wp:extent cx="6480810" cy="4003675"/>
            <wp:effectExtent l="0" t="0" r="0" b="0"/>
            <wp:wrapTopAndBottom/>
            <wp:docPr id="3965204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20438" name="Imagen 1"/>
                    <pic:cNvPicPr/>
                  </pic:nvPicPr>
                  <pic:blipFill>
                    <a:blip r:embed="rId54">
                      <a:extLst>
                        <a:ext uri="{28A0092B-C50C-407E-A947-70E740481C1C}">
                          <a14:useLocalDpi xmlns:a14="http://schemas.microsoft.com/office/drawing/2010/main" val="0"/>
                        </a:ext>
                      </a:extLst>
                    </a:blip>
                    <a:stretch>
                      <a:fillRect/>
                    </a:stretch>
                  </pic:blipFill>
                  <pic:spPr>
                    <a:xfrm>
                      <a:off x="0" y="0"/>
                      <a:ext cx="6480810" cy="4003675"/>
                    </a:xfrm>
                    <a:prstGeom prst="rect">
                      <a:avLst/>
                    </a:prstGeom>
                  </pic:spPr>
                </pic:pic>
              </a:graphicData>
            </a:graphic>
            <wp14:sizeRelH relativeFrom="page">
              <wp14:pctWidth>0</wp14:pctWidth>
            </wp14:sizeRelH>
            <wp14:sizeRelV relativeFrom="page">
              <wp14:pctHeight>0</wp14:pctHeight>
            </wp14:sizeRelV>
          </wp:anchor>
        </w:drawing>
      </w:r>
      <w:r w:rsidRPr="001C61AE">
        <w:rPr>
          <w:rFonts w:ascii="Arial" w:eastAsia="Times New Roman" w:hAnsi="Arial" w:cs="Arial"/>
          <w:kern w:val="0"/>
          <w:lang w:val="sq-AL" w:eastAsia="es-ES"/>
          <w14:ligatures w14:val="none"/>
        </w:rPr>
        <w:t>ekonomike, ulje të rendimenteve, pasiguri të ujit dhe zhvendosje të mundshme të popullatave rurale</w:t>
      </w:r>
      <w:r w:rsidR="0066536A" w:rsidRPr="001C61AE">
        <w:rPr>
          <w:rFonts w:ascii="Arial" w:eastAsia="Times New Roman" w:hAnsi="Arial" w:cs="Arial"/>
          <w:kern w:val="0"/>
          <w:lang w:val="sq-AL" w:eastAsia="es-ES"/>
          <w14:ligatures w14:val="none"/>
        </w:rPr>
        <w:t>.</w:t>
      </w:r>
    </w:p>
    <w:p w14:paraId="57871D8F" w14:textId="17A19F46" w:rsidR="00BC61C5" w:rsidRPr="001C61AE" w:rsidRDefault="00277185" w:rsidP="00277185">
      <w:pPr>
        <w:spacing w:after="0"/>
        <w:jc w:val="both"/>
        <w:rPr>
          <w:rFonts w:ascii="Arial" w:eastAsia="Times New Roman" w:hAnsi="Arial" w:cs="Arial"/>
          <w:kern w:val="0"/>
          <w:lang w:val="sq-AL" w:eastAsia="es-ES"/>
          <w14:ligatures w14:val="none"/>
        </w:rPr>
      </w:pPr>
      <w:r w:rsidRPr="001C61AE">
        <w:rPr>
          <w:rFonts w:ascii="Arial" w:eastAsia="Times New Roman" w:hAnsi="Arial" w:cs="Arial"/>
          <w:kern w:val="0"/>
          <w:lang w:val="sq-AL" w:eastAsia="es-ES"/>
          <w14:ligatures w14:val="none"/>
        </w:rPr>
        <w:t>Sektori i pylltarisë është gjithashtu nën presion në rritje. Rreziqet e shkaktuara nga klima, të tilla si valët e zgjatura të nxehtësisë, periudhat e thatësirës dhe ndryshimet në modelet e reshjeve, po përshpejtojnë degradimin e pyjeve. Vetëm në vitin 2020, zjarret dogjën mbi 2,400 hektarë. Sot, gati 37% e sipërfaqes pyjore të Kosovës është në rrezik mesatar zjarri dhe 16% është në rrezik të lartë. Rreziku i sëmundjeve po rritet dhe shëndeti i pyjeve po përkeqësohet për shkak të dimrave më të butë që nuk i shtypin më infektimet. Pyjet përballen me rreziqe të përshkallëzuara nga zjarret dhe sëmundjet në një klimë ngrohëse. Sipas të dhënave nga Inventari i fundit Kombëtar i Pyjeve në Kosovë, stoku total i karbonit vlerësohet të jetë mbi 24 milionë ton</w:t>
      </w:r>
      <w:r w:rsidR="003B315D" w:rsidRPr="001C61AE">
        <w:rPr>
          <w:rStyle w:val="FootnoteReference"/>
          <w:rFonts w:ascii="Arial" w:eastAsia="Times New Roman" w:hAnsi="Arial" w:cs="Arial"/>
          <w:kern w:val="0"/>
          <w:lang w:val="sq-AL" w:eastAsia="es-ES"/>
          <w14:ligatures w14:val="none"/>
        </w:rPr>
        <w:footnoteReference w:id="66"/>
      </w:r>
      <w:r w:rsidRPr="001C61AE">
        <w:rPr>
          <w:rFonts w:ascii="Arial" w:eastAsia="Times New Roman" w:hAnsi="Arial" w:cs="Arial"/>
          <w:kern w:val="0"/>
          <w:lang w:val="sq-AL" w:eastAsia="es-ES"/>
          <w14:ligatures w14:val="none"/>
        </w:rPr>
        <w:t>. Përveç kësaj, shpyllëzimi malor dhe keqmenaxhimi kontribuojnë në erozionin e tokës, grumbullimin e llumit të lumenjve dhe destabilizimin e shpateve - duke përkeqësuar rreziqet e përmbytjeve dhe thatësirës në rrjedhën e poshtme. Zinxhiri i ndikimit në pylltari tregon se këto rreziqe mund të rezultojnë në humbje ekonomike, degradim të shërbimeve të ekosistemit dhe humbje të zonave rekreative dhe të gjuetisë që kanë gjithashtu vlerë kulturore dhe ekonomike</w:t>
      </w:r>
      <w:r w:rsidR="00BC61C5" w:rsidRPr="001C61AE">
        <w:rPr>
          <w:rFonts w:ascii="Arial" w:eastAsia="Times New Roman" w:hAnsi="Arial" w:cs="Arial"/>
          <w:kern w:val="0"/>
          <w:lang w:val="sq-AL" w:eastAsia="es-ES"/>
          <w14:ligatures w14:val="none"/>
        </w:rPr>
        <w:t>.</w:t>
      </w:r>
    </w:p>
    <w:p w14:paraId="122119FA" w14:textId="77777777" w:rsidR="002D2044" w:rsidRPr="001C61AE" w:rsidRDefault="00945296" w:rsidP="004C6E93">
      <w:pPr>
        <w:keepNext/>
        <w:jc w:val="both"/>
        <w:rPr>
          <w:rFonts w:ascii="Arial" w:hAnsi="Arial" w:cs="Arial"/>
        </w:rPr>
      </w:pPr>
      <w:r w:rsidRPr="001C61AE">
        <w:rPr>
          <w:rFonts w:ascii="Arial" w:eastAsia="Times New Roman" w:hAnsi="Arial" w:cs="Arial"/>
          <w:noProof/>
          <w:kern w:val="0"/>
          <w14:ligatures w14:val="none"/>
        </w:rPr>
        <w:lastRenderedPageBreak/>
        <w:drawing>
          <wp:inline distT="0" distB="0" distL="0" distR="0" wp14:anchorId="556F3645" wp14:editId="130AFDBC">
            <wp:extent cx="6480810" cy="3733068"/>
            <wp:effectExtent l="0" t="0" r="0" b="1270"/>
            <wp:docPr id="18126219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21944" name="Imagen 1"/>
                    <pic:cNvPicPr/>
                  </pic:nvPicPr>
                  <pic:blipFill>
                    <a:blip r:embed="rId55">
                      <a:extLst>
                        <a:ext uri="{28A0092B-C50C-407E-A947-70E740481C1C}">
                          <a14:useLocalDpi xmlns:a14="http://schemas.microsoft.com/office/drawing/2010/main" val="0"/>
                        </a:ext>
                      </a:extLst>
                    </a:blip>
                    <a:stretch>
                      <a:fillRect/>
                    </a:stretch>
                  </pic:blipFill>
                  <pic:spPr>
                    <a:xfrm>
                      <a:off x="0" y="0"/>
                      <a:ext cx="6480810" cy="3733068"/>
                    </a:xfrm>
                    <a:prstGeom prst="rect">
                      <a:avLst/>
                    </a:prstGeom>
                  </pic:spPr>
                </pic:pic>
              </a:graphicData>
            </a:graphic>
          </wp:inline>
        </w:drawing>
      </w:r>
    </w:p>
    <w:p w14:paraId="1E091834" w14:textId="2DDD7375" w:rsidR="0066536A" w:rsidRPr="001C61AE" w:rsidRDefault="002D2044" w:rsidP="00B15518">
      <w:pPr>
        <w:pStyle w:val="Caption"/>
        <w:jc w:val="both"/>
        <w:rPr>
          <w:rFonts w:ascii="Arial" w:hAnsi="Arial" w:cs="Arial"/>
        </w:rPr>
      </w:pPr>
      <w:bookmarkStart w:id="83" w:name="_Toc211532630"/>
      <w:r w:rsidRPr="001C61AE">
        <w:rPr>
          <w:rFonts w:ascii="Arial" w:hAnsi="Arial" w:cs="Arial"/>
        </w:rPr>
        <w:t xml:space="preserve">Figura </w:t>
      </w:r>
      <w:r w:rsidRPr="001C61AE">
        <w:rPr>
          <w:rFonts w:ascii="Arial" w:hAnsi="Arial" w:cs="Arial"/>
        </w:rPr>
        <w:fldChar w:fldCharType="begin"/>
      </w:r>
      <w:r w:rsidRPr="001C61AE">
        <w:rPr>
          <w:rFonts w:ascii="Arial" w:hAnsi="Arial" w:cs="Arial"/>
        </w:rPr>
        <w:instrText xml:space="preserve"> SEQ Figura \* ARABIC </w:instrText>
      </w:r>
      <w:r w:rsidRPr="001C61AE">
        <w:rPr>
          <w:rFonts w:ascii="Arial" w:hAnsi="Arial" w:cs="Arial"/>
        </w:rPr>
        <w:fldChar w:fldCharType="separate"/>
      </w:r>
      <w:r w:rsidR="0005579F" w:rsidRPr="001C61AE">
        <w:rPr>
          <w:rFonts w:ascii="Arial" w:hAnsi="Arial" w:cs="Arial"/>
          <w:noProof/>
        </w:rPr>
        <w:t>29</w:t>
      </w:r>
      <w:r w:rsidRPr="001C61AE">
        <w:rPr>
          <w:rFonts w:ascii="Arial" w:hAnsi="Arial" w:cs="Arial"/>
        </w:rPr>
        <w:fldChar w:fldCharType="end"/>
      </w:r>
      <w:r w:rsidRPr="001C61AE">
        <w:rPr>
          <w:rFonts w:ascii="Arial" w:hAnsi="Arial" w:cs="Arial"/>
        </w:rPr>
        <w:t>. Zinxhiri i ndikimit për sektorin e Pylltarisë. Burimi: MMPHI, 2025.</w:t>
      </w:r>
      <w:bookmarkEnd w:id="83"/>
      <w:r w:rsidR="0066536A" w:rsidRPr="001C61AE">
        <w:rPr>
          <w:rFonts w:ascii="Arial" w:hAnsi="Arial" w:cs="Arial"/>
          <w:color w:val="auto"/>
          <w:sz w:val="20"/>
          <w:szCs w:val="20"/>
          <w:lang w:val="sq-AL"/>
        </w:rPr>
        <w:t xml:space="preserve"> </w:t>
      </w:r>
    </w:p>
    <w:p w14:paraId="3DC98DF3" w14:textId="3CBFFDA2" w:rsidR="00277185" w:rsidRPr="001C61AE" w:rsidRDefault="00277185" w:rsidP="00277185">
      <w:pPr>
        <w:spacing w:before="100" w:beforeAutospacing="1" w:after="120"/>
        <w:jc w:val="both"/>
        <w:rPr>
          <w:rFonts w:ascii="Arial" w:eastAsia="Times New Roman" w:hAnsi="Arial" w:cs="Arial"/>
          <w:kern w:val="0"/>
          <w:lang w:val="sq-AL" w:eastAsia="es-ES"/>
          <w14:ligatures w14:val="none"/>
        </w:rPr>
      </w:pPr>
      <w:r w:rsidRPr="001C61AE">
        <w:rPr>
          <w:rFonts w:ascii="Arial" w:eastAsia="Times New Roman" w:hAnsi="Arial" w:cs="Arial"/>
          <w:kern w:val="0"/>
          <w:lang w:val="sq-AL" w:eastAsia="es-ES"/>
          <w14:ligatures w14:val="none"/>
        </w:rPr>
        <w:t xml:space="preserve">Pavarësisht </w:t>
      </w:r>
      <w:r w:rsidR="00BF3D56" w:rsidRPr="001C61AE">
        <w:rPr>
          <w:rFonts w:ascii="Arial" w:eastAsia="Times New Roman" w:hAnsi="Arial" w:cs="Arial"/>
          <w:kern w:val="0"/>
          <w:lang w:val="sq-AL" w:eastAsia="es-ES"/>
          <w14:ligatures w14:val="none"/>
        </w:rPr>
        <w:t xml:space="preserve">bazës së </w:t>
      </w:r>
      <w:r w:rsidRPr="001C61AE">
        <w:rPr>
          <w:rFonts w:ascii="Arial" w:eastAsia="Times New Roman" w:hAnsi="Arial" w:cs="Arial"/>
          <w:kern w:val="0"/>
          <w:lang w:val="sq-AL" w:eastAsia="es-ES"/>
          <w14:ligatures w14:val="none"/>
        </w:rPr>
        <w:t xml:space="preserve">fortë politike - siç është </w:t>
      </w:r>
      <w:r w:rsidR="00BE39C7" w:rsidRPr="001C61AE">
        <w:rPr>
          <w:rFonts w:ascii="Arial" w:eastAsia="Times New Roman" w:hAnsi="Arial" w:cs="Arial"/>
          <w:kern w:val="0"/>
          <w:lang w:val="sq-AL" w:eastAsia="es-ES"/>
          <w14:ligatures w14:val="none"/>
        </w:rPr>
        <w:t>Strategjia</w:t>
      </w:r>
      <w:r w:rsidRPr="001C61AE">
        <w:rPr>
          <w:rFonts w:ascii="Arial" w:eastAsia="Times New Roman" w:hAnsi="Arial" w:cs="Arial"/>
          <w:kern w:val="0"/>
          <w:lang w:val="sq-AL" w:eastAsia="es-ES"/>
          <w14:ligatures w14:val="none"/>
        </w:rPr>
        <w:t xml:space="preserve"> e Bujqësisë së Qëndrueshme dhe Zhvillimit Rural (SARD), </w:t>
      </w:r>
      <w:r w:rsidR="00BE39C7" w:rsidRPr="001C61AE">
        <w:rPr>
          <w:rFonts w:ascii="Arial" w:eastAsia="Times New Roman" w:hAnsi="Arial" w:cs="Arial"/>
          <w:kern w:val="0"/>
          <w:lang w:val="sq-AL" w:eastAsia="es-ES"/>
          <w14:ligatures w14:val="none"/>
        </w:rPr>
        <w:t>Strategjia</w:t>
      </w:r>
      <w:r w:rsidRPr="001C61AE">
        <w:rPr>
          <w:rFonts w:ascii="Arial" w:eastAsia="Times New Roman" w:hAnsi="Arial" w:cs="Arial"/>
          <w:kern w:val="0"/>
          <w:lang w:val="sq-AL" w:eastAsia="es-ES"/>
          <w14:ligatures w14:val="none"/>
        </w:rPr>
        <w:t xml:space="preserve"> Kombëtare e Pylltarisë dhe Kontributi i Përcaktuar Kombëtarisht i Kosovës (NDC), sfida të rëndësishme zbatimi vazhdojnë në të gjithë sektorin:</w:t>
      </w:r>
    </w:p>
    <w:p w14:paraId="785778C4" w14:textId="367C1C5F" w:rsidR="00277185" w:rsidRPr="001C61AE" w:rsidRDefault="00277185" w:rsidP="00F36447">
      <w:pPr>
        <w:pStyle w:val="ListParagraph"/>
        <w:numPr>
          <w:ilvl w:val="0"/>
          <w:numId w:val="38"/>
        </w:numPr>
        <w:spacing w:before="100" w:beforeAutospacing="1" w:after="120"/>
        <w:jc w:val="both"/>
        <w:rPr>
          <w:rFonts w:ascii="Arial" w:eastAsia="Times New Roman" w:hAnsi="Arial" w:cs="Arial"/>
          <w:kern w:val="0"/>
          <w:lang w:val="sq-AL" w:eastAsia="es-ES"/>
          <w14:ligatures w14:val="none"/>
        </w:rPr>
      </w:pPr>
      <w:r w:rsidRPr="001C61AE">
        <w:rPr>
          <w:rFonts w:ascii="Arial" w:eastAsia="Times New Roman" w:hAnsi="Arial" w:cs="Arial"/>
          <w:kern w:val="0"/>
          <w:lang w:val="sq-AL" w:eastAsia="es-ES"/>
          <w14:ligatures w14:val="none"/>
        </w:rPr>
        <w:t>Zotërimet e fragmentuara të tokës dhe pyjeve: Shumica e parcelave bujqësore janë nën 2 ha dhe pronësia e pyjeve ndahet midis 132,000 pronarëve privatë, me zotërime mesatare prej vetëm 1.4 ha. Kjo pengon koordinimin e përdorimit të tokës dhe shkallëzimin e praktikave rezistente ndaj klimës.</w:t>
      </w:r>
    </w:p>
    <w:p w14:paraId="4EC10112" w14:textId="41E014D9" w:rsidR="00277185" w:rsidRPr="001C61AE" w:rsidRDefault="00277185" w:rsidP="00F36447">
      <w:pPr>
        <w:pStyle w:val="ListParagraph"/>
        <w:numPr>
          <w:ilvl w:val="0"/>
          <w:numId w:val="38"/>
        </w:numPr>
        <w:spacing w:before="100" w:beforeAutospacing="1" w:after="120"/>
        <w:jc w:val="both"/>
        <w:rPr>
          <w:rFonts w:ascii="Arial" w:eastAsia="Times New Roman" w:hAnsi="Arial" w:cs="Arial"/>
          <w:kern w:val="0"/>
          <w:lang w:val="sq-AL" w:eastAsia="es-ES"/>
          <w14:ligatures w14:val="none"/>
        </w:rPr>
      </w:pPr>
      <w:r w:rsidRPr="001C61AE">
        <w:rPr>
          <w:rFonts w:ascii="Arial" w:eastAsia="Times New Roman" w:hAnsi="Arial" w:cs="Arial"/>
          <w:kern w:val="0"/>
          <w:lang w:val="sq-AL" w:eastAsia="es-ES"/>
          <w14:ligatures w14:val="none"/>
        </w:rPr>
        <w:t xml:space="preserve">Infrastrukturë e vjetëruar dhe praktika tradicionale: Sistemet e ujitjes, rrugët rurale, objektet e magazinimit dhe përpunimit janë të pamjaftueshme. Monokultura tradicionale e ushqyer nga shiu dominon, me përdorim të kufizuar të inputeve </w:t>
      </w:r>
      <w:r w:rsidR="00AF6C69" w:rsidRPr="001C61AE">
        <w:rPr>
          <w:rFonts w:ascii="Arial" w:eastAsia="Times New Roman" w:hAnsi="Arial" w:cs="Arial"/>
          <w:kern w:val="0"/>
          <w:lang w:val="sq-AL" w:eastAsia="es-ES"/>
          <w14:ligatures w14:val="none"/>
        </w:rPr>
        <w:t>efiçiente</w:t>
      </w:r>
      <w:r w:rsidRPr="001C61AE">
        <w:rPr>
          <w:rFonts w:ascii="Arial" w:eastAsia="Times New Roman" w:hAnsi="Arial" w:cs="Arial"/>
          <w:kern w:val="0"/>
          <w:lang w:val="sq-AL" w:eastAsia="es-ES"/>
          <w14:ligatures w14:val="none"/>
        </w:rPr>
        <w:t>ose të zgjuara ndaj klimës si në bujqësi ashtu edhe në pylltari.</w:t>
      </w:r>
    </w:p>
    <w:p w14:paraId="178EC16E" w14:textId="77777777" w:rsidR="00277185" w:rsidRPr="001C61AE" w:rsidRDefault="00277185" w:rsidP="00F36447">
      <w:pPr>
        <w:pStyle w:val="ListParagraph"/>
        <w:numPr>
          <w:ilvl w:val="0"/>
          <w:numId w:val="38"/>
        </w:numPr>
        <w:spacing w:before="100" w:beforeAutospacing="1" w:after="120"/>
        <w:jc w:val="both"/>
        <w:rPr>
          <w:rFonts w:ascii="Arial" w:eastAsia="Times New Roman" w:hAnsi="Arial" w:cs="Arial"/>
          <w:kern w:val="0"/>
          <w:lang w:val="sq-AL" w:eastAsia="es-ES"/>
          <w14:ligatures w14:val="none"/>
        </w:rPr>
      </w:pPr>
      <w:r w:rsidRPr="001C61AE">
        <w:rPr>
          <w:rFonts w:ascii="Arial" w:eastAsia="Times New Roman" w:hAnsi="Arial" w:cs="Arial"/>
          <w:kern w:val="0"/>
          <w:lang w:val="sq-AL" w:eastAsia="es-ES"/>
          <w14:ligatures w14:val="none"/>
        </w:rPr>
        <w:t xml:space="preserve">Kapacitet i ulët adaptues: Fermerët dhe pronarët e pyjeve shpesh nuk kanë mjetet financiare, njohuritë teknike ose qasjen në kredi për të investuar në zgjidhje që rrisin qëndrueshmërinë, siç janë ujitja me pika, kulturat rezistente ndaj rrezikut të sëmundjeve ose menaxhimi i qëndrueshëm i pyjeve. Sigurimi bujqësor dhe sistemet e paralajmërimit të hershëm mbeten të pazhvilluara. </w:t>
      </w:r>
    </w:p>
    <w:p w14:paraId="5D52F1C5" w14:textId="5F3BE360" w:rsidR="00277185" w:rsidRPr="001C61AE" w:rsidRDefault="00277185" w:rsidP="00F36447">
      <w:pPr>
        <w:pStyle w:val="ListParagraph"/>
        <w:numPr>
          <w:ilvl w:val="0"/>
          <w:numId w:val="38"/>
        </w:numPr>
        <w:spacing w:before="100" w:beforeAutospacing="1" w:after="120"/>
        <w:jc w:val="both"/>
        <w:rPr>
          <w:rFonts w:ascii="Arial" w:eastAsia="Times New Roman" w:hAnsi="Arial" w:cs="Arial"/>
          <w:kern w:val="0"/>
          <w:lang w:val="sq-AL" w:eastAsia="es-ES"/>
          <w14:ligatures w14:val="none"/>
        </w:rPr>
      </w:pPr>
      <w:r w:rsidRPr="001C61AE">
        <w:rPr>
          <w:rFonts w:ascii="Arial" w:eastAsia="Times New Roman" w:hAnsi="Arial" w:cs="Arial"/>
          <w:kern w:val="0"/>
          <w:lang w:val="sq-AL" w:eastAsia="es-ES"/>
          <w14:ligatures w14:val="none"/>
        </w:rPr>
        <w:t>Degradimi mjedisor dhe boshllëqet institucionale: Prerja e paligjshme e pyjeve, kullotja e tepërt dhe zbatimi i dobët i rregulloreve mjedisore po degradojnë bazën e burimeve. Qeverisja e sektorit të pyjeve dhe ujërave mbetet e fragmentuar, me mandate të mbivendosura ose të vjetruara dhe mekanizma koordinimi të kufizuar.</w:t>
      </w:r>
    </w:p>
    <w:p w14:paraId="4775A934" w14:textId="77777777" w:rsidR="00277185" w:rsidRPr="001C61AE" w:rsidRDefault="00277185" w:rsidP="00277185">
      <w:pPr>
        <w:spacing w:before="100" w:beforeAutospacing="1" w:after="120"/>
        <w:jc w:val="both"/>
        <w:rPr>
          <w:rFonts w:ascii="Arial" w:eastAsia="Times New Roman" w:hAnsi="Arial" w:cs="Arial"/>
          <w:kern w:val="0"/>
          <w:lang w:val="sq-AL" w:eastAsia="es-ES"/>
          <w14:ligatures w14:val="none"/>
        </w:rPr>
      </w:pPr>
      <w:r w:rsidRPr="001C61AE">
        <w:rPr>
          <w:rFonts w:ascii="Arial" w:eastAsia="Times New Roman" w:hAnsi="Arial" w:cs="Arial"/>
          <w:kern w:val="0"/>
          <w:lang w:val="sq-AL" w:eastAsia="es-ES"/>
          <w14:ligatures w14:val="none"/>
        </w:rPr>
        <w:t>Në përmbledhje, ndërsa sektori i bujqësisë dhe pylltarisë në Kosovë është me rëndësi kritike ekonomike, sociale dhe ekologjike, ai është një nga më të ndjeshëmit ndaj klimës. Ndërtimi i qëndrueshmërisë do të kërkojë veprime të koordinuara për të modernizuar infrastrukturën, për të fuqizuar pronarët e vegjël dhe pyjet, dhe për të rritur bashkëpunimin institucional në të gjithë menaxhimin e rrezikut të bujqësisë, pylltarisë, ujit dhe fatkeqësive. Zinxhirët e ndikimit në bujqësi dhe pylltari ilustrojnë qartë se si rreziqet klimatike përhapen në sistem, duke rritur kostot, duke ulur produktivitetin dhe duke kërcënuar qëndrueshmërinë e jetesës rurale nëse masat e përshtatjes nuk zbatohen në shkallë të gjerë.</w:t>
      </w:r>
    </w:p>
    <w:p w14:paraId="65A590FE" w14:textId="0C2640E6" w:rsidR="001D4FA1" w:rsidRPr="001C61AE" w:rsidRDefault="00277185" w:rsidP="00277185">
      <w:pPr>
        <w:spacing w:before="100" w:beforeAutospacing="1" w:after="120"/>
        <w:jc w:val="both"/>
        <w:rPr>
          <w:rFonts w:ascii="Arial" w:eastAsia="Times New Roman" w:hAnsi="Arial" w:cs="Arial"/>
          <w:b/>
          <w:bCs/>
          <w:kern w:val="0"/>
          <w:lang w:val="sq-AL" w:eastAsia="es-ES"/>
          <w14:ligatures w14:val="none"/>
        </w:rPr>
      </w:pPr>
      <w:r w:rsidRPr="001C61AE">
        <w:rPr>
          <w:rFonts w:ascii="Arial" w:eastAsia="Times New Roman" w:hAnsi="Arial" w:cs="Arial"/>
          <w:b/>
          <w:bCs/>
          <w:kern w:val="0"/>
          <w:lang w:val="sq-AL" w:eastAsia="es-ES"/>
          <w14:ligatures w14:val="none"/>
        </w:rPr>
        <w:lastRenderedPageBreak/>
        <w:t>Korniza e politikave</w:t>
      </w:r>
    </w:p>
    <w:p w14:paraId="02A486DD" w14:textId="0158CB6C" w:rsidR="00151527" w:rsidRPr="001C61AE" w:rsidRDefault="00151527" w:rsidP="00151527">
      <w:pPr>
        <w:spacing w:before="100" w:beforeAutospacing="1" w:after="120"/>
        <w:jc w:val="both"/>
        <w:rPr>
          <w:rFonts w:ascii="Arial" w:hAnsi="Arial" w:cs="Arial"/>
          <w:lang w:val="sq-AL"/>
        </w:rPr>
      </w:pPr>
      <w:r w:rsidRPr="001C61AE">
        <w:rPr>
          <w:rFonts w:ascii="Arial" w:hAnsi="Arial" w:cs="Arial"/>
          <w:lang w:val="sq-AL"/>
        </w:rPr>
        <w:t xml:space="preserve"> </w:t>
      </w:r>
      <w:r w:rsidR="00FC4EF1" w:rsidRPr="001C61AE">
        <w:rPr>
          <w:rFonts w:ascii="Arial" w:hAnsi="Arial" w:cs="Arial"/>
          <w:lang w:val="sq-AL"/>
        </w:rPr>
        <w:t>S</w:t>
      </w:r>
      <w:r w:rsidRPr="001C61AE">
        <w:rPr>
          <w:rFonts w:ascii="Arial" w:hAnsi="Arial" w:cs="Arial"/>
          <w:lang w:val="sq-AL"/>
        </w:rPr>
        <w:t>ë fundmi</w:t>
      </w:r>
      <w:r w:rsidR="00FC4EF1" w:rsidRPr="001C61AE">
        <w:rPr>
          <w:rFonts w:ascii="Arial" w:hAnsi="Arial" w:cs="Arial"/>
          <w:lang w:val="sq-AL"/>
        </w:rPr>
        <w:t>, kemi zhvilluar</w:t>
      </w:r>
      <w:r w:rsidRPr="001C61AE">
        <w:rPr>
          <w:rFonts w:ascii="Arial" w:hAnsi="Arial" w:cs="Arial"/>
          <w:lang w:val="sq-AL"/>
        </w:rPr>
        <w:t xml:space="preserve"> disa strategji që e njohin rrezikun në rritje të ndryshimeve klimatike. </w:t>
      </w:r>
      <w:r w:rsidR="00BE39C7" w:rsidRPr="001C61AE">
        <w:rPr>
          <w:rFonts w:ascii="Arial" w:hAnsi="Arial" w:cs="Arial"/>
          <w:lang w:val="sq-AL"/>
        </w:rPr>
        <w:t>Strategjia</w:t>
      </w:r>
      <w:r w:rsidRPr="001C61AE">
        <w:rPr>
          <w:rFonts w:ascii="Arial" w:hAnsi="Arial" w:cs="Arial"/>
          <w:lang w:val="sq-AL"/>
        </w:rPr>
        <w:t xml:space="preserve"> për Zhvillimin e Bujqësisë dhe Zhvillimin Rural 2022–2028 (SARD) thekson menaxhimin e qëndrueshëm të burimeve dhe e përfshin qartësisht përshtatjen ndaj ndryshimeve klimatike si një prioritet. </w:t>
      </w:r>
      <w:r w:rsidR="00BE39C7" w:rsidRPr="001C61AE">
        <w:rPr>
          <w:rFonts w:ascii="Arial" w:hAnsi="Arial" w:cs="Arial"/>
          <w:lang w:val="sq-AL"/>
        </w:rPr>
        <w:t>Strategjia</w:t>
      </w:r>
      <w:r w:rsidRPr="001C61AE">
        <w:rPr>
          <w:rFonts w:ascii="Arial" w:hAnsi="Arial" w:cs="Arial"/>
          <w:lang w:val="sq-AL"/>
        </w:rPr>
        <w:t xml:space="preserve"> nënvizon nevojën për </w:t>
      </w:r>
      <w:r w:rsidR="00BF3D56" w:rsidRPr="001C61AE">
        <w:rPr>
          <w:rFonts w:ascii="Arial" w:hAnsi="Arial" w:cs="Arial"/>
          <w:lang w:val="sq-AL"/>
        </w:rPr>
        <w:t xml:space="preserve">t’i zvogëluar </w:t>
      </w:r>
      <w:r w:rsidRPr="001C61AE">
        <w:rPr>
          <w:rFonts w:ascii="Arial" w:hAnsi="Arial" w:cs="Arial"/>
          <w:lang w:val="sq-AL"/>
        </w:rPr>
        <w:t xml:space="preserve">rreziqet klimatike dhe për të përshtatur praktikat bujqësore, për shembull përmes masave </w:t>
      </w:r>
      <w:r w:rsidR="00AF6C69" w:rsidRPr="001C61AE">
        <w:rPr>
          <w:rFonts w:ascii="Arial" w:hAnsi="Arial" w:cs="Arial"/>
          <w:lang w:val="sq-AL"/>
        </w:rPr>
        <w:t>efiçiente</w:t>
      </w:r>
      <w:r w:rsidRPr="001C61AE">
        <w:rPr>
          <w:rFonts w:ascii="Arial" w:hAnsi="Arial" w:cs="Arial"/>
          <w:lang w:val="sq-AL"/>
        </w:rPr>
        <w:t>të ujitjes dhe menaxhimit të tokës. Objektivi 2 i SARD-it fokusohet në menaxhimin e qëndrueshëm të tokës, ujit dhe pyjeve, ndërsa Objektivi specifik 2.1 synon mbështetjen e zbutjes dhe përshtatjes ndaj ndryshimeve klimatike në sektorin e bujqësisë. Po ashtu, Dokumenti Politik dhe Strategjik për Zhvillimin e Pylltarisë 2022–2030 përfshin qasjen e përshtatjes ndaj klimës, duke e vendosur pylltarinë në qendër të qëndrueshmërisë klimatike dhe zhvillimit rural. Ligji i ri për Pylltari (08/L-137 i vitit 2023) është miratuar për të harmonizuar legjislacionin me standardet e BE-së, duke mandatuar pylltari të qëndrueshme, ruajtje të biodiversitetit dhe mbrojtje të avancuar të pyjeve. Ky ligj siguron një bazë më të fortë ligjore për masa të përshtatjes, si ripyllëzimi, menaxhimi i zjarreve dhe mbrojtja e pellgjeve ujore.</w:t>
      </w:r>
    </w:p>
    <w:p w14:paraId="7CD66EE6" w14:textId="77777777" w:rsidR="00151527" w:rsidRPr="001C61AE" w:rsidRDefault="00151527" w:rsidP="00151527">
      <w:pPr>
        <w:spacing w:before="100" w:beforeAutospacing="1" w:after="120"/>
        <w:jc w:val="both"/>
        <w:rPr>
          <w:rFonts w:ascii="Arial" w:hAnsi="Arial" w:cs="Arial"/>
          <w:lang w:val="sq-AL"/>
        </w:rPr>
      </w:pPr>
      <w:r w:rsidRPr="001C61AE">
        <w:rPr>
          <w:rFonts w:ascii="Arial" w:hAnsi="Arial" w:cs="Arial"/>
          <w:lang w:val="sq-AL"/>
        </w:rPr>
        <w:t>Në përputhje me kuadrin ligjor, pyjet dhe tokat pyjore në pronësi të shtetit menaxhohen nga Agjencia e Pyjeve e Kosovës, e cila gjithashtu ofron shërbime profesionale, teknike dhe administrative për pyjet në pronësi private. Dy parqet kombëtare (“Bjeshkët e Nemuna” dhe “Sharri”) së bashku me zonat tjera të mbrojtura administrohen nga Ministria e Mjedisit, Planifikimit Hapësinor dhe Infrastrukturës.</w:t>
      </w:r>
    </w:p>
    <w:p w14:paraId="6EDBBB45" w14:textId="46809FC3" w:rsidR="00BC61C5" w:rsidRPr="001C61AE" w:rsidRDefault="00151527" w:rsidP="00151527">
      <w:pPr>
        <w:spacing w:after="120"/>
        <w:jc w:val="both"/>
        <w:rPr>
          <w:rFonts w:ascii="Arial" w:hAnsi="Arial" w:cs="Arial"/>
          <w:lang w:val="sq-AL"/>
        </w:rPr>
      </w:pPr>
      <w:r w:rsidRPr="001C61AE">
        <w:rPr>
          <w:rFonts w:ascii="Arial" w:hAnsi="Arial" w:cs="Arial"/>
          <w:lang w:val="sq-AL"/>
        </w:rPr>
        <w:t>Në sektorin e ujit, Plani Master për Ujitje në Kosovë dhe iniciativat përkatëse adresojnë mungesën e ujit dhe modernizimin e sistemeve të ujitjes, si elemente kyçe për përshtatje në bujqësi. Infrastruktura e ujitjes, që menaxhohet nga tri ndërmarrje publike rajonale, ka nevojë për rehabilitim dhe zgjerim. Aktualisht, vetëm rreth 32,000 ha (rreth 7–8% e tokës bujqësore) janë të ujitura në praktikë, ndërsa kjo sipërfaqe është zvogëluar gjatë dekadave të fundit për shkak të degradimit të infrastrukturës. Plani master identifikon potencialin për të zgjeruar ndjeshëm sipërfaqet e ujitura (deri në 280,000 ha përmes rezervuarëve të rinj dhe sistemeve efikase</w:t>
      </w:r>
      <w:r w:rsidR="00BC61C5" w:rsidRPr="001C61AE">
        <w:rPr>
          <w:rFonts w:ascii="Arial" w:hAnsi="Arial" w:cs="Arial"/>
          <w:lang w:val="sq-AL"/>
        </w:rPr>
        <w:t>)</w:t>
      </w:r>
      <w:r w:rsidR="00BC61C5" w:rsidRPr="001C61AE">
        <w:rPr>
          <w:rFonts w:ascii="Arial" w:hAnsi="Arial" w:cs="Arial"/>
          <w:vertAlign w:val="superscript"/>
          <w:lang w:val="sq-AL"/>
        </w:rPr>
        <w:footnoteReference w:id="67"/>
      </w:r>
      <w:r w:rsidR="00BC61C5" w:rsidRPr="001C61AE">
        <w:rPr>
          <w:rFonts w:ascii="Arial" w:hAnsi="Arial" w:cs="Arial"/>
          <w:lang w:val="sq-AL"/>
        </w:rPr>
        <w:t xml:space="preserve"> </w:t>
      </w:r>
      <w:r w:rsidRPr="001C61AE">
        <w:rPr>
          <w:rFonts w:ascii="Arial" w:hAnsi="Arial" w:cs="Arial"/>
          <w:lang w:val="sq-AL"/>
        </w:rPr>
        <w:t xml:space="preserve">dhe parashtron masa si ndërtimi i rezervuarëve të rinj, përfshirja e teknologjisë së ujitjes me pika (drip), dhe përmirësimi i qeverisjes së ujit. Kontributi i Parë i Përcaktuar Kombëtar (NDC, 2024) i Kosovës përforcon gjithashtu angazhimet sektoriale për përshtatje. Kapitulli i përshtatjes në NDC mbështetet në këto strategji, duke theksuar masat kyçe në bujqësi dhe pylltari, si infrastruktura e gjelbër, ripyllëzimi dhe skemat agro-mjedisore. Ai nënvizon nevojën urgjente për ndërtimin e qëndrueshmërisë në të gjitha sektorët dhe ka nxitur hartimin e kësaj Strategjie Kombëtare për Përshtatje ndaj Ndryshimeve Klimatike në Kosovë. Koordinimi institucional për përshtatje është ende në faza të hershme, por në përmirësim. </w:t>
      </w:r>
      <w:r w:rsidR="00BE39C7" w:rsidRPr="001C61AE">
        <w:rPr>
          <w:rFonts w:ascii="Arial" w:hAnsi="Arial" w:cs="Arial"/>
          <w:lang w:val="sq-AL"/>
        </w:rPr>
        <w:t>Strategjia</w:t>
      </w:r>
      <w:r w:rsidRPr="001C61AE">
        <w:rPr>
          <w:rFonts w:ascii="Arial" w:hAnsi="Arial" w:cs="Arial"/>
          <w:lang w:val="sq-AL"/>
        </w:rPr>
        <w:t xml:space="preserve"> për Ndryshime Klimatike 2019–2028 dhe Ligji për Klimën inkurajojnë integrimin e përshtatjes në planet sektoriale, ndërsa Këshilli për Ndryshime Klimatike i Kosovës ofron një platformë për koordinimin e veprimeve ndërmjet ministrive (Mjedisi, Bujqësia, Ekonomia etj.).</w:t>
      </w:r>
    </w:p>
    <w:p w14:paraId="34EC068F" w14:textId="5A9D360F" w:rsidR="00151527" w:rsidRPr="001C61AE" w:rsidRDefault="00BF3D56" w:rsidP="00151527">
      <w:pPr>
        <w:rPr>
          <w:rFonts w:ascii="Arial" w:eastAsia="Times New Roman" w:hAnsi="Arial" w:cs="Arial"/>
          <w:b/>
          <w:bCs/>
          <w:kern w:val="0"/>
          <w:lang w:val="sq-AL" w:eastAsia="es-ES"/>
          <w14:ligatures w14:val="none"/>
        </w:rPr>
      </w:pPr>
      <w:r w:rsidRPr="001C61AE">
        <w:rPr>
          <w:rFonts w:ascii="Arial" w:eastAsia="Times New Roman" w:hAnsi="Arial" w:cs="Arial"/>
          <w:b/>
          <w:bCs/>
          <w:kern w:val="0"/>
          <w:lang w:val="sq-AL" w:eastAsia="es-ES"/>
          <w14:ligatures w14:val="none"/>
        </w:rPr>
        <w:t xml:space="preserve">Përparësitë </w:t>
      </w:r>
      <w:r w:rsidR="00151527" w:rsidRPr="001C61AE">
        <w:rPr>
          <w:rFonts w:ascii="Arial" w:eastAsia="Times New Roman" w:hAnsi="Arial" w:cs="Arial"/>
          <w:b/>
          <w:bCs/>
          <w:kern w:val="0"/>
          <w:lang w:val="sq-AL" w:eastAsia="es-ES"/>
          <w14:ligatures w14:val="none"/>
        </w:rPr>
        <w:t xml:space="preserve">, </w:t>
      </w:r>
      <w:r w:rsidRPr="001C61AE">
        <w:rPr>
          <w:rFonts w:ascii="Arial" w:eastAsia="Times New Roman" w:hAnsi="Arial" w:cs="Arial"/>
          <w:b/>
          <w:bCs/>
          <w:kern w:val="0"/>
          <w:lang w:val="sq-AL" w:eastAsia="es-ES"/>
          <w14:ligatures w14:val="none"/>
        </w:rPr>
        <w:t xml:space="preserve">mangësitë </w:t>
      </w:r>
      <w:r w:rsidR="00151527" w:rsidRPr="001C61AE">
        <w:rPr>
          <w:rFonts w:ascii="Arial" w:eastAsia="Times New Roman" w:hAnsi="Arial" w:cs="Arial"/>
          <w:b/>
          <w:bCs/>
          <w:kern w:val="0"/>
          <w:lang w:val="sq-AL" w:eastAsia="es-ES"/>
          <w14:ligatures w14:val="none"/>
        </w:rPr>
        <w:t>, mundësitë dhe kërcënimet</w:t>
      </w:r>
    </w:p>
    <w:p w14:paraId="5DC4781C" w14:textId="268B05A2" w:rsidR="00151527" w:rsidRPr="001C61AE" w:rsidRDefault="00151527" w:rsidP="00151527">
      <w:pPr>
        <w:jc w:val="both"/>
        <w:rPr>
          <w:rFonts w:ascii="Arial" w:hAnsi="Arial" w:cs="Arial"/>
          <w:lang w:val="sq-AL"/>
        </w:rPr>
      </w:pPr>
      <w:r w:rsidRPr="001C61AE">
        <w:rPr>
          <w:rFonts w:ascii="Arial" w:hAnsi="Arial" w:cs="Arial"/>
          <w:lang w:val="sq-AL"/>
        </w:rPr>
        <w:t xml:space="preserve">Tabela më poshtë paraqet një analizë SWOT të sektorit të bujqësisë dhe pylltarisë së Kosovës, duke nxjerrë në pah </w:t>
      </w:r>
      <w:r w:rsidR="00BF3D56" w:rsidRPr="001C61AE">
        <w:rPr>
          <w:rFonts w:ascii="Arial" w:hAnsi="Arial" w:cs="Arial"/>
          <w:lang w:val="sq-AL"/>
        </w:rPr>
        <w:t xml:space="preserve">përparësitë </w:t>
      </w:r>
      <w:r w:rsidRPr="001C61AE">
        <w:rPr>
          <w:rFonts w:ascii="Arial" w:hAnsi="Arial" w:cs="Arial"/>
          <w:lang w:val="sq-AL"/>
        </w:rPr>
        <w:t xml:space="preserve"> dhe </w:t>
      </w:r>
      <w:r w:rsidR="00BF3D56" w:rsidRPr="001C61AE">
        <w:rPr>
          <w:rFonts w:ascii="Arial" w:hAnsi="Arial" w:cs="Arial"/>
          <w:lang w:val="sq-AL"/>
        </w:rPr>
        <w:t>mangësitë</w:t>
      </w:r>
      <w:r w:rsidR="00BF3D56" w:rsidRPr="001C61AE" w:rsidDel="00BF3D56">
        <w:rPr>
          <w:rFonts w:ascii="Arial" w:hAnsi="Arial" w:cs="Arial"/>
          <w:lang w:val="sq-AL"/>
        </w:rPr>
        <w:t xml:space="preserve"> </w:t>
      </w:r>
      <w:r w:rsidR="00BF3D56" w:rsidRPr="001C61AE">
        <w:rPr>
          <w:rFonts w:ascii="Arial" w:hAnsi="Arial" w:cs="Arial"/>
          <w:lang w:val="sq-AL"/>
        </w:rPr>
        <w:t xml:space="preserve">e </w:t>
      </w:r>
      <w:r w:rsidRPr="001C61AE">
        <w:rPr>
          <w:rFonts w:ascii="Arial" w:hAnsi="Arial" w:cs="Arial"/>
          <w:lang w:val="sq-AL"/>
        </w:rPr>
        <w:t>brendshme, si dhe mundësitë dhe kërcënimet e jashtme me të cilat përballet vendi në kontekstin e ndryshimeve klimatike dhe menaxhimit të qëndrueshëm të burimeve të tij bujqësore dhe pyjore.</w:t>
      </w:r>
    </w:p>
    <w:p w14:paraId="5540B40B" w14:textId="77777777" w:rsidR="00151527" w:rsidRPr="001C61AE" w:rsidRDefault="00151527" w:rsidP="00151527">
      <w:pPr>
        <w:rPr>
          <w:rFonts w:ascii="Arial" w:hAnsi="Arial" w:cs="Arial"/>
          <w:lang w:val="sq-AL"/>
        </w:rPr>
      </w:pPr>
    </w:p>
    <w:tbl>
      <w:tblPr>
        <w:tblStyle w:val="GridTable1Light"/>
        <w:tblW w:w="5000" w:type="pct"/>
        <w:tblLook w:val="04A0" w:firstRow="1" w:lastRow="0" w:firstColumn="1" w:lastColumn="0" w:noHBand="0" w:noVBand="1"/>
      </w:tblPr>
      <w:tblGrid>
        <w:gridCol w:w="2321"/>
        <w:gridCol w:w="2480"/>
        <w:gridCol w:w="2620"/>
        <w:gridCol w:w="2775"/>
      </w:tblGrid>
      <w:tr w:rsidR="00151527" w:rsidRPr="001C61AE" w14:paraId="052BEDC4" w14:textId="77777777" w:rsidTr="001515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8" w:type="pct"/>
            <w:shd w:val="clear" w:color="auto" w:fill="F2F2F2" w:themeFill="background1" w:themeFillShade="F2"/>
            <w:vAlign w:val="center"/>
            <w:hideMark/>
          </w:tcPr>
          <w:p w14:paraId="2E47FD16" w14:textId="05968038" w:rsidR="00151527" w:rsidRPr="001C61AE" w:rsidRDefault="004E4175" w:rsidP="00A70686">
            <w:pPr>
              <w:jc w:val="center"/>
              <w:rPr>
                <w:rFonts w:ascii="Arial" w:hAnsi="Arial" w:cs="Arial"/>
                <w:sz w:val="18"/>
                <w:szCs w:val="18"/>
                <w:lang w:val="sq-AL"/>
              </w:rPr>
            </w:pPr>
            <w:r w:rsidRPr="001C61AE">
              <w:rPr>
                <w:rFonts w:ascii="Arial" w:hAnsi="Arial" w:cs="Arial"/>
                <w:color w:val="FF0000"/>
                <w:sz w:val="18"/>
                <w:szCs w:val="18"/>
                <w:lang w:val="sq-AL"/>
              </w:rPr>
              <w:t xml:space="preserve"> </w:t>
            </w:r>
            <w:r w:rsidR="00BF3D56" w:rsidRPr="001C61AE">
              <w:rPr>
                <w:rFonts w:ascii="Arial" w:hAnsi="Arial" w:cs="Arial"/>
                <w:sz w:val="18"/>
                <w:szCs w:val="18"/>
                <w:lang w:val="sq-AL"/>
              </w:rPr>
              <w:t>Përparësit</w:t>
            </w:r>
            <w:r w:rsidR="007F773D" w:rsidRPr="001C61AE">
              <w:rPr>
                <w:rFonts w:ascii="Arial" w:hAnsi="Arial" w:cs="Arial"/>
                <w:sz w:val="18"/>
                <w:szCs w:val="18"/>
                <w:lang w:val="sq-AL"/>
              </w:rPr>
              <w:t xml:space="preserve">ë </w:t>
            </w:r>
            <w:r w:rsidR="00151527" w:rsidRPr="001C61AE">
              <w:rPr>
                <w:rFonts w:ascii="Arial" w:hAnsi="Arial" w:cs="Arial"/>
                <w:sz w:val="18"/>
                <w:szCs w:val="18"/>
                <w:lang w:val="sq-AL"/>
              </w:rPr>
              <w:t xml:space="preserve"> (</w:t>
            </w:r>
            <w:r w:rsidR="00BF3D56" w:rsidRPr="001C61AE">
              <w:rPr>
                <w:rFonts w:ascii="Arial" w:hAnsi="Arial" w:cs="Arial"/>
                <w:sz w:val="18"/>
                <w:szCs w:val="18"/>
                <w:lang w:val="sq-AL"/>
              </w:rPr>
              <w:t xml:space="preserve">e </w:t>
            </w:r>
            <w:r w:rsidR="00151527" w:rsidRPr="001C61AE">
              <w:rPr>
                <w:rFonts w:ascii="Arial" w:hAnsi="Arial" w:cs="Arial"/>
                <w:sz w:val="18"/>
                <w:szCs w:val="18"/>
                <w:lang w:val="sq-AL"/>
              </w:rPr>
              <w:t>brendshme)</w:t>
            </w:r>
          </w:p>
        </w:tc>
        <w:tc>
          <w:tcPr>
            <w:tcW w:w="1216" w:type="pct"/>
            <w:shd w:val="clear" w:color="auto" w:fill="F2F2F2" w:themeFill="background1" w:themeFillShade="F2"/>
            <w:vAlign w:val="center"/>
            <w:hideMark/>
          </w:tcPr>
          <w:p w14:paraId="1AC50ED5" w14:textId="4F4F3874" w:rsidR="00151527" w:rsidRPr="001C61AE" w:rsidRDefault="00BF3D56" w:rsidP="00A7068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Mangësitë</w:t>
            </w:r>
            <w:r w:rsidR="00151527" w:rsidRPr="001C61AE">
              <w:rPr>
                <w:rFonts w:ascii="Arial" w:hAnsi="Arial" w:cs="Arial"/>
                <w:sz w:val="18"/>
                <w:szCs w:val="18"/>
                <w:lang w:val="sq-AL"/>
              </w:rPr>
              <w:t xml:space="preserve"> (</w:t>
            </w:r>
            <w:r w:rsidRPr="001C61AE">
              <w:rPr>
                <w:rFonts w:ascii="Arial" w:hAnsi="Arial" w:cs="Arial"/>
                <w:sz w:val="18"/>
                <w:szCs w:val="18"/>
                <w:lang w:val="sq-AL"/>
              </w:rPr>
              <w:t xml:space="preserve">e </w:t>
            </w:r>
            <w:r w:rsidR="00151527" w:rsidRPr="001C61AE">
              <w:rPr>
                <w:rFonts w:ascii="Arial" w:hAnsi="Arial" w:cs="Arial"/>
                <w:sz w:val="18"/>
                <w:szCs w:val="18"/>
                <w:lang w:val="sq-AL"/>
              </w:rPr>
              <w:t>brendshme)</w:t>
            </w:r>
          </w:p>
        </w:tc>
        <w:tc>
          <w:tcPr>
            <w:tcW w:w="1285" w:type="pct"/>
            <w:shd w:val="clear" w:color="auto" w:fill="F2F2F2" w:themeFill="background1" w:themeFillShade="F2"/>
            <w:vAlign w:val="center"/>
            <w:hideMark/>
          </w:tcPr>
          <w:p w14:paraId="14D6D30E" w14:textId="77777777" w:rsidR="00151527" w:rsidRPr="001C61AE" w:rsidRDefault="00151527" w:rsidP="00A7068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Mundësitë (të jashtme)</w:t>
            </w:r>
          </w:p>
        </w:tc>
        <w:tc>
          <w:tcPr>
            <w:tcW w:w="1362" w:type="pct"/>
            <w:shd w:val="clear" w:color="auto" w:fill="F2F2F2" w:themeFill="background1" w:themeFillShade="F2"/>
            <w:vAlign w:val="center"/>
            <w:hideMark/>
          </w:tcPr>
          <w:p w14:paraId="106B731E" w14:textId="77777777" w:rsidR="00151527" w:rsidRPr="001C61AE" w:rsidRDefault="00151527" w:rsidP="00A7068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Kërcënimet (të jashtme)</w:t>
            </w:r>
          </w:p>
        </w:tc>
      </w:tr>
      <w:tr w:rsidR="00151527" w:rsidRPr="001C61AE" w14:paraId="64C6736D" w14:textId="77777777" w:rsidTr="00151527">
        <w:tc>
          <w:tcPr>
            <w:cnfStyle w:val="001000000000" w:firstRow="0" w:lastRow="0" w:firstColumn="1" w:lastColumn="0" w:oddVBand="0" w:evenVBand="0" w:oddHBand="0" w:evenHBand="0" w:firstRowFirstColumn="0" w:firstRowLastColumn="0" w:lastRowFirstColumn="0" w:lastRowLastColumn="0"/>
            <w:tcW w:w="1138" w:type="pct"/>
          </w:tcPr>
          <w:p w14:paraId="014D1D99" w14:textId="77777777" w:rsidR="00151527" w:rsidRPr="001C61AE" w:rsidRDefault="00151527" w:rsidP="00F36447">
            <w:pPr>
              <w:pStyle w:val="ListParagraph"/>
              <w:numPr>
                <w:ilvl w:val="1"/>
                <w:numId w:val="8"/>
              </w:numPr>
              <w:spacing w:before="100" w:beforeAutospacing="1" w:after="100" w:afterAutospacing="1"/>
              <w:ind w:left="150" w:hanging="150"/>
              <w:jc w:val="both"/>
              <w:rPr>
                <w:rFonts w:ascii="Arial" w:hAnsi="Arial" w:cs="Arial"/>
                <w:b w:val="0"/>
                <w:bCs w:val="0"/>
                <w:sz w:val="18"/>
                <w:szCs w:val="18"/>
                <w:lang w:val="sq-AL"/>
              </w:rPr>
            </w:pPr>
            <w:r w:rsidRPr="001C61AE">
              <w:rPr>
                <w:rFonts w:ascii="Arial" w:hAnsi="Arial" w:cs="Arial"/>
                <w:sz w:val="18"/>
                <w:szCs w:val="18"/>
                <w:lang w:val="sq-AL"/>
              </w:rPr>
              <w:t xml:space="preserve">Burime të bollshme natyrore: </w:t>
            </w:r>
            <w:r w:rsidRPr="001C61AE">
              <w:rPr>
                <w:rFonts w:ascii="Arial" w:hAnsi="Arial" w:cs="Arial"/>
                <w:b w:val="0"/>
                <w:bCs w:val="0"/>
                <w:sz w:val="18"/>
                <w:szCs w:val="18"/>
                <w:lang w:val="sq-AL"/>
              </w:rPr>
              <w:t xml:space="preserve">tokat pjellore </w:t>
            </w:r>
            <w:r w:rsidRPr="001C61AE">
              <w:rPr>
                <w:rFonts w:ascii="Arial" w:hAnsi="Arial" w:cs="Arial"/>
                <w:b w:val="0"/>
                <w:bCs w:val="0"/>
                <w:sz w:val="18"/>
                <w:szCs w:val="18"/>
                <w:lang w:val="sq-AL"/>
              </w:rPr>
              <w:lastRenderedPageBreak/>
              <w:t>dhe mikroklimat e larmishme mbështesin një gamë të gjerë të kulturave; pyjet mbulojnë 44% të tokës, duke ofruar shërbime druri dhe ekosistemi. - Korniza e politikave në zhvillim: Strategjitë kombëtare (Bujqësia 2022–28, Pylltaria 2022–30) dhe ligjet janë në fuqi, duke njohur menaxhimin e qëndrueshëm të burimeve dhe përshtatjen ndaj klimës.</w:t>
            </w:r>
          </w:p>
          <w:p w14:paraId="06751C33" w14:textId="77777777" w:rsidR="00151527" w:rsidRPr="001C61AE" w:rsidRDefault="00151527" w:rsidP="00F36447">
            <w:pPr>
              <w:pStyle w:val="ListParagraph"/>
              <w:numPr>
                <w:ilvl w:val="1"/>
                <w:numId w:val="8"/>
              </w:numPr>
              <w:spacing w:before="100" w:beforeAutospacing="1" w:after="100" w:afterAutospacing="1"/>
              <w:ind w:left="150" w:hanging="150"/>
              <w:jc w:val="both"/>
              <w:rPr>
                <w:rFonts w:ascii="Arial" w:hAnsi="Arial" w:cs="Arial"/>
                <w:b w:val="0"/>
                <w:bCs w:val="0"/>
                <w:sz w:val="18"/>
                <w:szCs w:val="18"/>
                <w:lang w:val="sq-AL"/>
              </w:rPr>
            </w:pPr>
            <w:r w:rsidRPr="001C61AE">
              <w:rPr>
                <w:rFonts w:ascii="Arial" w:hAnsi="Arial" w:cs="Arial"/>
                <w:sz w:val="18"/>
                <w:szCs w:val="18"/>
                <w:lang w:val="sq-AL"/>
              </w:rPr>
              <w:t xml:space="preserve">Infrastruktura dhe institucionet ekzistuese: </w:t>
            </w:r>
            <w:r w:rsidRPr="001C61AE">
              <w:rPr>
                <w:rFonts w:ascii="Arial" w:hAnsi="Arial" w:cs="Arial"/>
                <w:b w:val="0"/>
                <w:bCs w:val="0"/>
                <w:sz w:val="18"/>
                <w:szCs w:val="18"/>
                <w:lang w:val="sq-AL"/>
              </w:rPr>
              <w:t>rrjetet dhe ndërmarrjet e trashëguara të ujitjes ekzistojnë në luginat kryesore; MBPZHR-ja dhe Agjencia Pyjore e Kosovës ofrojnë një themel mbi të cilin mund të ndërtohet.</w:t>
            </w:r>
          </w:p>
          <w:p w14:paraId="55C78B0C" w14:textId="77777777" w:rsidR="00151527" w:rsidRPr="001C61AE" w:rsidRDefault="00151527" w:rsidP="00F36447">
            <w:pPr>
              <w:pStyle w:val="ListParagraph"/>
              <w:numPr>
                <w:ilvl w:val="1"/>
                <w:numId w:val="8"/>
              </w:numPr>
              <w:spacing w:before="100" w:beforeAutospacing="1" w:after="100" w:afterAutospacing="1"/>
              <w:ind w:left="150" w:hanging="150"/>
              <w:jc w:val="both"/>
              <w:rPr>
                <w:rFonts w:ascii="Arial" w:hAnsi="Arial" w:cs="Arial"/>
                <w:b w:val="0"/>
                <w:bCs w:val="0"/>
                <w:sz w:val="18"/>
                <w:szCs w:val="18"/>
                <w:lang w:val="sq-AL"/>
              </w:rPr>
            </w:pPr>
            <w:r w:rsidRPr="001C61AE">
              <w:rPr>
                <w:rFonts w:ascii="Arial" w:hAnsi="Arial" w:cs="Arial"/>
                <w:sz w:val="18"/>
                <w:szCs w:val="18"/>
                <w:lang w:val="sq-AL"/>
              </w:rPr>
              <w:t xml:space="preserve">Njohuritë tradicionale dhe biodiversiteti: </w:t>
            </w:r>
            <w:r w:rsidRPr="001C61AE">
              <w:rPr>
                <w:rFonts w:ascii="Arial" w:hAnsi="Arial" w:cs="Arial"/>
                <w:b w:val="0"/>
                <w:bCs w:val="0"/>
                <w:sz w:val="18"/>
                <w:szCs w:val="18"/>
                <w:lang w:val="sq-AL"/>
              </w:rPr>
              <w:t>fermerët mirëmbajnë varietetet dhe racat lokale të kulturave të përshtatura me kushtet lokale; pyjet strehojnë mbi 80 specie të vlefshme (kërpudha, bimë medicinale) që ofrojnë potencial diversifikimi.</w:t>
            </w:r>
          </w:p>
        </w:tc>
        <w:tc>
          <w:tcPr>
            <w:tcW w:w="1216" w:type="pct"/>
          </w:tcPr>
          <w:p w14:paraId="632E2B60" w14:textId="77777777" w:rsidR="00151527" w:rsidRPr="001C61AE" w:rsidRDefault="00151527" w:rsidP="00F36447">
            <w:pPr>
              <w:pStyle w:val="ListParagraph"/>
              <w:numPr>
                <w:ilvl w:val="0"/>
                <w:numId w:val="9"/>
              </w:numPr>
              <w:spacing w:before="100" w:beforeAutospacing="1" w:after="100" w:afterAutospacing="1"/>
              <w:ind w:left="166" w:hanging="18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lastRenderedPageBreak/>
              <w:t>Fragmentimi i tokës</w:t>
            </w:r>
            <w:r w:rsidRPr="001C61AE">
              <w:rPr>
                <w:rFonts w:ascii="Arial" w:hAnsi="Arial" w:cs="Arial"/>
                <w:sz w:val="18"/>
                <w:szCs w:val="18"/>
                <w:lang w:val="sq-AL"/>
              </w:rPr>
              <w:t xml:space="preserve"> si në ferma ashtu edhe në pyje, </w:t>
            </w:r>
            <w:r w:rsidRPr="001C61AE">
              <w:rPr>
                <w:rFonts w:ascii="Arial" w:hAnsi="Arial" w:cs="Arial"/>
                <w:sz w:val="18"/>
                <w:szCs w:val="18"/>
                <w:lang w:val="sq-AL"/>
              </w:rPr>
              <w:lastRenderedPageBreak/>
              <w:t xml:space="preserve">shumica e fermave &lt;2ha, 132k parcela pyjore private me mesatare 1.4ha, pengon menaxhimin efikas dhe përvetësimin e praktikave të reja. </w:t>
            </w:r>
          </w:p>
          <w:p w14:paraId="7D42DE8F" w14:textId="77777777" w:rsidR="00151527" w:rsidRPr="001C61AE" w:rsidRDefault="00151527" w:rsidP="00F36447">
            <w:pPr>
              <w:pStyle w:val="ListParagraph"/>
              <w:numPr>
                <w:ilvl w:val="0"/>
                <w:numId w:val="9"/>
              </w:numPr>
              <w:spacing w:before="100" w:beforeAutospacing="1" w:after="100" w:afterAutospacing="1"/>
              <w:ind w:left="166" w:hanging="18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Infrastrukturë dhe praktika të vjetruara: </w:t>
            </w:r>
            <w:r w:rsidRPr="001C61AE">
              <w:rPr>
                <w:rFonts w:ascii="Arial" w:hAnsi="Arial" w:cs="Arial"/>
                <w:sz w:val="18"/>
                <w:szCs w:val="18"/>
                <w:lang w:val="sq-AL"/>
              </w:rPr>
              <w:t xml:space="preserve">Sistemet e ujitjes mbulojnë &lt;10% të tokës bujqësore dhe mirëmbahen dobët; fermerët mbështeten në teknika të ujitjes me reshje shiu, me produktivitet të ulët dhe me mekanizim të kufizuar. </w:t>
            </w:r>
          </w:p>
          <w:p w14:paraId="0961083E" w14:textId="77777777" w:rsidR="00151527" w:rsidRPr="001C61AE" w:rsidRDefault="00151527" w:rsidP="00F36447">
            <w:pPr>
              <w:pStyle w:val="ListParagraph"/>
              <w:numPr>
                <w:ilvl w:val="0"/>
                <w:numId w:val="9"/>
              </w:numPr>
              <w:spacing w:before="100" w:beforeAutospacing="1" w:after="100" w:afterAutospacing="1"/>
              <w:ind w:left="166" w:hanging="18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Kapacitet i kufizuar financiar dhe njerëzor: </w:t>
            </w:r>
            <w:r w:rsidRPr="001C61AE">
              <w:rPr>
                <w:rFonts w:ascii="Arial" w:hAnsi="Arial" w:cs="Arial"/>
                <w:sz w:val="18"/>
                <w:szCs w:val="18"/>
                <w:lang w:val="sq-AL"/>
              </w:rPr>
              <w:t xml:space="preserve">të ardhurat e ulëta nga fermat dhe qasja e pakët në kredi kufizojnë investimet në përshtatje; shërbimet e zgjerimit dhe arritja e informacionit mbi klimën janë të pamjaftueshme. Migrimi i të rinjve jashtë vendit lë një popullsi bujqësore në plakje me më pak kapacitet për të inovuar. </w:t>
            </w:r>
          </w:p>
          <w:p w14:paraId="6A85E266" w14:textId="77777777" w:rsidR="00151527" w:rsidRPr="001C61AE" w:rsidRDefault="00151527" w:rsidP="00F36447">
            <w:pPr>
              <w:pStyle w:val="ListParagraph"/>
              <w:numPr>
                <w:ilvl w:val="0"/>
                <w:numId w:val="9"/>
              </w:numPr>
              <w:spacing w:before="100" w:beforeAutospacing="1" w:after="100" w:afterAutospacing="1"/>
              <w:ind w:left="166" w:hanging="18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Boshllëqe institucionale: </w:t>
            </w:r>
            <w:r w:rsidRPr="001C61AE">
              <w:rPr>
                <w:rFonts w:ascii="Arial" w:hAnsi="Arial" w:cs="Arial"/>
                <w:sz w:val="18"/>
                <w:szCs w:val="18"/>
                <w:lang w:val="sq-AL"/>
              </w:rPr>
              <w:t>Zbatim i dobët i ligjeve të pyjeve dhe përdorimit të tokës (p.sh., prerjet e paligjshme të pyjeve në të kaluarën); të dhëna kadastrale të paplota; grupet e përdoruesve të ujit dhe planet e menaxhimit të pyjeve nuk janë zbatuar plotësisht (vetëm 82% e pyjeve publike janë nën plane).</w:t>
            </w:r>
          </w:p>
        </w:tc>
        <w:tc>
          <w:tcPr>
            <w:tcW w:w="1285" w:type="pct"/>
          </w:tcPr>
          <w:p w14:paraId="2D4B65E2" w14:textId="77777777" w:rsidR="00151527" w:rsidRPr="001C61AE" w:rsidRDefault="00151527" w:rsidP="00F36447">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lastRenderedPageBreak/>
              <w:t>Reforma e politikave dhe financimi:</w:t>
            </w:r>
            <w:r w:rsidRPr="001C61AE">
              <w:rPr>
                <w:rFonts w:ascii="Arial" w:hAnsi="Arial" w:cs="Arial"/>
                <w:sz w:val="18"/>
                <w:szCs w:val="18"/>
                <w:lang w:val="sq-AL"/>
              </w:rPr>
              <w:t xml:space="preserve"> Ligji i ri për pyjet </w:t>
            </w:r>
            <w:r w:rsidRPr="001C61AE">
              <w:rPr>
                <w:rFonts w:ascii="Arial" w:hAnsi="Arial" w:cs="Arial"/>
                <w:sz w:val="18"/>
                <w:szCs w:val="18"/>
                <w:lang w:val="sq-AL"/>
              </w:rPr>
              <w:lastRenderedPageBreak/>
              <w:t xml:space="preserve">(2023) përputhet me standardet e BE-së dhe mandaton qëndrueshmërinë; financimi për klimën (Fondi i Klimës së Gjelbër, IPARD, etj.) mund të mbështesë projektet e ujitjes dhe ripyllëzimit. </w:t>
            </w:r>
          </w:p>
          <w:p w14:paraId="4090481F" w14:textId="2D358EBC" w:rsidR="00151527" w:rsidRPr="001C61AE" w:rsidRDefault="00151527" w:rsidP="00F36447">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Inovacione të zgjuara për klimën: </w:t>
            </w:r>
            <w:r w:rsidRPr="001C61AE">
              <w:rPr>
                <w:rFonts w:ascii="Arial" w:hAnsi="Arial" w:cs="Arial"/>
                <w:sz w:val="18"/>
                <w:szCs w:val="18"/>
                <w:lang w:val="sq-AL"/>
              </w:rPr>
              <w:t xml:space="preserve">Përshtatja e varieteteve të kulturave rezistente ndaj thatësirës, ​​shërbimet këshilluese dixhitale për motin dhe ujitja </w:t>
            </w:r>
            <w:r w:rsidR="00AF6C69" w:rsidRPr="001C61AE">
              <w:rPr>
                <w:rFonts w:ascii="Arial" w:hAnsi="Arial" w:cs="Arial"/>
                <w:sz w:val="18"/>
                <w:szCs w:val="18"/>
                <w:lang w:val="sq-AL"/>
              </w:rPr>
              <w:t>efiçiente</w:t>
            </w:r>
            <w:r w:rsidRPr="001C61AE">
              <w:rPr>
                <w:rFonts w:ascii="Arial" w:hAnsi="Arial" w:cs="Arial"/>
                <w:sz w:val="18"/>
                <w:szCs w:val="18"/>
                <w:lang w:val="sq-AL"/>
              </w:rPr>
              <w:t xml:space="preserve">(pika, mbledhja e ujit të shiut) mund të rrisin ndjeshëm qëndrueshmërinë dhe po bëhen më të arritshme. </w:t>
            </w:r>
          </w:p>
          <w:p w14:paraId="7A2BAFDD" w14:textId="77777777" w:rsidR="00151527" w:rsidRPr="001C61AE" w:rsidRDefault="00151527" w:rsidP="00F36447">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Shërbimet e ekosistemit dhe vendet e punës të gjelbra: </w:t>
            </w:r>
            <w:r w:rsidRPr="001C61AE">
              <w:rPr>
                <w:rFonts w:ascii="Arial" w:hAnsi="Arial" w:cs="Arial"/>
                <w:sz w:val="18"/>
                <w:szCs w:val="18"/>
                <w:lang w:val="sq-AL"/>
              </w:rPr>
              <w:t>Mbrojtja e pyjeve dhe tokave mund të zvogëlojë rreziqet e fatkeqësive (përmbytjet, rrëshqitjet e dheut) duke krijuar vende pune në pyllëzim, agro-pylltari dhe turizëm të qëndrueshëm. Pagesa për shërbimet e ekosistemit ose sekuestrimi i karbonit (projekte të karbonit pyjor) mund të ofrojë burime të reja të ardhurash.</w:t>
            </w:r>
          </w:p>
          <w:p w14:paraId="7906B2FC" w14:textId="77777777" w:rsidR="00151527" w:rsidRPr="001C61AE" w:rsidRDefault="00151527" w:rsidP="00F36447">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Bashkëpunimi rajonal: </w:t>
            </w:r>
            <w:r w:rsidRPr="001C61AE">
              <w:rPr>
                <w:rFonts w:ascii="Arial" w:hAnsi="Arial" w:cs="Arial"/>
                <w:sz w:val="18"/>
                <w:szCs w:val="18"/>
                <w:lang w:val="sq-AL"/>
              </w:rPr>
              <w:t>Angazhimi i Kosovës në Axhendën e Gjelbër për Ballkanin Perëndimor dhe iniciativa të tjera rajonale lejon shkëmbimin e njohurive mbi përshtatjen ndaj klimës dhe projektet e mundshme ndërkufitare (p.sh. menaxhimi i pellgut ujëmbledhës).</w:t>
            </w:r>
          </w:p>
        </w:tc>
        <w:tc>
          <w:tcPr>
            <w:tcW w:w="1362" w:type="pct"/>
          </w:tcPr>
          <w:p w14:paraId="110D5793" w14:textId="77777777" w:rsidR="00151527" w:rsidRPr="001C61AE" w:rsidRDefault="00151527" w:rsidP="00F36447">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lastRenderedPageBreak/>
              <w:t xml:space="preserve">Intensifikimi i ndryshimeve klimatike: </w:t>
            </w:r>
            <w:r w:rsidRPr="001C61AE">
              <w:rPr>
                <w:rFonts w:ascii="Arial" w:hAnsi="Arial" w:cs="Arial"/>
                <w:sz w:val="18"/>
                <w:szCs w:val="18"/>
                <w:lang w:val="sq-AL"/>
              </w:rPr>
              <w:t xml:space="preserve">Thatësirat më të </w:t>
            </w:r>
            <w:r w:rsidRPr="001C61AE">
              <w:rPr>
                <w:rFonts w:ascii="Arial" w:hAnsi="Arial" w:cs="Arial"/>
                <w:sz w:val="18"/>
                <w:szCs w:val="18"/>
                <w:lang w:val="sq-AL"/>
              </w:rPr>
              <w:lastRenderedPageBreak/>
              <w:t xml:space="preserve">shpeshta, valët e të nxehtit, përmbytjet dhe zjarret në pyje mund të mbingarkojnë përpjekjet e përshtatjes. Rendimentet e të korrave mund të ulen dhe vdekshmëria e pemëve mund të rritet nëse ngjarjet ekstreme tejkalojnë përgatitjet. </w:t>
            </w:r>
          </w:p>
          <w:p w14:paraId="47E556C7" w14:textId="77777777" w:rsidR="00151527" w:rsidRPr="001C61AE" w:rsidRDefault="00151527" w:rsidP="00F36447">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Degradimi i burimeve natyrore: </w:t>
            </w:r>
            <w:r w:rsidRPr="001C61AE">
              <w:rPr>
                <w:rFonts w:ascii="Arial" w:hAnsi="Arial" w:cs="Arial"/>
                <w:sz w:val="18"/>
                <w:szCs w:val="18"/>
                <w:lang w:val="sq-AL"/>
              </w:rPr>
              <w:t xml:space="preserve">Çështjet e vazhdueshme si erozioni i tokës, ndotja e lumenjve dhe humbja e biodiversitetit mund të përkeqësohen nga stresi klimatik, duke kaluar pikat kthese ekologjike (p.sh. humbja e shtresës së sipërme pjellore të tokës ose specieve vendase). </w:t>
            </w:r>
          </w:p>
          <w:p w14:paraId="443EE8DC" w14:textId="77777777" w:rsidR="00151527" w:rsidRPr="001C61AE" w:rsidRDefault="00151527" w:rsidP="00F36447">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Stresi socioekonomik rural: </w:t>
            </w:r>
            <w:r w:rsidRPr="001C61AE">
              <w:rPr>
                <w:rFonts w:ascii="Arial" w:hAnsi="Arial" w:cs="Arial"/>
                <w:sz w:val="18"/>
                <w:szCs w:val="18"/>
                <w:lang w:val="sq-AL"/>
              </w:rPr>
              <w:t>Shpopullimi i vazhdueshëm rural dhe papunësia zvogëlojnë burimet njerëzore të disponueshme për bujqësinë/pylltarinë, ndërsa fermerët në plakje kanë më pak gjasa të përvetësojnë praktika të reja. Kjo mund të krijojë një rreth vicioz të produktivitetit të ulët dhe cenueshmërisë.</w:t>
            </w:r>
          </w:p>
          <w:p w14:paraId="3C780E39" w14:textId="77777777" w:rsidR="00151527" w:rsidRPr="001C61AE" w:rsidRDefault="00151527" w:rsidP="00F36447">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b/>
                <w:bCs/>
                <w:sz w:val="18"/>
                <w:szCs w:val="18"/>
                <w:lang w:val="sq-AL"/>
              </w:rPr>
              <w:t xml:space="preserve">Kërkesat dhe krizat konkurruese: </w:t>
            </w:r>
            <w:r w:rsidRPr="001C61AE">
              <w:rPr>
                <w:rFonts w:ascii="Arial" w:hAnsi="Arial" w:cs="Arial"/>
                <w:sz w:val="18"/>
                <w:szCs w:val="18"/>
                <w:lang w:val="sq-AL"/>
              </w:rPr>
              <w:t>Rritja e mungesës së ujit mund të shkaktojë konflikte midis bujqësisë, energjisë dhe furnizimit urban. Goditjet ekonomike ose paqëndrueshmëria e tregut (p.sh., rënia e çmimeve të të korrave) mund të largojnë vëmendjen dhe fondet nga investimet afatgjata të adaptimit, duke e lënë sektorin të ekspozuar.</w:t>
            </w:r>
          </w:p>
        </w:tc>
      </w:tr>
    </w:tbl>
    <w:p w14:paraId="303A5DF1" w14:textId="77777777" w:rsidR="00B15518" w:rsidRPr="001C61AE" w:rsidRDefault="00B15518" w:rsidP="003071CE">
      <w:pPr>
        <w:spacing w:line="240" w:lineRule="auto"/>
        <w:jc w:val="both"/>
        <w:rPr>
          <w:rFonts w:ascii="Arial" w:hAnsi="Arial" w:cs="Arial"/>
          <w:b/>
          <w:bCs/>
          <w:lang w:val="sq-AL"/>
        </w:rPr>
      </w:pPr>
    </w:p>
    <w:p w14:paraId="18AC86C3" w14:textId="77777777" w:rsidR="00B15518" w:rsidRPr="001C61AE" w:rsidRDefault="00B15518" w:rsidP="003071CE">
      <w:pPr>
        <w:spacing w:line="240" w:lineRule="auto"/>
        <w:jc w:val="both"/>
        <w:rPr>
          <w:rFonts w:ascii="Arial" w:hAnsi="Arial" w:cs="Arial"/>
          <w:b/>
          <w:bCs/>
          <w:lang w:val="sq-AL"/>
        </w:rPr>
      </w:pPr>
    </w:p>
    <w:p w14:paraId="6A96A8E8" w14:textId="77777777" w:rsidR="00B15518" w:rsidRPr="001C61AE" w:rsidRDefault="00B15518" w:rsidP="003071CE">
      <w:pPr>
        <w:spacing w:line="240" w:lineRule="auto"/>
        <w:jc w:val="both"/>
        <w:rPr>
          <w:rFonts w:ascii="Arial" w:hAnsi="Arial" w:cs="Arial"/>
          <w:b/>
          <w:bCs/>
          <w:lang w:val="sq-AL"/>
        </w:rPr>
      </w:pPr>
    </w:p>
    <w:p w14:paraId="51F82458" w14:textId="77777777" w:rsidR="00B15518" w:rsidRPr="001C61AE" w:rsidRDefault="00B15518" w:rsidP="003071CE">
      <w:pPr>
        <w:spacing w:line="240" w:lineRule="auto"/>
        <w:jc w:val="both"/>
        <w:rPr>
          <w:rFonts w:ascii="Arial" w:hAnsi="Arial" w:cs="Arial"/>
          <w:b/>
          <w:bCs/>
          <w:lang w:val="sq-AL"/>
        </w:rPr>
      </w:pPr>
    </w:p>
    <w:p w14:paraId="1AA1306D" w14:textId="77777777" w:rsidR="003D332A" w:rsidRDefault="003D332A" w:rsidP="003071CE">
      <w:pPr>
        <w:spacing w:line="240" w:lineRule="auto"/>
        <w:jc w:val="both"/>
        <w:rPr>
          <w:rFonts w:ascii="Arial" w:hAnsi="Arial" w:cs="Arial"/>
          <w:b/>
          <w:bCs/>
          <w:lang w:val="sq-AL"/>
        </w:rPr>
      </w:pPr>
    </w:p>
    <w:p w14:paraId="01B6489D" w14:textId="77777777" w:rsidR="003D332A" w:rsidRDefault="003D332A" w:rsidP="003071CE">
      <w:pPr>
        <w:spacing w:line="240" w:lineRule="auto"/>
        <w:jc w:val="both"/>
        <w:rPr>
          <w:rFonts w:ascii="Arial" w:hAnsi="Arial" w:cs="Arial"/>
          <w:b/>
          <w:bCs/>
          <w:lang w:val="sq-AL"/>
        </w:rPr>
      </w:pPr>
    </w:p>
    <w:p w14:paraId="7D179725" w14:textId="77777777" w:rsidR="003D332A" w:rsidRDefault="003D332A" w:rsidP="003071CE">
      <w:pPr>
        <w:spacing w:line="240" w:lineRule="auto"/>
        <w:jc w:val="both"/>
        <w:rPr>
          <w:rFonts w:ascii="Arial" w:hAnsi="Arial" w:cs="Arial"/>
          <w:b/>
          <w:bCs/>
          <w:lang w:val="sq-AL"/>
        </w:rPr>
      </w:pPr>
    </w:p>
    <w:p w14:paraId="547BFD0C" w14:textId="490C6F53" w:rsidR="00151527" w:rsidRPr="001C61AE" w:rsidRDefault="00151527" w:rsidP="003071CE">
      <w:pPr>
        <w:spacing w:line="240" w:lineRule="auto"/>
        <w:jc w:val="both"/>
        <w:rPr>
          <w:rFonts w:ascii="Arial" w:hAnsi="Arial" w:cs="Arial"/>
          <w:b/>
          <w:bCs/>
          <w:lang w:val="sq-AL"/>
        </w:rPr>
      </w:pPr>
      <w:r w:rsidRPr="001C61AE">
        <w:rPr>
          <w:rFonts w:ascii="Arial" w:hAnsi="Arial" w:cs="Arial"/>
          <w:b/>
          <w:bCs/>
          <w:lang w:val="sq-AL"/>
        </w:rPr>
        <w:lastRenderedPageBreak/>
        <w:t>Objektivi strategjik dhe masat kyçe të përshtatjes</w:t>
      </w:r>
    </w:p>
    <w:p w14:paraId="2D3AFE7C" w14:textId="37971AA9" w:rsidR="003071CE" w:rsidRPr="001C61AE" w:rsidRDefault="003071CE" w:rsidP="003071CE">
      <w:pPr>
        <w:spacing w:line="240" w:lineRule="auto"/>
        <w:jc w:val="both"/>
        <w:rPr>
          <w:rFonts w:ascii="Arial" w:hAnsi="Arial" w:cs="Arial"/>
          <w:lang w:val="sq-AL"/>
        </w:rPr>
      </w:pPr>
      <w:r w:rsidRPr="001C61AE">
        <w:rPr>
          <w:rFonts w:ascii="Arial" w:hAnsi="Arial" w:cs="Arial"/>
          <w:noProof/>
        </w:rPr>
        <mc:AlternateContent>
          <mc:Choice Requires="wps">
            <w:drawing>
              <wp:anchor distT="0" distB="0" distL="114300" distR="114300" simplePos="0" relativeHeight="251729920" behindDoc="0" locked="0" layoutInCell="1" allowOverlap="1" wp14:anchorId="7D859717" wp14:editId="44D08B3F">
                <wp:simplePos x="0" y="0"/>
                <wp:positionH relativeFrom="margin">
                  <wp:align>left</wp:align>
                </wp:positionH>
                <wp:positionV relativeFrom="paragraph">
                  <wp:posOffset>391160</wp:posOffset>
                </wp:positionV>
                <wp:extent cx="6496050" cy="1676400"/>
                <wp:effectExtent l="0" t="0" r="19050" b="19050"/>
                <wp:wrapTopAndBottom/>
                <wp:docPr id="738773386" name="Cuadro de texto 12"/>
                <wp:cNvGraphicFramePr/>
                <a:graphic xmlns:a="http://schemas.openxmlformats.org/drawingml/2006/main">
                  <a:graphicData uri="http://schemas.microsoft.com/office/word/2010/wordprocessingShape">
                    <wps:wsp>
                      <wps:cNvSpPr txBox="1"/>
                      <wps:spPr>
                        <a:xfrm>
                          <a:off x="0" y="0"/>
                          <a:ext cx="6496050" cy="1676400"/>
                        </a:xfrm>
                        <a:prstGeom prst="rect">
                          <a:avLst/>
                        </a:prstGeom>
                        <a:solidFill>
                          <a:srgbClr val="0F4761"/>
                        </a:solidFill>
                        <a:ln w="6350">
                          <a:solidFill>
                            <a:srgbClr val="156082"/>
                          </a:solidFill>
                        </a:ln>
                      </wps:spPr>
                      <wps:txbx>
                        <w:txbxContent>
                          <w:p w14:paraId="554C47A9" w14:textId="0ECDF0FA" w:rsidR="007065D4" w:rsidRDefault="007065D4" w:rsidP="003071CE">
                            <w:pPr>
                              <w:jc w:val="center"/>
                            </w:pPr>
                            <w:r>
                              <w:rPr>
                                <w:b/>
                                <w:bCs/>
                                <w:i/>
                                <w:iCs/>
                                <w:sz w:val="24"/>
                                <w:szCs w:val="24"/>
                              </w:rPr>
                              <w:t xml:space="preserve">III. </w:t>
                            </w:r>
                            <w:r w:rsidRPr="00151527">
                              <w:rPr>
                                <w:b/>
                                <w:bCs/>
                                <w:i/>
                                <w:iCs/>
                                <w:sz w:val="24"/>
                                <w:szCs w:val="24"/>
                              </w:rPr>
                              <w:t xml:space="preserve">Të forcohet </w:t>
                            </w:r>
                            <w:r w:rsidR="007F773D">
                              <w:rPr>
                                <w:b/>
                                <w:bCs/>
                                <w:i/>
                                <w:iCs/>
                                <w:sz w:val="24"/>
                                <w:szCs w:val="24"/>
                              </w:rPr>
                              <w:t xml:space="preserve">rezistenca </w:t>
                            </w:r>
                            <w:r w:rsidRPr="00151527">
                              <w:rPr>
                                <w:b/>
                                <w:bCs/>
                                <w:i/>
                                <w:iCs/>
                                <w:sz w:val="24"/>
                                <w:szCs w:val="24"/>
                              </w:rPr>
                              <w:t>ndaj ndryshimeve klimatike dhe menaxhimi i qëndrueshëm i sistemeve bujqësore dhe ekologjike të Kosovës, me qëllim të mbrojtjes së sigurisë ushqimore, mirëqenies rurale dhe integritetit të ekosistemeve, në kushte të ndryshueshme klimatike. Ky objektiv strategjik synon të zvogëlojë cenueshmërinë ndaj thatësirave, përmbytjeve, zjarreve në natyrë dhe ndikimeve të tjera klimatike përmes përmirësimit të infrastrukturës, përvetësimit të praktikave të përparuara dhe forcimit të kapaciteteve institucionale</w:t>
                            </w:r>
                            <w:r w:rsidRPr="003071CE">
                              <w:rPr>
                                <w:b/>
                                <w:bCs/>
                                <w:i/>
                                <w:i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859717" id="_x0000_s1062" type="#_x0000_t202" style="position:absolute;left:0;text-align:left;margin-left:0;margin-top:30.8pt;width:511.5pt;height:132pt;z-index:2517299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" fillcolor="#0f4761" strokecolor="#156082" strokeweight=".5pt">
                <v:textbox>
                  <w:txbxContent>
                    <w:p w14:paraId="554C47A9" w14:textId="0ECDF0FA" w:rsidR="007065D4" w:rsidRDefault="007065D4" w:rsidP="003071CE">
                      <w:pPr>
                        <w:jc w:val="center"/>
                      </w:pPr>
                      <w:r>
                        <w:rPr>
                          <w:b/>
                          <w:bCs/>
                          <w:i/>
                          <w:iCs/>
                          <w:sz w:val="24"/>
                          <w:szCs w:val="24"/>
                        </w:rPr>
                        <w:t xml:space="preserve">III. </w:t>
                      </w:r>
                      <w:r w:rsidRPr="00151527">
                        <w:rPr>
                          <w:b/>
                          <w:bCs/>
                          <w:i/>
                          <w:iCs/>
                          <w:sz w:val="24"/>
                          <w:szCs w:val="24"/>
                        </w:rPr>
                        <w:t xml:space="preserve">Të forcohet </w:t>
                      </w:r>
                      <w:r w:rsidR="007F773D">
                        <w:rPr>
                          <w:b/>
                          <w:bCs/>
                          <w:i/>
                          <w:iCs/>
                          <w:sz w:val="24"/>
                          <w:szCs w:val="24"/>
                        </w:rPr>
                        <w:t xml:space="preserve">rezistenca </w:t>
                      </w:r>
                      <w:r w:rsidRPr="00151527">
                        <w:rPr>
                          <w:b/>
                          <w:bCs/>
                          <w:i/>
                          <w:iCs/>
                          <w:sz w:val="24"/>
                          <w:szCs w:val="24"/>
                        </w:rPr>
                        <w:t>ndaj ndryshimeve klimatike dhe menaxhimi i qëndrueshëm i sistemeve bujqësore dhe ekologjike të Kosovës, me qëllim të mbrojtjes së sigurisë ushqimore, mirëqenies rurale dhe integritetit të ekosistemeve, në kushte të ndryshueshme klimatike. Ky objektiv strategjik synon të zvogëlojë cenueshmërinë ndaj thatësirave, përmbytjeve, zjarreve në natyrë dhe ndikimeve të tjera klimatike përmes përmirësimit të infrastrukturës, përvetësimit të praktikave të përparuara dhe forcimit të kapaciteteve institucionale</w:t>
                      </w:r>
                      <w:r w:rsidRPr="003071CE">
                        <w:rPr>
                          <w:b/>
                          <w:bCs/>
                          <w:i/>
                          <w:iCs/>
                          <w:sz w:val="24"/>
                          <w:szCs w:val="24"/>
                        </w:rPr>
                        <w:t>.</w:t>
                      </w:r>
                    </w:p>
                  </w:txbxContent>
                </v:textbox>
                <w10:wrap type="topAndBottom" anchorx="margin"/>
              </v:shape>
            </w:pict>
          </mc:Fallback>
        </mc:AlternateContent>
      </w:r>
      <w:r w:rsidR="00151527" w:rsidRPr="001C61AE">
        <w:rPr>
          <w:rFonts w:ascii="Arial" w:hAnsi="Arial" w:cs="Arial"/>
          <w:lang w:val="sq-AL"/>
        </w:rPr>
        <w:t>Objektivi strategjik që drejton përshtatjen ndaj klimës në sektorin e bujqësisë dhe pylltarisë së Kosovës përcaktohet si më poshtë</w:t>
      </w:r>
      <w:r w:rsidRPr="001C61AE">
        <w:rPr>
          <w:rFonts w:ascii="Arial" w:hAnsi="Arial" w:cs="Arial"/>
          <w:lang w:val="sq-AL"/>
        </w:rPr>
        <w:t>:</w:t>
      </w:r>
    </w:p>
    <w:p w14:paraId="4A103DF5" w14:textId="180201E0" w:rsidR="00EE51B0" w:rsidRPr="001C61AE" w:rsidRDefault="00EE51B0" w:rsidP="00EE51B0">
      <w:pPr>
        <w:spacing w:line="240" w:lineRule="auto"/>
        <w:jc w:val="both"/>
        <w:rPr>
          <w:rFonts w:ascii="Arial" w:hAnsi="Arial" w:cs="Arial"/>
          <w:lang w:val="sq-AL"/>
        </w:rPr>
      </w:pPr>
      <w:r w:rsidRPr="001C61AE">
        <w:rPr>
          <w:rFonts w:ascii="Arial" w:hAnsi="Arial" w:cs="Arial"/>
          <w:lang w:val="sq-AL"/>
        </w:rPr>
        <w:t>Ky objektiv synon të rrisë qëndrueshmërinë ndaj klimës dhe menaxhimin e qëndrueshëm të sistemeve bujqësore dhe ekologjike të Kosovës për të mbrojtur sigurinë ushqimore, jetesën rurale dhe integritetin e ekosistemit në kushtet klimatike në ndryshim. Përmes infrastrukturës së përmirësuar, praktikave të zgjuara ndaj klimës dhe mbështetjes së forcuar institucionale, ky objektiv thekson rolin kritik të sektorit të bujqësisë dhe pylltarisë në sigurimin e qëndrueshmërisë kombëtare, qëndrueshmërisë mjedisore dhe mirëqenies sociale përballë rreziqeve që lidhen me klimën, siç janë thatësirat, përmbytjet, zjarret në pyje dhe erozioni.</w:t>
      </w:r>
    </w:p>
    <w:p w14:paraId="5DCF8747" w14:textId="6CA83A6F" w:rsidR="003071CE" w:rsidRPr="001C61AE" w:rsidRDefault="00B15518" w:rsidP="00EE51B0">
      <w:pPr>
        <w:spacing w:line="240" w:lineRule="auto"/>
        <w:jc w:val="both"/>
        <w:rPr>
          <w:rFonts w:ascii="Arial" w:hAnsi="Arial" w:cs="Arial"/>
          <w:lang w:val="sq-AL"/>
        </w:rPr>
      </w:pPr>
      <w:r w:rsidRPr="001C61AE">
        <w:rPr>
          <w:rFonts w:ascii="Arial" w:hAnsi="Arial" w:cs="Arial"/>
          <w:noProof/>
        </w:rPr>
        <mc:AlternateContent>
          <mc:Choice Requires="wpg">
            <w:drawing>
              <wp:anchor distT="0" distB="0" distL="114300" distR="114300" simplePos="0" relativeHeight="251737088" behindDoc="0" locked="0" layoutInCell="1" allowOverlap="1" wp14:anchorId="2FF84C0E" wp14:editId="56ABE65D">
                <wp:simplePos x="0" y="0"/>
                <wp:positionH relativeFrom="margin">
                  <wp:align>center</wp:align>
                </wp:positionH>
                <wp:positionV relativeFrom="paragraph">
                  <wp:posOffset>1109980</wp:posOffset>
                </wp:positionV>
                <wp:extent cx="3573780" cy="1647825"/>
                <wp:effectExtent l="0" t="0" r="7620" b="28575"/>
                <wp:wrapTopAndBottom/>
                <wp:docPr id="1017942874" name="Grupo 23"/>
                <wp:cNvGraphicFramePr/>
                <a:graphic xmlns:a="http://schemas.openxmlformats.org/drawingml/2006/main">
                  <a:graphicData uri="http://schemas.microsoft.com/office/word/2010/wordprocessingGroup">
                    <wpg:wgp>
                      <wpg:cNvGrpSpPr/>
                      <wpg:grpSpPr>
                        <a:xfrm>
                          <a:off x="0" y="0"/>
                          <a:ext cx="3573780" cy="1647825"/>
                          <a:chOff x="-45720" y="-91440"/>
                          <a:chExt cx="3573780" cy="1647825"/>
                        </a:xfrm>
                      </wpg:grpSpPr>
                      <wps:wsp>
                        <wps:cNvPr id="1473000380" name="Cuadro de texto 13"/>
                        <wps:cNvSpPr txBox="1"/>
                        <wps:spPr>
                          <a:xfrm>
                            <a:off x="-45720" y="222885"/>
                            <a:ext cx="3248025" cy="1333500"/>
                          </a:xfrm>
                          <a:prstGeom prst="rect">
                            <a:avLst/>
                          </a:prstGeom>
                          <a:solidFill>
                            <a:sysClr val="window" lastClr="FFFFFF"/>
                          </a:solidFill>
                          <a:ln w="6350">
                            <a:solidFill>
                              <a:srgbClr val="0F4761"/>
                            </a:solidFill>
                            <a:prstDash val="dash"/>
                          </a:ln>
                        </wps:spPr>
                        <wps:txbx>
                          <w:txbxContent>
                            <w:p w14:paraId="725BD3B2" w14:textId="77777777" w:rsidR="00B15518" w:rsidRPr="00B15518" w:rsidRDefault="00B15518" w:rsidP="00F36447">
                              <w:pPr>
                                <w:pStyle w:val="ListParagraph"/>
                                <w:numPr>
                                  <w:ilvl w:val="0"/>
                                  <w:numId w:val="15"/>
                                </w:numPr>
                              </w:pPr>
                              <w:r w:rsidRPr="00B15518">
                                <w:rPr>
                                  <w:b/>
                                  <w:bCs/>
                                  <w:color w:val="0F4761"/>
                                </w:rPr>
                                <w:t xml:space="preserve">Praktika bujqësore që lejojnë përshtatje ndaj ndryshimi të klimës </w:t>
                              </w:r>
                            </w:p>
                            <w:p w14:paraId="537603C4" w14:textId="50CA0CD9" w:rsidR="007065D4" w:rsidRPr="00EE51B0" w:rsidRDefault="007065D4" w:rsidP="00F36447">
                              <w:pPr>
                                <w:pStyle w:val="ListParagraph"/>
                                <w:numPr>
                                  <w:ilvl w:val="0"/>
                                  <w:numId w:val="15"/>
                                </w:numPr>
                              </w:pPr>
                              <w:r w:rsidRPr="00EE51B0">
                                <w:rPr>
                                  <w:b/>
                                  <w:bCs/>
                                  <w:color w:val="0F4761"/>
                                </w:rPr>
                                <w:t>Shfrytëzimi i qëndrueshëm i tokës dhe ruajtja e tokës bujqësore</w:t>
                              </w:r>
                            </w:p>
                            <w:p w14:paraId="3D472D5E" w14:textId="0226C291" w:rsidR="007065D4" w:rsidRPr="00EF75BB" w:rsidRDefault="007065D4" w:rsidP="00F36447">
                              <w:pPr>
                                <w:pStyle w:val="ListParagraph"/>
                                <w:numPr>
                                  <w:ilvl w:val="0"/>
                                  <w:numId w:val="15"/>
                                </w:numPr>
                              </w:pPr>
                              <w:r w:rsidRPr="00EE51B0">
                                <w:rPr>
                                  <w:b/>
                                  <w:bCs/>
                                  <w:color w:val="0F4761"/>
                                </w:rPr>
                                <w:t>Fuqizimi i sistemeve të paralajmërimit të hershëm për fermerët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4572011" name="Grupo 21"/>
                        <wpg:cNvGrpSpPr/>
                        <wpg:grpSpPr>
                          <a:xfrm>
                            <a:off x="3004185" y="-91440"/>
                            <a:ext cx="523875" cy="523875"/>
                            <a:chOff x="60960" y="-91440"/>
                            <a:chExt cx="523875" cy="523875"/>
                          </a:xfrm>
                        </wpg:grpSpPr>
                        <pic:pic xmlns:pic="http://schemas.openxmlformats.org/drawingml/2006/picture">
                          <pic:nvPicPr>
                            <pic:cNvPr id="1573686456" name="Imagen 14"/>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0960" y="-91440"/>
                              <a:ext cx="523875" cy="523875"/>
                            </a:xfrm>
                            <a:prstGeom prst="rect">
                              <a:avLst/>
                            </a:prstGeom>
                            <a:noFill/>
                          </pic:spPr>
                        </pic:pic>
                        <pic:pic xmlns:pic="http://schemas.openxmlformats.org/drawingml/2006/picture">
                          <pic:nvPicPr>
                            <pic:cNvPr id="1169668754" name="Graphic 8" descr="Open hand with plant outline"/>
                            <pic:cNvPicPr>
                              <a:picLocks noChangeAspect="1"/>
                            </pic:cNvPicPr>
                          </pic:nvPicPr>
                          <pic:blipFill>
                            <a:blip r:embed="rId12">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3"/>
                                </a:ext>
                              </a:extLst>
                            </a:blip>
                            <a:stretch>
                              <a:fillRect/>
                            </a:stretch>
                          </pic:blipFill>
                          <pic:spPr>
                            <a:xfrm>
                              <a:off x="95459" y="80386"/>
                              <a:ext cx="331470" cy="3314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FF84C0E" id="Grupo 23" o:spid="_x0000_s1063" style="position:absolute;left:0;text-align:left;margin-left:0;margin-top:87.4pt;width:281.4pt;height:129.75pt;z-index:251737088;mso-position-horizontal:center;mso-position-horizontal-relative:margin;mso-width-relative:margin;mso-height-relative:margin" coordorigin="-457,-914" coordsize="35737,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">
                <v:shape id="_x0000_s1064" type="#_x0000_t202" style="position:absolute;left:-457;top:2228;width:32480;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" fillcolor="window" strokecolor="#0f4761" strokeweight=".5pt">
                  <v:stroke dashstyle="dash"/>
                  <v:textbox>
                    <w:txbxContent>
                      <w:p w14:paraId="725BD3B2" w14:textId="77777777" w:rsidR="00B15518" w:rsidRPr="00B15518" w:rsidRDefault="00B15518" w:rsidP="00F36447">
                        <w:pPr>
                          <w:pStyle w:val="ListParagraph"/>
                          <w:numPr>
                            <w:ilvl w:val="0"/>
                            <w:numId w:val="15"/>
                          </w:numPr>
                        </w:pPr>
                        <w:r w:rsidRPr="00B15518">
                          <w:rPr>
                            <w:b/>
                            <w:bCs/>
                            <w:color w:val="0F4761"/>
                          </w:rPr>
                          <w:t xml:space="preserve">Praktika bujqësore që lejojnë përshtatje ndaj ndryshimi të klimës </w:t>
                        </w:r>
                      </w:p>
                      <w:p w14:paraId="537603C4" w14:textId="50CA0CD9" w:rsidR="007065D4" w:rsidRPr="00EE51B0" w:rsidRDefault="007065D4" w:rsidP="00F36447">
                        <w:pPr>
                          <w:pStyle w:val="ListParagraph"/>
                          <w:numPr>
                            <w:ilvl w:val="0"/>
                            <w:numId w:val="15"/>
                          </w:numPr>
                        </w:pPr>
                        <w:r w:rsidRPr="00EE51B0">
                          <w:rPr>
                            <w:b/>
                            <w:bCs/>
                            <w:color w:val="0F4761"/>
                          </w:rPr>
                          <w:t>Shfrytëzimi i qëndrueshëm i tokës dhe ruajtja e tokës bujqësore</w:t>
                        </w:r>
                      </w:p>
                      <w:p w14:paraId="3D472D5E" w14:textId="0226C291" w:rsidR="007065D4" w:rsidRPr="00EF75BB" w:rsidRDefault="007065D4" w:rsidP="00F36447">
                        <w:pPr>
                          <w:pStyle w:val="ListParagraph"/>
                          <w:numPr>
                            <w:ilvl w:val="0"/>
                            <w:numId w:val="15"/>
                          </w:numPr>
                        </w:pPr>
                        <w:r w:rsidRPr="00EE51B0">
                          <w:rPr>
                            <w:b/>
                            <w:bCs/>
                            <w:color w:val="0F4761"/>
                          </w:rPr>
                          <w:t>Fuqizimi i sistemeve të paralajmërimit të hershëm për fermerët</w:t>
                        </w:r>
                      </w:p>
                    </w:txbxContent>
                  </v:textbox>
                </v:shape>
                <v:group id="Grupo 21" o:spid="_x0000_s1065" style="position:absolute;left:30041;top:-914;width:5239;height:5238" coordorigin="609,-914" coordsize="5238,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">
                  <v:shape id="Imagen 14" o:spid="_x0000_s1066" type="#_x0000_t75" style="position:absolute;left:609;top:-914;width:5239;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">
                    <v:imagedata r:id="rId49" o:title=""/>
                    <v:path arrowok="t"/>
                  </v:shape>
                  <v:shape id="Graphic 8" o:spid="_x0000_s1067" type="#_x0000_t75" alt="Open hand with plant outline" style="position:absolute;left:954;top:803;width:3315;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">
                    <v:imagedata r:id="rId56" o:title="Open hand with plant outline"/>
                    <v:path arrowok="t"/>
                  </v:shape>
                </v:group>
                <w10:wrap type="topAndBottom" anchorx="margin"/>
              </v:group>
            </w:pict>
          </mc:Fallback>
        </mc:AlternateContent>
      </w:r>
      <w:r w:rsidR="00EE51B0" w:rsidRPr="001C61AE">
        <w:rPr>
          <w:rFonts w:ascii="Arial" w:hAnsi="Arial" w:cs="Arial"/>
          <w:lang w:val="sq-AL"/>
        </w:rPr>
        <w:t>Për ta përkthyer këtë objektiv në veprime konkrete, sektori i bujqësisë dhe pylltarisë ka identifikuar një sërë Prioritetesh Kryesore të Përshtatjes. Këto përfaqësojnë fushat kryesore të ndërhyrjes së nevojshme për të zvogëluar cenueshmërinë sektoriale, për të mbrojtur burimet natyrore dhe për të ndërtuar kapacitete adaptive në të gjitha komunitetet rurale. Çdo prioritet është i lidhur me masa specifike që pasqyrojnë rreziqet klimatike të Kosovës, modelet e përdorimit të tokës dhe kontekstin institucional.Tre prioritetet kryesore të adaptimit për sektorin e bujqësisë dhe pylltarisë janë si më poshtë</w:t>
      </w:r>
      <w:r w:rsidR="003071CE" w:rsidRPr="001C61AE">
        <w:rPr>
          <w:rFonts w:ascii="Arial" w:hAnsi="Arial" w:cs="Arial"/>
          <w:lang w:val="sq-AL"/>
        </w:rPr>
        <w:t xml:space="preserve">: </w:t>
      </w:r>
    </w:p>
    <w:p w14:paraId="0F8B72C0" w14:textId="77777777" w:rsidR="00B15518" w:rsidRPr="001C61AE" w:rsidRDefault="00B15518" w:rsidP="00B15518">
      <w:pPr>
        <w:pStyle w:val="Heading3"/>
        <w:rPr>
          <w:rFonts w:ascii="Arial" w:hAnsi="Arial" w:cs="Arial"/>
          <w:lang w:val="sq-AL"/>
        </w:rPr>
      </w:pPr>
      <w:r w:rsidRPr="001C61AE">
        <w:rPr>
          <w:rFonts w:ascii="Arial" w:hAnsi="Arial" w:cs="Arial"/>
          <w:lang w:val="sq-AL"/>
        </w:rPr>
        <w:t xml:space="preserve">Praktika bujqësore që lejojnë përshtatje ndaj ndryshimi të klimës </w:t>
      </w:r>
    </w:p>
    <w:p w14:paraId="06A1C0EA" w14:textId="07ACE9A1" w:rsidR="00C1684B" w:rsidRPr="001C61AE" w:rsidRDefault="00C1684B" w:rsidP="00C1684B">
      <w:pPr>
        <w:spacing w:line="240" w:lineRule="auto"/>
        <w:jc w:val="both"/>
        <w:rPr>
          <w:rFonts w:ascii="Arial" w:hAnsi="Arial" w:cs="Arial"/>
          <w:lang w:val="sq-AL"/>
        </w:rPr>
      </w:pPr>
      <w:r w:rsidRPr="001C61AE">
        <w:rPr>
          <w:rFonts w:ascii="Arial" w:hAnsi="Arial" w:cs="Arial"/>
          <w:lang w:val="sq-AL"/>
        </w:rPr>
        <w:t xml:space="preserve">Sektori i bujqësisë në Kosovë po përballet me kërcënime serioze si pasojë e ndryshimeve klimatike, përfshirë rritjen e shpeshtësisë dhe ashpërsisë së thatësirave, reshjet e papritura dhe ngjarjet ekstreme të motit. Përshtatja ndaj këtyre ndryshimeve klimatike kërkon modernizim gjithëpërfshirës të infrastrukturës bujqësore, veçanërisht të sistemeve të ujitjes, të cilat aktualisht janë të vjetruara dhe të pamjaftueshme. Modernizimi i ujitjes nënkupton rehabilitimin e kanaleve dhe gypave ekzistues për të reduktuar humbjet e konsiderueshme të ujit, zgjerimin e rrjeteve të ujitjes për të mbuluar sipërfaqe më të mëdha dhe futjen e teknologjive të avancuara dhe </w:t>
      </w:r>
      <w:r w:rsidR="00AF6C69" w:rsidRPr="001C61AE">
        <w:rPr>
          <w:rFonts w:ascii="Arial" w:hAnsi="Arial" w:cs="Arial"/>
          <w:lang w:val="sq-AL"/>
        </w:rPr>
        <w:t>efiçiente</w:t>
      </w:r>
      <w:r w:rsidRPr="001C61AE">
        <w:rPr>
          <w:rFonts w:ascii="Arial" w:hAnsi="Arial" w:cs="Arial"/>
          <w:lang w:val="sq-AL"/>
        </w:rPr>
        <w:t>të ujitjes siç janë sistemet me pika dhe spërkatje. Këto sisteme reduktojnë ndjeshëm konsumin dhe humbjen e ujit, duke u mundësuar fermerëve të ruajnë produktivitetin edhe në kushte mungese uji. Për të plotësuar këto investime, zhvillimi i objekteve të reja për ruajtjen e ujit — si rezervuarë të vegjël, pellgje bujqësore dhe sisteme për grumbullimin e ujërave të shiut — do të përmirësojë qëndrueshmërinë gjatë periudhave të thata, duke mbrojtur prodhimin bujqësor dhe të ardhurat rurale.</w:t>
      </w:r>
    </w:p>
    <w:p w14:paraId="69AB05C5" w14:textId="4C8417A8" w:rsidR="001D4FA1" w:rsidRPr="001C61AE" w:rsidRDefault="00C1684B" w:rsidP="001D4FA1">
      <w:pPr>
        <w:spacing w:line="240" w:lineRule="auto"/>
        <w:jc w:val="both"/>
        <w:rPr>
          <w:rFonts w:ascii="Arial" w:hAnsi="Arial" w:cs="Arial"/>
          <w:lang w:val="sq-AL"/>
        </w:rPr>
      </w:pPr>
      <w:r w:rsidRPr="001C61AE">
        <w:rPr>
          <w:rFonts w:ascii="Arial" w:hAnsi="Arial" w:cs="Arial"/>
          <w:lang w:val="sq-AL"/>
        </w:rPr>
        <w:t xml:space="preserve">Promovimi dhe </w:t>
      </w:r>
      <w:r w:rsidR="007F773D" w:rsidRPr="001C61AE">
        <w:rPr>
          <w:rFonts w:ascii="Arial" w:hAnsi="Arial" w:cs="Arial"/>
          <w:lang w:val="sq-AL"/>
        </w:rPr>
        <w:t xml:space="preserve">miratimi </w:t>
      </w:r>
      <w:r w:rsidRPr="001C61AE">
        <w:rPr>
          <w:rFonts w:ascii="Arial" w:hAnsi="Arial" w:cs="Arial"/>
          <w:lang w:val="sq-AL"/>
        </w:rPr>
        <w:t xml:space="preserve">i praktikave të bujqësisë të mençur ndaj klimës (climate-smart agriculture) do ta forcojë më tej qëndrueshmërinë ndaj ndryshimeve klimatike. Kjo përfshin kalimin në varietete bimore që janë më rezistente ndaj thatësirës dhe temperaturave të larta, diversifikimin e rotacioneve të kulturave për të përmirësuar shëndetin e tokës dhe për të reduktuar ndjeshmërinë ndaj ekstremeve klimatike, si dhe përshtatjen e kalendarëve të mbjelljes bazuar në modelet e reja të motit. Shërbimet e forta </w:t>
      </w:r>
      <w:r w:rsidRPr="001C61AE">
        <w:rPr>
          <w:rFonts w:ascii="Arial" w:hAnsi="Arial" w:cs="Arial"/>
          <w:lang w:val="sq-AL"/>
        </w:rPr>
        <w:lastRenderedPageBreak/>
        <w:t>agrometeorologjike do të mbështesin këto iniciativa, duke ofruar parashikime të sakta lokale dhe informacione në kohë reale për rreziqet klimatike. Këto shërbime do t’i fuqizojnë fermerët që të ndërmarrin masa të përshtatshme në kohën e duhur, si p.sh. të ndryshojnë datat e mbjelljes, të menaxhojnë më mirë oraret e ujitjes ose të zgjedhin varietete të përshtatshme për të minimizuar rrezikun. Shërbimet e zgjeruara të këshillimit dhe trajnimet e përshtatura do të sigurojnë përhapje dhe zbatim efektiv të këtyre masave në nivel ferme</w:t>
      </w:r>
      <w:r w:rsidR="00F25436" w:rsidRPr="001C61AE">
        <w:rPr>
          <w:rFonts w:ascii="Arial" w:hAnsi="Arial" w:cs="Arial"/>
          <w:lang w:val="sq-AL"/>
        </w:rPr>
        <w:t>.</w:t>
      </w:r>
    </w:p>
    <w:p w14:paraId="6F49B1BE" w14:textId="471E9419" w:rsidR="00EE51B0" w:rsidRPr="001C61AE" w:rsidRDefault="00EE51B0" w:rsidP="00EE51B0">
      <w:pPr>
        <w:spacing w:line="240" w:lineRule="auto"/>
        <w:jc w:val="both"/>
        <w:rPr>
          <w:rFonts w:ascii="Arial" w:hAnsi="Arial" w:cs="Arial"/>
          <w:lang w:val="sq-AL"/>
        </w:rPr>
      </w:pPr>
      <w:r w:rsidRPr="001C61AE">
        <w:rPr>
          <w:rFonts w:ascii="Arial" w:hAnsi="Arial" w:cs="Arial"/>
          <w:lang w:val="sq-AL"/>
        </w:rPr>
        <w:t>Zgjerimi i përvetësimit të praktikave bujqësore organike dhe miqësore me mjedisin do të luajë gjithashtu një rol të rëndësishëm në përshtatjen ndaj klimës. Metodat e bujqësisë organike pasurojnë lëndën organike të tokës, duke rritur ndjeshëm aftësitë e mbajtjes së ujit në tokë dhe pjellorinë e përgjithshme të tokës, duke zbutur kështu ndikimet e thatësirave dhe përmbytjeve. Shkalla e këtyre praktikave përmes subvencioneve të synuara, programeve të trajnimit dhe fermave demonstruese do të kontribuojë në agroekosisteme më të shëndetshme dhe sisteme prodhimi më elastike.</w:t>
      </w:r>
    </w:p>
    <w:p w14:paraId="7704A3A4" w14:textId="48D754C0" w:rsidR="00EE51B0" w:rsidRPr="001C61AE" w:rsidRDefault="00EE51B0" w:rsidP="00EE51B0">
      <w:pPr>
        <w:spacing w:line="240" w:lineRule="auto"/>
        <w:jc w:val="both"/>
        <w:rPr>
          <w:rFonts w:ascii="Arial" w:hAnsi="Arial" w:cs="Arial"/>
          <w:lang w:val="sq-AL"/>
        </w:rPr>
      </w:pPr>
      <w:r w:rsidRPr="001C61AE">
        <w:rPr>
          <w:rFonts w:ascii="Arial" w:hAnsi="Arial" w:cs="Arial"/>
          <w:lang w:val="sq-AL"/>
        </w:rPr>
        <w:t xml:space="preserve">Ruajtja e agrobiodiversitetit është një tjetër komponent kritik i strategjisë bujqësore të zgjuar ndaj klimës së Kosovës. Varietetet tradicionale lokale të kulturave dhe racat e bagëtive shpesh kanë tipare të natyrshme të rezistencës të përshtatura ndaj streseve klimatike lokale. Iniciativat do të përfshijnë krijimin e bankave të farërave të komunitetit, promovimin e programeve lokale të ruajtjes së racave dhe ofrimin e stimujve financiarë për fermerët që ruajnë agrobiodiversitetin. Duke ruajtur këtë diversitet gjenetik, Kosova rrit aftësinë e saj </w:t>
      </w:r>
      <w:r w:rsidR="007F773D" w:rsidRPr="001C61AE">
        <w:rPr>
          <w:rFonts w:ascii="Arial" w:hAnsi="Arial" w:cs="Arial"/>
          <w:lang w:val="sq-AL"/>
        </w:rPr>
        <w:t xml:space="preserve">përshtatëse </w:t>
      </w:r>
      <w:r w:rsidRPr="001C61AE">
        <w:rPr>
          <w:rFonts w:ascii="Arial" w:hAnsi="Arial" w:cs="Arial"/>
          <w:lang w:val="sq-AL"/>
        </w:rPr>
        <w:t>për t'iu përgjigjur pasigurive të ardhshme klimatike.</w:t>
      </w:r>
    </w:p>
    <w:p w14:paraId="0F00CF6D" w14:textId="5E9290B6" w:rsidR="001D4FA1" w:rsidRPr="001C61AE" w:rsidRDefault="00EE51B0" w:rsidP="00EE51B0">
      <w:pPr>
        <w:spacing w:line="240" w:lineRule="auto"/>
        <w:jc w:val="both"/>
        <w:rPr>
          <w:rFonts w:ascii="Arial" w:hAnsi="Arial" w:cs="Arial"/>
          <w:lang w:val="sq-AL"/>
        </w:rPr>
      </w:pPr>
      <w:r w:rsidRPr="001C61AE">
        <w:rPr>
          <w:rFonts w:ascii="Arial" w:hAnsi="Arial" w:cs="Arial"/>
          <w:lang w:val="sq-AL"/>
        </w:rPr>
        <w:t xml:space="preserve">Ndërtimi i kapaciteteve formon shtyllën kurrizore të këtyre përpjekjeve të përshtatjes. Fermerët dhe komunitetet rurale do të përfitojnë nga shërbimet e synuara të zgjerimit dhe programet e specializuara të trajnimit, duke rritur kuptimin dhe përvetësimin e praktikave rezistente ndaj klimës. Trajnimi do të mbulojë tema të tilla si menaxhimi efikas i ujit, teknikat e qëndrueshme të ruajtjes së tokës, strategjitë e integruara të menaxhimit të rrezikut të sëmundjeve dhe përdorimi i duhur i kulturave rezistente ndaj thatësirës. Krijimi i mekanizmave financiarë, duke përfshirë sigurimin e të korrave dhe skemat e sigurimit të indeksuara nga moti, do t'i mbrojë më tej fermerët nga goditjet ekonomike të shkaktuara nga klima, duke siguruar stabilitet dhe duke </w:t>
      </w:r>
      <w:r w:rsidR="007F773D" w:rsidRPr="001C61AE">
        <w:rPr>
          <w:rFonts w:ascii="Arial" w:hAnsi="Arial" w:cs="Arial"/>
          <w:lang w:val="sq-AL"/>
        </w:rPr>
        <w:t xml:space="preserve">nxitur </w:t>
      </w:r>
      <w:r w:rsidRPr="001C61AE">
        <w:rPr>
          <w:rFonts w:ascii="Arial" w:hAnsi="Arial" w:cs="Arial"/>
          <w:lang w:val="sq-AL"/>
        </w:rPr>
        <w:t>praktikat e qëndrueshme të investimeve brenda sektorit</w:t>
      </w:r>
      <w:r w:rsidR="001D4FA1" w:rsidRPr="001C61AE">
        <w:rPr>
          <w:rFonts w:ascii="Arial" w:hAnsi="Arial" w:cs="Arial"/>
          <w:lang w:val="sq-AL"/>
        </w:rPr>
        <w:t>.</w:t>
      </w:r>
    </w:p>
    <w:p w14:paraId="2D2253D4" w14:textId="5E175E41" w:rsidR="001D4FA1" w:rsidRPr="001C61AE" w:rsidRDefault="006267BD" w:rsidP="001D4FA1">
      <w:pPr>
        <w:spacing w:line="240" w:lineRule="auto"/>
        <w:rPr>
          <w:rFonts w:ascii="Arial" w:hAnsi="Arial" w:cs="Arial"/>
          <w:b/>
          <w:bCs/>
          <w:color w:val="0F4761"/>
          <w:lang w:val="sq-AL"/>
        </w:rPr>
      </w:pPr>
      <w:r w:rsidRPr="001C61AE">
        <w:rPr>
          <w:rFonts w:ascii="Arial" w:hAnsi="Arial" w:cs="Arial"/>
          <w:b/>
          <w:bCs/>
          <w:color w:val="0F4761"/>
          <w:lang w:val="sq-AL"/>
        </w:rPr>
        <w:t>Objektivat specifikë</w:t>
      </w:r>
    </w:p>
    <w:p w14:paraId="6FE70411" w14:textId="7BA8532C" w:rsidR="00574277" w:rsidRPr="001C61AE" w:rsidRDefault="00862AC4" w:rsidP="00574277">
      <w:pPr>
        <w:spacing w:line="240" w:lineRule="auto"/>
        <w:ind w:firstLine="708"/>
        <w:rPr>
          <w:rFonts w:ascii="Arial" w:hAnsi="Arial" w:cs="Arial"/>
          <w:b/>
          <w:bCs/>
          <w:color w:val="0F4761"/>
          <w:lang w:val="sq-AL"/>
        </w:rPr>
      </w:pPr>
      <w:r w:rsidRPr="001C61AE">
        <w:rPr>
          <w:rFonts w:ascii="Arial" w:hAnsi="Arial" w:cs="Arial"/>
          <w:b/>
          <w:bCs/>
          <w:color w:val="0F4761"/>
          <w:lang w:val="sq-AL"/>
        </w:rPr>
        <w:t>III</w:t>
      </w:r>
      <w:r w:rsidR="00574277" w:rsidRPr="001C61AE">
        <w:rPr>
          <w:rFonts w:ascii="Arial" w:hAnsi="Arial" w:cs="Arial"/>
          <w:b/>
          <w:bCs/>
          <w:color w:val="0F4761"/>
          <w:lang w:val="sq-AL"/>
        </w:rPr>
        <w:t>.2</w:t>
      </w:r>
      <w:r w:rsidR="000A6F64" w:rsidRPr="001C61AE">
        <w:rPr>
          <w:rFonts w:ascii="Arial" w:hAnsi="Arial" w:cs="Arial"/>
          <w:b/>
          <w:bCs/>
          <w:color w:val="0F4761"/>
          <w:lang w:val="sq-AL"/>
        </w:rPr>
        <w:t>8</w:t>
      </w:r>
      <w:r w:rsidR="00574277" w:rsidRPr="001C61AE">
        <w:rPr>
          <w:rFonts w:ascii="Arial" w:hAnsi="Arial" w:cs="Arial"/>
          <w:b/>
          <w:bCs/>
          <w:color w:val="0F4761"/>
          <w:lang w:val="sq-AL"/>
        </w:rPr>
        <w:t xml:space="preserve"> </w:t>
      </w:r>
      <w:r w:rsidR="00EE51B0" w:rsidRPr="001C61AE">
        <w:rPr>
          <w:rFonts w:ascii="Arial" w:hAnsi="Arial" w:cs="Arial"/>
          <w:b/>
          <w:bCs/>
          <w:color w:val="0F4761"/>
          <w:lang w:val="sq-AL"/>
        </w:rPr>
        <w:t>Zhvillimi i infrastrukturës së ujitjes së qëndrueshme dhe të përshtatur ndaj kushteve klimatike.</w:t>
      </w:r>
    </w:p>
    <w:p w14:paraId="5841DD60" w14:textId="37C67F8B" w:rsidR="00C71B2F" w:rsidRPr="001C61AE" w:rsidRDefault="00154494" w:rsidP="008E17FD">
      <w:pPr>
        <w:spacing w:line="240" w:lineRule="auto"/>
        <w:jc w:val="both"/>
        <w:rPr>
          <w:rFonts w:ascii="Arial" w:hAnsi="Arial" w:cs="Arial"/>
          <w:lang w:val="sq-AL"/>
        </w:rPr>
      </w:pPr>
      <w:r w:rsidRPr="001C61AE">
        <w:rPr>
          <w:rFonts w:ascii="Arial" w:hAnsi="Arial" w:cs="Arial"/>
          <w:lang w:val="sq-AL"/>
        </w:rPr>
        <w:t xml:space="preserve">Modernizimi i sistemeve të ujitjes në Kosovë është jetik për të mbrojtur produktivitetin bujqësor përballë thatësirave në rritje dhe modeleve të paqëndrueshme të reshjeve. Ky objektiv fokusohet në rehabilitimin e infrastrukturës së dëmtuar, zgjerimin e mbulueshmërisë së ujitjes dhe zbatimin e teknologjive </w:t>
      </w:r>
      <w:r w:rsidR="00AF6C69" w:rsidRPr="001C61AE">
        <w:rPr>
          <w:rFonts w:ascii="Arial" w:hAnsi="Arial" w:cs="Arial"/>
          <w:lang w:val="sq-AL"/>
        </w:rPr>
        <w:t>efiçiente</w:t>
      </w:r>
      <w:r w:rsidRPr="001C61AE">
        <w:rPr>
          <w:rFonts w:ascii="Arial" w:hAnsi="Arial" w:cs="Arial"/>
          <w:lang w:val="sq-AL"/>
        </w:rPr>
        <w:t>si sistemet me pika dhe spërkatje, për të reduktuar humbjet e ujit dhe për të optimizuar përdorimin e tij. Zhvillimi i zgjidhjeve plotësuese për ruajtjen e ujit — si rezervuarë të vegjël, pellgje ferme dhe sisteme për mbledhjen e ujit të shiut — do të përmirësojë më tej disponueshmërinë e ujit gjatë periudhave të thata, duke siguruar rendimente dhe të ardhura në zonat rurale nën stres klimatik gjithnjë e më të madh</w:t>
      </w:r>
      <w:r w:rsidR="000E1F16" w:rsidRPr="001C61AE">
        <w:rPr>
          <w:rFonts w:ascii="Arial" w:hAnsi="Arial" w:cs="Arial"/>
          <w:lang w:val="sq-AL"/>
        </w:rPr>
        <w:t>.</w:t>
      </w:r>
    </w:p>
    <w:p w14:paraId="6F87C514" w14:textId="038BC5DC" w:rsidR="00574277" w:rsidRPr="001C61AE" w:rsidRDefault="00862AC4">
      <w:pPr>
        <w:spacing w:line="240" w:lineRule="auto"/>
        <w:ind w:left="708"/>
        <w:rPr>
          <w:rFonts w:ascii="Arial" w:hAnsi="Arial" w:cs="Arial"/>
          <w:b/>
          <w:bCs/>
          <w:color w:val="0F4761"/>
          <w:lang w:val="sq-AL"/>
        </w:rPr>
      </w:pPr>
      <w:r w:rsidRPr="001C61AE">
        <w:rPr>
          <w:rFonts w:ascii="Arial" w:hAnsi="Arial" w:cs="Arial"/>
          <w:b/>
          <w:bCs/>
          <w:color w:val="0F4761"/>
          <w:lang w:val="sq-AL"/>
        </w:rPr>
        <w:t>III</w:t>
      </w:r>
      <w:r w:rsidR="00574277" w:rsidRPr="001C61AE">
        <w:rPr>
          <w:rFonts w:ascii="Arial" w:hAnsi="Arial" w:cs="Arial"/>
          <w:b/>
          <w:bCs/>
          <w:color w:val="0F4761"/>
          <w:lang w:val="sq-AL"/>
        </w:rPr>
        <w:t>.2</w:t>
      </w:r>
      <w:r w:rsidR="000A6F64" w:rsidRPr="001C61AE">
        <w:rPr>
          <w:rFonts w:ascii="Arial" w:hAnsi="Arial" w:cs="Arial"/>
          <w:b/>
          <w:bCs/>
          <w:color w:val="0F4761"/>
          <w:lang w:val="sq-AL"/>
        </w:rPr>
        <w:t>9</w:t>
      </w:r>
      <w:r w:rsidR="00574277" w:rsidRPr="001C61AE">
        <w:rPr>
          <w:rFonts w:ascii="Arial" w:hAnsi="Arial" w:cs="Arial"/>
          <w:b/>
          <w:bCs/>
          <w:color w:val="0F4761"/>
          <w:lang w:val="sq-AL"/>
        </w:rPr>
        <w:t xml:space="preserve"> </w:t>
      </w:r>
      <w:r w:rsidR="00EE51B0" w:rsidRPr="001C61AE">
        <w:rPr>
          <w:rFonts w:ascii="Arial" w:hAnsi="Arial" w:cs="Arial"/>
          <w:b/>
          <w:bCs/>
          <w:color w:val="0F4761"/>
          <w:lang w:val="sq-AL"/>
        </w:rPr>
        <w:t>Rritja e zbatimit të praktikave bujqësore të përshtatshme për klimën (p.sh. varietete të kulturave bujqësore reziliente, metoda agro-ekologjike).</w:t>
      </w:r>
    </w:p>
    <w:p w14:paraId="262875D0" w14:textId="52F59B74" w:rsidR="000E1F16" w:rsidRPr="001C61AE" w:rsidRDefault="00154494" w:rsidP="008E17FD">
      <w:pPr>
        <w:spacing w:line="240" w:lineRule="auto"/>
        <w:jc w:val="both"/>
        <w:rPr>
          <w:rFonts w:ascii="Arial" w:hAnsi="Arial" w:cs="Arial"/>
          <w:lang w:val="sq-AL"/>
        </w:rPr>
      </w:pPr>
      <w:r w:rsidRPr="001C61AE">
        <w:rPr>
          <w:rFonts w:ascii="Arial" w:hAnsi="Arial" w:cs="Arial"/>
          <w:lang w:val="sq-AL"/>
        </w:rPr>
        <w:t>Për të rritur qëndrueshmërinë ndaj</w:t>
      </w:r>
      <w:r w:rsidR="00D25E3D" w:rsidRPr="001C61AE">
        <w:rPr>
          <w:rFonts w:ascii="Arial" w:hAnsi="Arial" w:cs="Arial"/>
          <w:lang w:val="sq-AL"/>
        </w:rPr>
        <w:t xml:space="preserve"> </w:t>
      </w:r>
      <w:r w:rsidR="007F773D" w:rsidRPr="001C61AE">
        <w:rPr>
          <w:rFonts w:ascii="Arial" w:hAnsi="Arial" w:cs="Arial"/>
          <w:lang w:val="sq-AL"/>
        </w:rPr>
        <w:t xml:space="preserve">ndryshueshmërisë </w:t>
      </w:r>
      <w:r w:rsidRPr="001C61AE">
        <w:rPr>
          <w:rFonts w:ascii="Arial" w:hAnsi="Arial" w:cs="Arial"/>
          <w:lang w:val="sq-AL"/>
        </w:rPr>
        <w:t>klimatik</w:t>
      </w:r>
      <w:r w:rsidR="00C740EE" w:rsidRPr="001C61AE">
        <w:rPr>
          <w:rFonts w:ascii="Arial" w:hAnsi="Arial" w:cs="Arial"/>
          <w:lang w:val="sq-AL"/>
        </w:rPr>
        <w:t>e</w:t>
      </w:r>
      <w:r w:rsidRPr="001C61AE">
        <w:rPr>
          <w:rFonts w:ascii="Arial" w:hAnsi="Arial" w:cs="Arial"/>
          <w:lang w:val="sq-AL"/>
        </w:rPr>
        <w:t xml:space="preserve">, Kosova synon të integrojë praktikisht përdorimin e metodave të bujqësisë së mençur ndaj klimës. Këto përfshijnë adoptimin e pemëve dhe varieteteve të kulturave që janë rezistente ndaj thatësirës dhe të nxehtit, diversifikimin e rotacionit të mbjelljeve dhe përshtatjen e kalendarëve të mbjelljes në bazë të të dhënave agrometeorologjike në kohë reale. Përmes </w:t>
      </w:r>
      <w:r w:rsidR="007F773D" w:rsidRPr="001C61AE">
        <w:rPr>
          <w:rFonts w:ascii="Arial" w:hAnsi="Arial" w:cs="Arial"/>
          <w:lang w:val="sq-AL"/>
        </w:rPr>
        <w:t>qasjes së</w:t>
      </w:r>
      <w:r w:rsidRPr="001C61AE">
        <w:rPr>
          <w:rFonts w:ascii="Arial" w:hAnsi="Arial" w:cs="Arial"/>
          <w:lang w:val="sq-AL"/>
        </w:rPr>
        <w:t xml:space="preserve"> përmirësuar në parashikime të lokalizuara dhe shërbimeve të zgjeruara të këshillimit, fermerët do të fuqizohen të marrin vendime të shpejta dhe të informuara mbi rreziqet, duke </w:t>
      </w:r>
      <w:r w:rsidR="007F773D" w:rsidRPr="001C61AE">
        <w:rPr>
          <w:rFonts w:ascii="Arial" w:hAnsi="Arial" w:cs="Arial"/>
          <w:lang w:val="sq-AL"/>
        </w:rPr>
        <w:t xml:space="preserve">zvogëluar </w:t>
      </w:r>
      <w:r w:rsidRPr="001C61AE">
        <w:rPr>
          <w:rFonts w:ascii="Arial" w:hAnsi="Arial" w:cs="Arial"/>
          <w:lang w:val="sq-AL"/>
        </w:rPr>
        <w:t>ndjeshmërinë dhe duke rritur stabilitetin e prodhimit</w:t>
      </w:r>
      <w:r w:rsidR="000E1F16" w:rsidRPr="001C61AE">
        <w:rPr>
          <w:rFonts w:ascii="Arial" w:hAnsi="Arial" w:cs="Arial"/>
          <w:lang w:val="sq-AL"/>
        </w:rPr>
        <w:t>.</w:t>
      </w:r>
    </w:p>
    <w:p w14:paraId="0C00D7A7" w14:textId="0F5D5996" w:rsidR="00574277" w:rsidRPr="001C61AE" w:rsidRDefault="00862AC4" w:rsidP="00574277">
      <w:pPr>
        <w:spacing w:line="240" w:lineRule="auto"/>
        <w:ind w:firstLine="708"/>
        <w:rPr>
          <w:rFonts w:ascii="Arial" w:hAnsi="Arial" w:cs="Arial"/>
          <w:b/>
          <w:bCs/>
          <w:color w:val="0F4761"/>
          <w:lang w:val="sq-AL"/>
        </w:rPr>
      </w:pPr>
      <w:r w:rsidRPr="001C61AE">
        <w:rPr>
          <w:rFonts w:ascii="Arial" w:hAnsi="Arial" w:cs="Arial"/>
          <w:b/>
          <w:bCs/>
          <w:color w:val="0F4761"/>
          <w:lang w:val="sq-AL"/>
        </w:rPr>
        <w:t>III</w:t>
      </w:r>
      <w:r w:rsidR="00574277" w:rsidRPr="001C61AE">
        <w:rPr>
          <w:rFonts w:ascii="Arial" w:hAnsi="Arial" w:cs="Arial"/>
          <w:b/>
          <w:bCs/>
          <w:color w:val="0F4761"/>
          <w:lang w:val="sq-AL"/>
        </w:rPr>
        <w:t>.</w:t>
      </w:r>
      <w:r w:rsidR="000A6F64" w:rsidRPr="001C61AE">
        <w:rPr>
          <w:rFonts w:ascii="Arial" w:hAnsi="Arial" w:cs="Arial"/>
          <w:b/>
          <w:bCs/>
          <w:color w:val="0F4761"/>
          <w:lang w:val="sq-AL"/>
        </w:rPr>
        <w:t xml:space="preserve">30 </w:t>
      </w:r>
      <w:r w:rsidR="00EE51B0" w:rsidRPr="001C61AE">
        <w:rPr>
          <w:rFonts w:ascii="Arial" w:hAnsi="Arial" w:cs="Arial"/>
          <w:b/>
          <w:bCs/>
          <w:color w:val="0F4761"/>
          <w:lang w:val="sq-AL"/>
        </w:rPr>
        <w:t>Promovimi i agrobiodiversitetit dhe e varieteteve lokale reziliente.</w:t>
      </w:r>
    </w:p>
    <w:p w14:paraId="4DA1B801" w14:textId="45100C19" w:rsidR="000E1F16" w:rsidRPr="001C61AE" w:rsidRDefault="00154494" w:rsidP="008E17FD">
      <w:pPr>
        <w:spacing w:line="240" w:lineRule="auto"/>
        <w:jc w:val="both"/>
        <w:rPr>
          <w:rFonts w:ascii="Arial" w:hAnsi="Arial" w:cs="Arial"/>
          <w:lang w:val="sq-AL"/>
        </w:rPr>
      </w:pPr>
      <w:r w:rsidRPr="001C61AE">
        <w:rPr>
          <w:rFonts w:ascii="Arial" w:hAnsi="Arial" w:cs="Arial"/>
          <w:lang w:val="sq-AL"/>
        </w:rPr>
        <w:t>Ruajtja dhe promovimi i varieteteve tradicionale të kulturave dhe racave të kafshëve të përshtatura me kushtet lokale është thelbësor për qëndrueshmërinë bujqësore. Ky objektiv mbështet konservimin dhe përdorimin e agrobiodiversitetit përmes bankave të farave në komunitet, ruajtjes në fermë dhe stimujve të synuar. Duke mbrojtur diversitetin gjenetik, Kosova forcon kapacitetin e saj për t'iu përgjigjur pasigurive klimatike në të ardhmen dhe siguron që tiparet e përshtatura lokalë të mbeten të disponueshme për strategjitë e ardhshme të përshtatjes</w:t>
      </w:r>
      <w:r w:rsidR="000E1F16" w:rsidRPr="001C61AE">
        <w:rPr>
          <w:rFonts w:ascii="Arial" w:hAnsi="Arial" w:cs="Arial"/>
          <w:lang w:val="sq-AL"/>
        </w:rPr>
        <w:t>.</w:t>
      </w:r>
    </w:p>
    <w:p w14:paraId="4FE7A084" w14:textId="41211883" w:rsidR="001D4FA1" w:rsidRPr="001C61AE" w:rsidRDefault="00154494" w:rsidP="00233010">
      <w:pPr>
        <w:pStyle w:val="Heading3"/>
        <w:rPr>
          <w:rFonts w:ascii="Arial" w:hAnsi="Arial" w:cs="Arial"/>
          <w:lang w:val="sq-AL"/>
        </w:rPr>
      </w:pPr>
      <w:bookmarkStart w:id="84" w:name="_Toc211532709"/>
      <w:r w:rsidRPr="001C61AE">
        <w:rPr>
          <w:rFonts w:ascii="Arial" w:hAnsi="Arial" w:cs="Arial"/>
          <w:lang w:val="sq-AL"/>
        </w:rPr>
        <w:lastRenderedPageBreak/>
        <w:t>Shfrytëzimi i qëndrueshëm i tokës dhe ruajtja e tokës bujqësore</w:t>
      </w:r>
      <w:bookmarkEnd w:id="84"/>
    </w:p>
    <w:p w14:paraId="5A46AE66" w14:textId="77777777" w:rsidR="00154494" w:rsidRPr="001C61AE" w:rsidRDefault="00154494" w:rsidP="00154494">
      <w:pPr>
        <w:spacing w:line="240" w:lineRule="auto"/>
        <w:jc w:val="both"/>
        <w:rPr>
          <w:rFonts w:ascii="Arial" w:hAnsi="Arial" w:cs="Arial"/>
          <w:lang w:val="sq-AL"/>
        </w:rPr>
      </w:pPr>
      <w:r w:rsidRPr="001C61AE">
        <w:rPr>
          <w:rFonts w:ascii="Arial" w:hAnsi="Arial" w:cs="Arial"/>
          <w:lang w:val="sq-AL"/>
        </w:rPr>
        <w:t>Produktiviteti bujqësor dhe stabiliteti i ekosistemeve në Kosovë janë nën kërcënim të ndjeshëm si pasojë e degradimit të tokës, erozionit të dheut dhe praktikave të paqëndrueshme të shfrytëzimit të tokës, të cilat përkeqësohen më tej nga ndryshimet klimatike. Masat gjithëpërfshirëse për ruajtjen e tokës dhe menaxhimin e qëndrueshëm të saj janë thelbësore për të mbrojtur prodhimtarinë bujqësore, për të zvogëluar ndjeshmërinë ndaj erozionit dhe përmbytjeve dhe për të ruajtur shërbimet kritike të ekosistemeve.</w:t>
      </w:r>
    </w:p>
    <w:p w14:paraId="649D7538" w14:textId="77777777" w:rsidR="00154494" w:rsidRPr="001C61AE" w:rsidRDefault="00154494" w:rsidP="00154494">
      <w:pPr>
        <w:spacing w:line="240" w:lineRule="auto"/>
        <w:jc w:val="both"/>
        <w:rPr>
          <w:rFonts w:ascii="Arial" w:hAnsi="Arial" w:cs="Arial"/>
          <w:lang w:val="sq-AL"/>
        </w:rPr>
      </w:pPr>
      <w:r w:rsidRPr="001C61AE">
        <w:rPr>
          <w:rFonts w:ascii="Arial" w:hAnsi="Arial" w:cs="Arial"/>
          <w:lang w:val="sq-AL"/>
        </w:rPr>
        <w:t>Praktikat kyçe për menaxhimin e qëndrueshëm të tokës përfshijnë ndërtimin e tarracave dhe lërimin sipas kontureve, veçanërisht në tokat bujqësore me pjerrësi të madhe, për të ulur erozionin dhe për të rritur infiltrimin e ujit. Mbjellja e kulturave mbuluese dhe mbajtja e mbetjeve të bimëve në arë sigurojnë mbrojtje shtesë, duke parandaluar humbjen e dheut gjatë reshjeve të dendura dhe duke përmirësuar strukturën e tij. Zbatimi i brezave mbrojtës vegjetativë, si rripat e barit dhe mbrojtëset nga era përreth parcelave, ndihmon në stabilizimin e dheut dhe zvogëlon dëmet nga erozioni i shkaktuar nga uji dhe era, duke krijuar mikroklima që mbrojnë të mbjellat nga kushtet ekstreme klimatike.</w:t>
      </w:r>
    </w:p>
    <w:p w14:paraId="07A6C0FC" w14:textId="0B4294BB" w:rsidR="00154494" w:rsidRPr="001C61AE" w:rsidRDefault="00154494" w:rsidP="00154494">
      <w:pPr>
        <w:spacing w:line="240" w:lineRule="auto"/>
        <w:jc w:val="both"/>
        <w:rPr>
          <w:rFonts w:ascii="Arial" w:hAnsi="Arial" w:cs="Arial"/>
          <w:lang w:val="sq-AL"/>
        </w:rPr>
      </w:pPr>
      <w:r w:rsidRPr="001C61AE">
        <w:rPr>
          <w:rFonts w:ascii="Arial" w:hAnsi="Arial" w:cs="Arial"/>
          <w:lang w:val="sq-AL"/>
        </w:rPr>
        <w:t xml:space="preserve">Fushata të rëndësishme për pyllëzimin dhe ripyllëzimin do të synojnë tokat pyjore të degraduara, zonat bujqësore margjinale dhe shpatet e ndjeshme ndaj erozionit. Këto aktivitete ndihmojnë në stabilizimin e dheut, parandalimin e rrëshqitjeve të tokës dhe reduktimin e rreziqeve të përmbytjeve në rrjedhat e poshtme, duke përmirësuar përthithjen e ujit dhe rimbushjen e ujërave nëntokësore. </w:t>
      </w:r>
      <w:r w:rsidR="00BE39C7" w:rsidRPr="001C61AE">
        <w:rPr>
          <w:rFonts w:ascii="Arial" w:hAnsi="Arial" w:cs="Arial"/>
          <w:lang w:val="sq-AL"/>
        </w:rPr>
        <w:t>Strategjia</w:t>
      </w:r>
      <w:r w:rsidRPr="001C61AE">
        <w:rPr>
          <w:rFonts w:ascii="Arial" w:hAnsi="Arial" w:cs="Arial"/>
          <w:lang w:val="sq-AL"/>
        </w:rPr>
        <w:t xml:space="preserve"> për Zhvillimin e Pylltarisë në Kosovë synon një rritje neto prej 3% të sipërfaqes pyjore deri në vitin 2030, përmes mbjelljes së të paktën një milion fidanëve të qëndrueshëm ndaj klimës. Përdorimi i llojeve vendase të pemëve, të përshtatura me kushtet klimatike lokale dhe skenarët e parashikuar të ndryshimeve klimatike, do të sigurojë suksesin e përpjekjeve për ripyllëzim. Këto masa kontribuojnë drejtpërdrejt në uljen e erozionit dhe rritjen e qëndrueshmërisë në shkallë peizazhi.</w:t>
      </w:r>
    </w:p>
    <w:p w14:paraId="23463CA5" w14:textId="4CD8F2C1" w:rsidR="00154494" w:rsidRPr="001C61AE" w:rsidRDefault="00154494" w:rsidP="00154494">
      <w:pPr>
        <w:spacing w:line="240" w:lineRule="auto"/>
        <w:jc w:val="both"/>
        <w:rPr>
          <w:rFonts w:ascii="Arial" w:hAnsi="Arial" w:cs="Arial"/>
          <w:lang w:val="sq-AL"/>
        </w:rPr>
      </w:pPr>
      <w:r w:rsidRPr="001C61AE">
        <w:rPr>
          <w:rFonts w:ascii="Arial" w:hAnsi="Arial" w:cs="Arial"/>
          <w:lang w:val="sq-AL"/>
        </w:rPr>
        <w:t xml:space="preserve">Menaxhimi i pyjeve ekzistuese do të orientohet drejt qëndrueshmërisë, duke theksuar realizimin e inventarëve të rregullt pyjorë, hartimin e planeve të menaxhimit pyjor në mënyrë </w:t>
      </w:r>
      <w:r w:rsidR="007F773D" w:rsidRPr="001C61AE">
        <w:rPr>
          <w:rFonts w:ascii="Arial" w:hAnsi="Arial" w:cs="Arial"/>
          <w:lang w:val="sq-AL"/>
        </w:rPr>
        <w:t xml:space="preserve">të përshtatshme </w:t>
      </w:r>
      <w:r w:rsidRPr="001C61AE">
        <w:rPr>
          <w:rFonts w:ascii="Arial" w:hAnsi="Arial" w:cs="Arial"/>
          <w:lang w:val="sq-AL"/>
        </w:rPr>
        <w:t>dhe forcimin e zbatimit të ligjit kundër prerjeve të paligjshme. Këto plane do të përfshijnë masa për të rritur biodiversitetin, për të kontrolluar rreziqet nga sëmundjet dhe për të rregulluar prerjet në përputhje me nivelet e qëndrueshme të shfrytëzimit. Ruajtja e ekosistemeve të shëndetshme dhe të ndryshme pyjore do të rrisë qëndrueshmërinë e tyre ndaj stresorëve klimatikë si thatësirat, sëmundjet dhe zjarret në pyje.</w:t>
      </w:r>
    </w:p>
    <w:p w14:paraId="03A67FBC" w14:textId="1450771E" w:rsidR="001D4FA1" w:rsidRPr="001C61AE" w:rsidRDefault="00154494" w:rsidP="001D4FA1">
      <w:pPr>
        <w:spacing w:line="240" w:lineRule="auto"/>
        <w:jc w:val="both"/>
        <w:rPr>
          <w:rFonts w:ascii="Arial" w:hAnsi="Arial" w:cs="Arial"/>
          <w:lang w:val="sq-AL"/>
        </w:rPr>
      </w:pPr>
      <w:r w:rsidRPr="001C61AE">
        <w:rPr>
          <w:rFonts w:ascii="Arial" w:hAnsi="Arial" w:cs="Arial"/>
          <w:lang w:val="sq-AL"/>
        </w:rPr>
        <w:t xml:space="preserve">Menaxhimi i integruar i pellgjeve ujore do të mundësojë bashkëpunim ndërsektorial, duke trajtuar gjithë pellgun ujëmbledhës si një sistem ekologjik të ndërlidhur. Një qasje e tillë do të lejojë ndërhyrje të koordinuara si rikuperimi i zonave mbrojtëse përreth lumenjve, ripyllëzimi në rrjedhat e sipërme, praktikat e qëndrueshme bujqësore dhe masat mbrojtëse nga përmbytjet në rrjedhat e poshtme. Kjo qasje në shkallë peizazhi do të përmirësojë gjithashtu parandalimin dhe përgatitjen ndaj zjarreve, do të reduktojë degradimin e pyjeve dhe do të forcojë ruajtjen e biodiversitetit. Duke ndjekur një qasje të integruar territoriale, </w:t>
      </w:r>
      <w:r w:rsidR="00FC4EF1" w:rsidRPr="001C61AE">
        <w:rPr>
          <w:rFonts w:ascii="Arial" w:hAnsi="Arial" w:cs="Arial"/>
          <w:lang w:val="sq-AL"/>
        </w:rPr>
        <w:t>Strategjia</w:t>
      </w:r>
      <w:r w:rsidRPr="001C61AE">
        <w:rPr>
          <w:rFonts w:ascii="Arial" w:hAnsi="Arial" w:cs="Arial"/>
          <w:lang w:val="sq-AL"/>
        </w:rPr>
        <w:t xml:space="preserve"> do të maksimizojë qëndrueshmërinë ndaj ndikimeve klimatike në të gjithë ekosistemet bujqësore dhe pyjore të vendit</w:t>
      </w:r>
      <w:r w:rsidR="00F25436" w:rsidRPr="001C61AE">
        <w:rPr>
          <w:rFonts w:ascii="Arial" w:hAnsi="Arial" w:cs="Arial"/>
          <w:lang w:val="sq-AL"/>
        </w:rPr>
        <w:t>.</w:t>
      </w:r>
    </w:p>
    <w:p w14:paraId="1F2B72D1" w14:textId="12479C9D" w:rsidR="005D3F18" w:rsidRPr="001C61AE" w:rsidRDefault="006267BD" w:rsidP="005D3F18">
      <w:pPr>
        <w:spacing w:line="240" w:lineRule="auto"/>
        <w:jc w:val="both"/>
        <w:rPr>
          <w:rFonts w:ascii="Arial" w:hAnsi="Arial" w:cs="Arial"/>
          <w:b/>
          <w:bCs/>
          <w:color w:val="0F4761"/>
          <w:lang w:val="sq-AL"/>
        </w:rPr>
      </w:pPr>
      <w:r w:rsidRPr="001C61AE">
        <w:rPr>
          <w:rFonts w:ascii="Arial" w:hAnsi="Arial" w:cs="Arial"/>
          <w:b/>
          <w:bCs/>
          <w:color w:val="0F4761"/>
          <w:lang w:val="sq-AL"/>
        </w:rPr>
        <w:t>Objektivat specifikë</w:t>
      </w:r>
    </w:p>
    <w:p w14:paraId="0CD31C30" w14:textId="6DF681AD" w:rsidR="00574277" w:rsidRPr="001C61AE" w:rsidRDefault="00862AC4">
      <w:pPr>
        <w:spacing w:line="240" w:lineRule="auto"/>
        <w:ind w:left="360"/>
        <w:jc w:val="both"/>
        <w:rPr>
          <w:rFonts w:ascii="Arial" w:hAnsi="Arial" w:cs="Arial"/>
          <w:b/>
          <w:bCs/>
          <w:color w:val="0F4761"/>
          <w:lang w:val="sq-AL"/>
        </w:rPr>
      </w:pPr>
      <w:r w:rsidRPr="001C61AE">
        <w:rPr>
          <w:rFonts w:ascii="Arial" w:hAnsi="Arial" w:cs="Arial"/>
          <w:b/>
          <w:bCs/>
          <w:color w:val="0F4761"/>
          <w:lang w:val="sq-AL"/>
        </w:rPr>
        <w:t>III</w:t>
      </w:r>
      <w:r w:rsidR="00574277" w:rsidRPr="001C61AE">
        <w:rPr>
          <w:rFonts w:ascii="Arial" w:hAnsi="Arial" w:cs="Arial"/>
          <w:b/>
          <w:bCs/>
          <w:color w:val="0F4761"/>
          <w:lang w:val="sq-AL"/>
        </w:rPr>
        <w:t>.</w:t>
      </w:r>
      <w:r w:rsidR="00164A65" w:rsidRPr="001C61AE">
        <w:rPr>
          <w:rFonts w:ascii="Arial" w:hAnsi="Arial" w:cs="Arial"/>
          <w:b/>
          <w:bCs/>
          <w:color w:val="0F4761"/>
          <w:lang w:val="sq-AL"/>
        </w:rPr>
        <w:t>3</w:t>
      </w:r>
      <w:r w:rsidR="000A6F64" w:rsidRPr="001C61AE">
        <w:rPr>
          <w:rFonts w:ascii="Arial" w:hAnsi="Arial" w:cs="Arial"/>
          <w:b/>
          <w:bCs/>
          <w:color w:val="0F4761"/>
          <w:lang w:val="sq-AL"/>
        </w:rPr>
        <w:t>1</w:t>
      </w:r>
      <w:r w:rsidR="00574277" w:rsidRPr="001C61AE">
        <w:rPr>
          <w:rFonts w:ascii="Arial" w:hAnsi="Arial" w:cs="Arial"/>
          <w:b/>
          <w:bCs/>
          <w:color w:val="0F4761"/>
          <w:lang w:val="sq-AL"/>
        </w:rPr>
        <w:t xml:space="preserve"> </w:t>
      </w:r>
      <w:r w:rsidR="00154494" w:rsidRPr="001C61AE">
        <w:rPr>
          <w:rFonts w:ascii="Arial" w:hAnsi="Arial" w:cs="Arial"/>
          <w:b/>
          <w:bCs/>
          <w:color w:val="0F4761"/>
          <w:lang w:val="sq-AL"/>
        </w:rPr>
        <w:t>Ulja e degradimit të tokës dhe erozionit përmes praktikave të qëndrueshme të menaxhimit (p.sh., ndërtimi i tarracave, mbjellja e bimësisë mbuluese).</w:t>
      </w:r>
    </w:p>
    <w:p w14:paraId="134C5D6A" w14:textId="56FCF638" w:rsidR="00B12DE0" w:rsidRPr="001C61AE" w:rsidRDefault="00154494" w:rsidP="008E17FD">
      <w:pPr>
        <w:spacing w:line="240" w:lineRule="auto"/>
        <w:jc w:val="both"/>
        <w:rPr>
          <w:rFonts w:ascii="Arial" w:hAnsi="Arial" w:cs="Arial"/>
          <w:lang w:val="sq-AL"/>
        </w:rPr>
      </w:pPr>
      <w:r w:rsidRPr="001C61AE">
        <w:rPr>
          <w:rFonts w:ascii="Arial" w:hAnsi="Arial" w:cs="Arial"/>
          <w:lang w:val="sq-AL"/>
        </w:rPr>
        <w:t>Adresimi i degradimit të tokës dhe erozionit është thelbësor për mbrojtjen e produktivitetit bujqësor dhe për uljen e rreziqeve nga fatkeqësitë natyrore të përshkallëzuara nga ndryshimet klimatike. Ky objektiv promovon bujqësinë konservuese dhe teknika të tjera të qëndrueshme të menaxhimit të tokës si tarracimi, lërimi në konture, teknikat e ruajtjes së ujit, kulturat mbuluese dhe brezat vegjetativë mbrojtës. Këto praktika ndihmojnë në stabilizimin e dheut, përmirësimin e infiltrimit dhe kapacitetit mbajtës të ujit në tokë, reduktimin e humbjes së sedimenteve gjatë reshjeve të dendura dhe rritjen e pjellorisë së tokës në afat të gjatë, duke u mundësuar fermerëve të ruajnë prodhimin përkundër variabilitetit të shtuar klimatik</w:t>
      </w:r>
      <w:r w:rsidR="00B12DE0" w:rsidRPr="001C61AE">
        <w:rPr>
          <w:rFonts w:ascii="Arial" w:hAnsi="Arial" w:cs="Arial"/>
          <w:lang w:val="sq-AL"/>
        </w:rPr>
        <w:t>.</w:t>
      </w:r>
    </w:p>
    <w:p w14:paraId="54B8AB96" w14:textId="24D9CA80" w:rsidR="00574277" w:rsidRPr="001C61AE" w:rsidRDefault="00862AC4">
      <w:pPr>
        <w:spacing w:line="240" w:lineRule="auto"/>
        <w:ind w:left="360"/>
        <w:jc w:val="both"/>
        <w:rPr>
          <w:rFonts w:ascii="Arial" w:hAnsi="Arial" w:cs="Arial"/>
          <w:b/>
          <w:bCs/>
          <w:color w:val="0F4761"/>
          <w:lang w:val="sq-AL"/>
        </w:rPr>
      </w:pPr>
      <w:r w:rsidRPr="001C61AE">
        <w:rPr>
          <w:rFonts w:ascii="Arial" w:hAnsi="Arial" w:cs="Arial"/>
          <w:b/>
          <w:bCs/>
          <w:color w:val="0F4761"/>
          <w:lang w:val="sq-AL"/>
        </w:rPr>
        <w:t>III</w:t>
      </w:r>
      <w:r w:rsidR="00574277" w:rsidRPr="001C61AE">
        <w:rPr>
          <w:rFonts w:ascii="Arial" w:hAnsi="Arial" w:cs="Arial"/>
          <w:b/>
          <w:bCs/>
          <w:color w:val="0F4761"/>
          <w:lang w:val="sq-AL"/>
        </w:rPr>
        <w:t>.3</w:t>
      </w:r>
      <w:r w:rsidR="000A6F64" w:rsidRPr="001C61AE">
        <w:rPr>
          <w:rFonts w:ascii="Arial" w:hAnsi="Arial" w:cs="Arial"/>
          <w:b/>
          <w:bCs/>
          <w:color w:val="0F4761"/>
          <w:lang w:val="sq-AL"/>
        </w:rPr>
        <w:t>2</w:t>
      </w:r>
      <w:r w:rsidR="00574277" w:rsidRPr="001C61AE">
        <w:rPr>
          <w:rFonts w:ascii="Arial" w:hAnsi="Arial" w:cs="Arial"/>
          <w:b/>
          <w:bCs/>
          <w:color w:val="0F4761"/>
          <w:lang w:val="sq-AL"/>
        </w:rPr>
        <w:t xml:space="preserve"> </w:t>
      </w:r>
      <w:r w:rsidR="00154494" w:rsidRPr="001C61AE">
        <w:rPr>
          <w:rFonts w:ascii="Arial" w:hAnsi="Arial" w:cs="Arial"/>
          <w:b/>
          <w:bCs/>
          <w:color w:val="0F4761"/>
          <w:lang w:val="sq-AL"/>
        </w:rPr>
        <w:t>Zgjerimi dhe përmirësimi i sipërfaqeve pyjore për të zvogëluar erozionin dhe rrezikun nga rrëshqitjet e dheut (ripyllëzimi, pyllëzimi i ri).</w:t>
      </w:r>
    </w:p>
    <w:p w14:paraId="6828F72D" w14:textId="019EDABB" w:rsidR="00DD21C6" w:rsidRPr="001C61AE" w:rsidRDefault="00FC4EF1" w:rsidP="008E17FD">
      <w:pPr>
        <w:spacing w:line="240" w:lineRule="auto"/>
        <w:jc w:val="both"/>
        <w:rPr>
          <w:rFonts w:ascii="Arial" w:hAnsi="Arial" w:cs="Arial"/>
          <w:lang w:val="sq-AL"/>
        </w:rPr>
      </w:pPr>
      <w:r w:rsidRPr="001C61AE">
        <w:rPr>
          <w:rFonts w:ascii="Arial" w:hAnsi="Arial" w:cs="Arial"/>
          <w:lang w:val="sq-AL"/>
        </w:rPr>
        <w:t>I ësht</w:t>
      </w:r>
      <w:r w:rsidRPr="001C61AE">
        <w:rPr>
          <w:rFonts w:ascii="Arial" w:hAnsi="Arial" w:cs="Arial"/>
          <w:lang w:eastAsia="ja-JP"/>
        </w:rPr>
        <w:t>ë dhënë</w:t>
      </w:r>
      <w:r w:rsidR="00154494" w:rsidRPr="001C61AE">
        <w:rPr>
          <w:rFonts w:ascii="Arial" w:hAnsi="Arial" w:cs="Arial"/>
          <w:lang w:val="sq-AL"/>
        </w:rPr>
        <w:t xml:space="preserve"> përparësi restaurimit të tokave të degraduara dhe të ndjeshme ndaj erozionit përmes ripyllëzimit dhe pyllëzimit të ri, për të stabilizuar shpatet, parandaluar rrëshqitjet e dheut dhe për të </w:t>
      </w:r>
      <w:r w:rsidR="00154494" w:rsidRPr="001C61AE">
        <w:rPr>
          <w:rFonts w:ascii="Arial" w:hAnsi="Arial" w:cs="Arial"/>
          <w:lang w:val="sq-AL"/>
        </w:rPr>
        <w:lastRenderedPageBreak/>
        <w:t>përmirësuar rimbushjen e ujërave nëntokësore. Si pjesë e këtij angazhimi, mbulesa pyjore mbrojtëse do të zgjerohet dhe menaxhohet përmes zgjidhjeve të bazuara në natyrë, si mbjellja e specieve vendore me rrënjë të thella, krijimi i brezave mbrojtës përreth lumenjve dhe pyjeve me shumë shtresa, që stabilizojnë tokën në mënyrë natyrore. Objektivi synon një rritje neto prej 3% të sipërfaqes pyjore deri në vitin 2030. Këto masa do të reduktojnë rreziqet nga përmbytjet në rrjedhat e poshtme dhe do të mbrojnë tokat bujqësore dhe vendbanimet nga erozioni, duke forcuar njëkohësisht qëndrueshmërinë në shkallë peizazhi</w:t>
      </w:r>
      <w:r w:rsidR="00DD21C6" w:rsidRPr="001C61AE">
        <w:rPr>
          <w:rFonts w:ascii="Arial" w:hAnsi="Arial" w:cs="Arial"/>
          <w:lang w:val="sq-AL"/>
        </w:rPr>
        <w:t>.</w:t>
      </w:r>
    </w:p>
    <w:p w14:paraId="1E2F2733" w14:textId="4639F7D9" w:rsidR="00574277" w:rsidRPr="001C61AE" w:rsidRDefault="00862AC4">
      <w:pPr>
        <w:spacing w:line="240" w:lineRule="auto"/>
        <w:ind w:left="360"/>
        <w:jc w:val="both"/>
        <w:rPr>
          <w:rFonts w:ascii="Arial" w:hAnsi="Arial" w:cs="Arial"/>
          <w:b/>
          <w:bCs/>
          <w:color w:val="0F4761"/>
          <w:lang w:val="sq-AL"/>
        </w:rPr>
      </w:pPr>
      <w:r w:rsidRPr="001C61AE">
        <w:rPr>
          <w:rFonts w:ascii="Arial" w:hAnsi="Arial" w:cs="Arial"/>
          <w:b/>
          <w:bCs/>
          <w:color w:val="0F4761"/>
          <w:lang w:val="sq-AL"/>
        </w:rPr>
        <w:t>III</w:t>
      </w:r>
      <w:r w:rsidR="00574277" w:rsidRPr="001C61AE">
        <w:rPr>
          <w:rFonts w:ascii="Arial" w:hAnsi="Arial" w:cs="Arial"/>
          <w:b/>
          <w:bCs/>
          <w:color w:val="0F4761"/>
          <w:lang w:val="sq-AL"/>
        </w:rPr>
        <w:t>.3</w:t>
      </w:r>
      <w:r w:rsidR="000A6F64" w:rsidRPr="001C61AE">
        <w:rPr>
          <w:rFonts w:ascii="Arial" w:hAnsi="Arial" w:cs="Arial"/>
          <w:b/>
          <w:bCs/>
          <w:color w:val="0F4761"/>
          <w:lang w:val="sq-AL"/>
        </w:rPr>
        <w:t>3</w:t>
      </w:r>
      <w:r w:rsidR="00574277" w:rsidRPr="001C61AE">
        <w:rPr>
          <w:rFonts w:ascii="Arial" w:hAnsi="Arial" w:cs="Arial"/>
          <w:b/>
          <w:bCs/>
          <w:color w:val="0F4761"/>
          <w:lang w:val="sq-AL"/>
        </w:rPr>
        <w:t xml:space="preserve"> </w:t>
      </w:r>
      <w:r w:rsidR="00154494" w:rsidRPr="001C61AE">
        <w:rPr>
          <w:rFonts w:ascii="Arial" w:hAnsi="Arial" w:cs="Arial"/>
          <w:b/>
          <w:bCs/>
          <w:color w:val="0F4761"/>
          <w:lang w:val="sq-AL"/>
        </w:rPr>
        <w:t>Forcimi i menaxhimit të qëndrueshëm të pyjeve dhe ruajtjes së biodiversitetit (plane të menaxhimit përshtatës)</w:t>
      </w:r>
    </w:p>
    <w:p w14:paraId="6CC90F21" w14:textId="44030162" w:rsidR="00B12DE0" w:rsidRPr="001C61AE" w:rsidRDefault="00154494" w:rsidP="008E17FD">
      <w:pPr>
        <w:spacing w:line="240" w:lineRule="auto"/>
        <w:jc w:val="both"/>
        <w:rPr>
          <w:rFonts w:ascii="Arial" w:hAnsi="Arial" w:cs="Arial"/>
          <w:lang w:val="sq-AL"/>
        </w:rPr>
      </w:pPr>
      <w:r w:rsidRPr="001C61AE">
        <w:rPr>
          <w:rFonts w:ascii="Arial" w:hAnsi="Arial" w:cs="Arial"/>
          <w:lang w:val="sq-AL"/>
        </w:rPr>
        <w:t xml:space="preserve">Ruajtja e shëndetit të pyjeve dhe biodiversitetit është një komponent kyç i strategjisë së adaptimit të Kosovës. Ky objektiv parasheh zbatimin e planeve </w:t>
      </w:r>
      <w:r w:rsidR="000B7402" w:rsidRPr="001C61AE">
        <w:rPr>
          <w:rFonts w:ascii="Arial" w:hAnsi="Arial" w:cs="Arial"/>
          <w:lang w:val="sq-AL"/>
        </w:rPr>
        <w:t>përshtat</w:t>
      </w:r>
      <w:r w:rsidR="000B7402" w:rsidRPr="001C61AE">
        <w:rPr>
          <w:rFonts w:ascii="Arial" w:hAnsi="Arial" w:cs="Arial"/>
          <w:lang w:eastAsia="ja-JP"/>
        </w:rPr>
        <w:t>ëse</w:t>
      </w:r>
      <w:r w:rsidR="000B7402" w:rsidRPr="001C61AE">
        <w:rPr>
          <w:rFonts w:ascii="Arial" w:hAnsi="Arial" w:cs="Arial"/>
          <w:lang w:val="sq-AL"/>
        </w:rPr>
        <w:t xml:space="preserve"> </w:t>
      </w:r>
      <w:r w:rsidRPr="001C61AE">
        <w:rPr>
          <w:rFonts w:ascii="Arial" w:hAnsi="Arial" w:cs="Arial"/>
          <w:lang w:val="sq-AL"/>
        </w:rPr>
        <w:t>dhe shumëfunksionale të menaxhimit pyjor që përfshijnë mbrojtjen e biodiversitetit, kontrollin e rreziqeve nga sëmundjet, praktikat e shfrytëzimit të qëndrueshëm dhe funksione të tjera si ruajtja e tokës dhe ujit, rekreacioni dhe mirëqenia e komuniteteve. Monitorimi i përmirësuar dhe zbatimi i rreptë kundër prerjeve të paligjshme do të sigurojnë qëndrueshmërinë afatgjatë të ekosistemeve pyjore, ndërsa planifikimi silvikulturor do të përshtatet me stresorët klimatikë në ndryshim si thatësira apo shpërthimet e sëmundjeve</w:t>
      </w:r>
      <w:r w:rsidR="00B12DE0" w:rsidRPr="001C61AE">
        <w:rPr>
          <w:rFonts w:ascii="Arial" w:hAnsi="Arial" w:cs="Arial"/>
          <w:lang w:val="sq-AL"/>
        </w:rPr>
        <w:t>.</w:t>
      </w:r>
    </w:p>
    <w:p w14:paraId="1FAEC0F3" w14:textId="38E6175A" w:rsidR="00574277" w:rsidRPr="001C61AE" w:rsidRDefault="00862AC4" w:rsidP="00574277">
      <w:pPr>
        <w:spacing w:line="240" w:lineRule="auto"/>
        <w:ind w:firstLine="360"/>
        <w:jc w:val="both"/>
        <w:rPr>
          <w:rFonts w:ascii="Arial" w:hAnsi="Arial" w:cs="Arial"/>
          <w:b/>
          <w:bCs/>
          <w:color w:val="0F4761"/>
          <w:lang w:val="sq-AL"/>
        </w:rPr>
      </w:pPr>
      <w:r w:rsidRPr="001C61AE">
        <w:rPr>
          <w:rFonts w:ascii="Arial" w:hAnsi="Arial" w:cs="Arial"/>
          <w:b/>
          <w:bCs/>
          <w:color w:val="0F4761"/>
          <w:lang w:val="sq-AL"/>
        </w:rPr>
        <w:t>III</w:t>
      </w:r>
      <w:r w:rsidR="00574277" w:rsidRPr="001C61AE">
        <w:rPr>
          <w:rFonts w:ascii="Arial" w:hAnsi="Arial" w:cs="Arial"/>
          <w:b/>
          <w:bCs/>
          <w:color w:val="0F4761"/>
          <w:lang w:val="sq-AL"/>
        </w:rPr>
        <w:t>.3</w:t>
      </w:r>
      <w:r w:rsidR="000A6F64" w:rsidRPr="001C61AE">
        <w:rPr>
          <w:rFonts w:ascii="Arial" w:hAnsi="Arial" w:cs="Arial"/>
          <w:b/>
          <w:bCs/>
          <w:color w:val="0F4761"/>
          <w:lang w:val="sq-AL"/>
        </w:rPr>
        <w:t>4</w:t>
      </w:r>
      <w:r w:rsidR="00574277" w:rsidRPr="001C61AE">
        <w:rPr>
          <w:rFonts w:ascii="Arial" w:hAnsi="Arial" w:cs="Arial"/>
          <w:b/>
          <w:bCs/>
          <w:color w:val="0F4761"/>
          <w:lang w:val="sq-AL"/>
        </w:rPr>
        <w:t xml:space="preserve"> </w:t>
      </w:r>
      <w:r w:rsidR="005001EB" w:rsidRPr="001C61AE">
        <w:rPr>
          <w:rFonts w:ascii="Arial" w:hAnsi="Arial" w:cs="Arial"/>
          <w:b/>
          <w:bCs/>
          <w:color w:val="0F4761"/>
          <w:lang w:val="sq-AL"/>
        </w:rPr>
        <w:t xml:space="preserve">Strengthen Capacity to Reduce the Risk and Impact of Forest Wildfires </w:t>
      </w:r>
      <w:r w:rsidR="00491457" w:rsidRPr="001C61AE">
        <w:rPr>
          <w:rFonts w:ascii="Arial" w:hAnsi="Arial" w:cs="Arial"/>
          <w:b/>
          <w:bCs/>
          <w:color w:val="0F4761"/>
          <w:lang w:val="sq-AL"/>
        </w:rPr>
        <w:t>(prevention, preparedness</w:t>
      </w:r>
      <w:r w:rsidR="005001EB" w:rsidRPr="001C61AE">
        <w:rPr>
          <w:rFonts w:ascii="Arial" w:hAnsi="Arial" w:cs="Arial"/>
          <w:b/>
          <w:bCs/>
          <w:color w:val="0F4761"/>
          <w:lang w:val="sq-AL"/>
        </w:rPr>
        <w:t xml:space="preserve"> and </w:t>
      </w:r>
      <w:r w:rsidR="00491457" w:rsidRPr="001C61AE">
        <w:rPr>
          <w:rFonts w:ascii="Arial" w:hAnsi="Arial" w:cs="Arial"/>
          <w:b/>
          <w:bCs/>
          <w:color w:val="0F4761"/>
          <w:lang w:val="sq-AL"/>
        </w:rPr>
        <w:t>response)</w:t>
      </w:r>
    </w:p>
    <w:p w14:paraId="7634DCCD" w14:textId="4E8C2D3D" w:rsidR="00574277" w:rsidRPr="001C61AE" w:rsidRDefault="00154494" w:rsidP="008E17FD">
      <w:pPr>
        <w:spacing w:line="240" w:lineRule="auto"/>
        <w:jc w:val="both"/>
        <w:rPr>
          <w:rFonts w:ascii="Arial" w:hAnsi="Arial" w:cs="Arial"/>
          <w:lang w:val="sq-AL"/>
        </w:rPr>
      </w:pPr>
      <w:r w:rsidRPr="001C61AE">
        <w:rPr>
          <w:rFonts w:ascii="Arial" w:hAnsi="Arial" w:cs="Arial"/>
          <w:lang w:val="sq-AL"/>
        </w:rPr>
        <w:t>Me rritjen e temperaturave dhe zgjatjen e stinëve të thata, rreziku nga zjarret pyjore po shtohet ndjeshëm. Kosova është duke forcuar kapacitetet e saj për parandalim, zbulim dhe reagim ndaj zjarreve. Ky objektiv përfshin zhvillimin e sistemeve të hershme të paralajmërimit, plane të përgatitjes në nivel komunitar dhe aftësi të shpejta për reagim. Investimet në korridore mbrojtëse nga zjarret, infrastrukturë për monitorim dhe trajnime të specializuara do të përforcojnë</w:t>
      </w:r>
      <w:r w:rsidR="000B7402" w:rsidRPr="001C61AE">
        <w:rPr>
          <w:rFonts w:ascii="Arial" w:hAnsi="Arial" w:cs="Arial"/>
          <w:lang w:val="sq-AL"/>
        </w:rPr>
        <w:t xml:space="preserve"> kapacitetin</w:t>
      </w:r>
      <w:r w:rsidRPr="001C61AE">
        <w:rPr>
          <w:rFonts w:ascii="Arial" w:hAnsi="Arial" w:cs="Arial"/>
          <w:lang w:val="sq-AL"/>
        </w:rPr>
        <w:t xml:space="preserve"> e vendit për të menaxhuar zjarret në mënyrë efektive, duke ulur frekuencën dhe ashpërsinë e tyre, si dhe duke mbrojtur ekosistemet pyjore dhe komunitetet përreth nga rreziqet klimatike</w:t>
      </w:r>
      <w:r w:rsidR="005001EB" w:rsidRPr="001C61AE">
        <w:rPr>
          <w:rFonts w:ascii="Arial" w:hAnsi="Arial" w:cs="Arial"/>
          <w:lang w:val="sq-AL"/>
        </w:rPr>
        <w:t>.</w:t>
      </w:r>
    </w:p>
    <w:p w14:paraId="67DD7D6B" w14:textId="4035ECE2" w:rsidR="001D4FA1" w:rsidRPr="001C61AE" w:rsidRDefault="000B7402" w:rsidP="00233010">
      <w:pPr>
        <w:pStyle w:val="Heading3"/>
        <w:rPr>
          <w:rFonts w:ascii="Arial" w:hAnsi="Arial" w:cs="Arial"/>
          <w:lang w:val="sq-AL"/>
        </w:rPr>
      </w:pPr>
      <w:bookmarkStart w:id="85" w:name="_Toc211532710"/>
      <w:r w:rsidRPr="001C61AE">
        <w:rPr>
          <w:rFonts w:ascii="Arial" w:hAnsi="Arial" w:cs="Arial"/>
          <w:lang w:val="sq-AL"/>
        </w:rPr>
        <w:t>F</w:t>
      </w:r>
      <w:r w:rsidR="00B15518" w:rsidRPr="001C61AE">
        <w:rPr>
          <w:rFonts w:ascii="Arial" w:hAnsi="Arial" w:cs="Arial"/>
          <w:lang w:val="sq-AL"/>
        </w:rPr>
        <w:t>orcimi</w:t>
      </w:r>
      <w:r w:rsidRPr="001C61AE">
        <w:rPr>
          <w:rFonts w:ascii="Arial" w:hAnsi="Arial" w:cs="Arial"/>
          <w:lang w:val="sq-AL"/>
        </w:rPr>
        <w:t xml:space="preserve"> i sistemeve të paralajmërimit të hershëm për fermerët</w:t>
      </w:r>
      <w:bookmarkEnd w:id="85"/>
    </w:p>
    <w:p w14:paraId="576DADAC" w14:textId="77777777" w:rsidR="00555027" w:rsidRPr="001C61AE" w:rsidRDefault="00555027" w:rsidP="00555027">
      <w:pPr>
        <w:spacing w:line="240" w:lineRule="auto"/>
        <w:jc w:val="both"/>
        <w:rPr>
          <w:rFonts w:ascii="Arial" w:hAnsi="Arial" w:cs="Arial"/>
          <w:lang w:val="sq-AL"/>
        </w:rPr>
      </w:pPr>
      <w:r w:rsidRPr="001C61AE">
        <w:rPr>
          <w:rFonts w:ascii="Arial" w:hAnsi="Arial" w:cs="Arial"/>
          <w:lang w:val="sq-AL"/>
        </w:rPr>
        <w:t>Përmirësimi i sistemeve të paralajmërimit të hershëm në Kosovë për thatësira, përmbytje, rreziqe nga sëmundjet dhe zjarret në pyje është thelbësor për ndërtimin e kapaciteteve të adaptimit dhe zvogëlimin e humbjeve nga ndryshimet klimatike në sektorët e bujqësisë dhe pylltarisë. Forcimi i këtyre kapaciteteve do të mundësojë vendimmarrje të informuar dhe veprime të hershme për parandalim dhe zbutje të rrezikut, duke fuqizuar fermerët, pylltarët dhe komunitetet rurale të përballen me pasojat e klimës me më shumë qëndrueshmëri.</w:t>
      </w:r>
    </w:p>
    <w:p w14:paraId="25AC74AE" w14:textId="241308C8" w:rsidR="00555027" w:rsidRPr="001C61AE" w:rsidRDefault="00555027" w:rsidP="00555027">
      <w:pPr>
        <w:spacing w:line="240" w:lineRule="auto"/>
        <w:jc w:val="both"/>
        <w:rPr>
          <w:rFonts w:ascii="Arial" w:hAnsi="Arial" w:cs="Arial"/>
          <w:lang w:val="sq-AL"/>
        </w:rPr>
      </w:pPr>
      <w:r w:rsidRPr="001C61AE">
        <w:rPr>
          <w:rFonts w:ascii="Arial" w:hAnsi="Arial" w:cs="Arial"/>
          <w:lang w:val="sq-AL"/>
        </w:rPr>
        <w:t xml:space="preserve">Do të zhvillohet një sistem i plotë për paralajmërim të hershëm për thatësira, i integruar në kuadrot kombëtare për menaxhimin e klimës dhe burimeve ujore. Ky sistem do të mbështetet në infrastrukturë të përmirësuar monitoruese, rrjet më të gjerë hidrometeorologjik dhe modelim të avancuar parashikues, duke ofruar sinjale të hershme për ndryshimet klimatike dhe ndihmuar fermerët të bëjnë rregullime të shpejta në praktikat bujqësore, oraret e ujitjes dhe planifikimin e </w:t>
      </w:r>
      <w:r w:rsidR="000B7402" w:rsidRPr="001C61AE">
        <w:rPr>
          <w:rFonts w:ascii="Arial" w:hAnsi="Arial" w:cs="Arial"/>
          <w:lang w:val="sq-AL"/>
        </w:rPr>
        <w:t xml:space="preserve"> shpërndarjes së</w:t>
      </w:r>
      <w:r w:rsidRPr="001C61AE">
        <w:rPr>
          <w:rFonts w:ascii="Arial" w:hAnsi="Arial" w:cs="Arial"/>
          <w:lang w:val="sq-AL"/>
        </w:rPr>
        <w:t xml:space="preserve"> ujit. Shërbimet këshillimore të përshtatura do të mbështesin përzgjedhjen e kulturave dhe kalendarët e mbjelljes, duke zvogëluar humbjet dhe ruajtur të ardhurat e fshatrave.</w:t>
      </w:r>
    </w:p>
    <w:p w14:paraId="6404FED7" w14:textId="77777777" w:rsidR="00555027" w:rsidRPr="001C61AE" w:rsidRDefault="00555027" w:rsidP="00555027">
      <w:pPr>
        <w:spacing w:line="240" w:lineRule="auto"/>
        <w:jc w:val="both"/>
        <w:rPr>
          <w:rFonts w:ascii="Arial" w:hAnsi="Arial" w:cs="Arial"/>
          <w:lang w:val="sq-AL"/>
        </w:rPr>
      </w:pPr>
      <w:r w:rsidRPr="001C61AE">
        <w:rPr>
          <w:rFonts w:ascii="Arial" w:hAnsi="Arial" w:cs="Arial"/>
          <w:lang w:val="sq-AL"/>
        </w:rPr>
        <w:t>Investime të ngjashme do të përforcojnë sistemet e paralajmërimit për përmbytje në zonat bujqësore, duke u mbështetur në Vlerësimet Paraprake të Rrezikut nga Përmbytjet dhe hartat ekzistuese të rrezikut. Do të zhvillohen protokolle komunikimi, plane kontingjente në nivel komunash dhe programe trajnimi për fermerët në zonat me rrezik të lartë. Këto masa do të ndihmojnë në dhënien e paralajmërimeve në kohë dhe në mbrojtjen e prodhimit bujqësor, infrastrukturës dhe jetesës rurale nga ndërprerjet e shkaktuara nga përmbytjet.</w:t>
      </w:r>
    </w:p>
    <w:p w14:paraId="49CAF2CC" w14:textId="7155AF04" w:rsidR="00F25436" w:rsidRPr="001C61AE" w:rsidRDefault="00555027" w:rsidP="00F25436">
      <w:pPr>
        <w:spacing w:line="240" w:lineRule="auto"/>
        <w:jc w:val="both"/>
        <w:rPr>
          <w:rFonts w:ascii="Arial" w:hAnsi="Arial" w:cs="Arial"/>
          <w:lang w:val="sq-AL"/>
        </w:rPr>
      </w:pPr>
      <w:r w:rsidRPr="001C61AE">
        <w:rPr>
          <w:rFonts w:ascii="Arial" w:hAnsi="Arial" w:cs="Arial"/>
          <w:lang w:val="sq-AL"/>
        </w:rPr>
        <w:t xml:space="preserve">Gjithashtu, do të rriten ndjeshëm kapacitetet për monitorim dhe reagim të shpejtë ndaj zjarreve në pyje. </w:t>
      </w:r>
      <w:r w:rsidR="00FC4EF1" w:rsidRPr="001C61AE">
        <w:rPr>
          <w:rFonts w:ascii="Arial" w:hAnsi="Arial" w:cs="Arial"/>
          <w:lang w:val="sq-AL"/>
        </w:rPr>
        <w:t>D</w:t>
      </w:r>
      <w:r w:rsidRPr="001C61AE">
        <w:rPr>
          <w:rFonts w:ascii="Arial" w:hAnsi="Arial" w:cs="Arial"/>
          <w:lang w:val="sq-AL"/>
        </w:rPr>
        <w:t>o të zbato</w:t>
      </w:r>
      <w:r w:rsidR="00FC4EF1" w:rsidRPr="001C61AE">
        <w:rPr>
          <w:rFonts w:ascii="Arial" w:hAnsi="Arial" w:cs="Arial"/>
          <w:lang w:val="sq-AL"/>
        </w:rPr>
        <w:t xml:space="preserve">het </w:t>
      </w:r>
      <w:r w:rsidRPr="001C61AE">
        <w:rPr>
          <w:rFonts w:ascii="Arial" w:hAnsi="Arial" w:cs="Arial"/>
          <w:lang w:val="sq-AL"/>
        </w:rPr>
        <w:t xml:space="preserve"> një Plan Kombëtar për Menaxhimin e Zjarreve, i cili do të integrojë metoda të avancuara të vëzhgimit, përfshirë sensorët në distancë, vëzhgimet komunitare me kulla vrojtimi dhe patrulla tokësore, së bashku me një kapacitet lokal të mirëtrajnuar për </w:t>
      </w:r>
      <w:r w:rsidR="000B7402" w:rsidRPr="001C61AE">
        <w:rPr>
          <w:rFonts w:ascii="Arial" w:hAnsi="Arial" w:cs="Arial"/>
          <w:lang w:val="sq-AL"/>
        </w:rPr>
        <w:t xml:space="preserve">fikje </w:t>
      </w:r>
      <w:r w:rsidRPr="001C61AE">
        <w:rPr>
          <w:rFonts w:ascii="Arial" w:hAnsi="Arial" w:cs="Arial"/>
          <w:lang w:val="sq-AL"/>
        </w:rPr>
        <w:t>të zjarreve. Masat parandaluese si menaxhimi i biomasës së thatë, ndërtimi i korridoreve kundër zjarrit dhe fushatat e vetëdijes publike do të plotësojnë zbulimin dhe reagimin, duke</w:t>
      </w:r>
      <w:r w:rsidR="00D25E3D" w:rsidRPr="001C61AE">
        <w:rPr>
          <w:rFonts w:ascii="Arial" w:hAnsi="Arial" w:cs="Arial"/>
          <w:color w:val="FF0000"/>
          <w:lang w:val="sq-AL"/>
        </w:rPr>
        <w:t xml:space="preserve"> </w:t>
      </w:r>
      <w:r w:rsidR="000B7402" w:rsidRPr="001C61AE">
        <w:rPr>
          <w:rFonts w:ascii="Arial" w:hAnsi="Arial" w:cs="Arial"/>
          <w:lang w:val="sq-AL"/>
        </w:rPr>
        <w:t xml:space="preserve">zvogëluar </w:t>
      </w:r>
      <w:r w:rsidRPr="001C61AE">
        <w:rPr>
          <w:rFonts w:ascii="Arial" w:hAnsi="Arial" w:cs="Arial"/>
          <w:lang w:val="sq-AL"/>
        </w:rPr>
        <w:t>frekuencën dhe ashpërsinë e zjarreve katastrofike dhe mbrojtur ekosistemet pyjore dhe jetesën e komuniteteve përreth</w:t>
      </w:r>
      <w:r w:rsidR="00F25436" w:rsidRPr="001C61AE">
        <w:rPr>
          <w:rFonts w:ascii="Arial" w:hAnsi="Arial" w:cs="Arial"/>
          <w:lang w:val="sq-AL"/>
        </w:rPr>
        <w:t>.</w:t>
      </w:r>
    </w:p>
    <w:p w14:paraId="2CBB4BF8" w14:textId="3FB2C6BD" w:rsidR="00555027" w:rsidRPr="001C61AE" w:rsidRDefault="00555027" w:rsidP="00555027">
      <w:pPr>
        <w:spacing w:line="240" w:lineRule="auto"/>
        <w:jc w:val="both"/>
        <w:rPr>
          <w:rFonts w:ascii="Arial" w:hAnsi="Arial" w:cs="Arial"/>
          <w:lang w:val="sq-AL"/>
        </w:rPr>
      </w:pPr>
      <w:r w:rsidRPr="001C61AE">
        <w:rPr>
          <w:rFonts w:ascii="Arial" w:hAnsi="Arial" w:cs="Arial"/>
          <w:lang w:val="sq-AL"/>
        </w:rPr>
        <w:lastRenderedPageBreak/>
        <w:t>Do të krijohet gjithashtu një sistem kombëtar për të përmirësuar zbulimin e hershëm dhe reagimin e shpejtë ndaj rreziqeve të sëmundjeve bujqësore dhe pyjore. Kjo do të përfshijë zhvillimin e rrjeteve të mbikëqyrjes, infrastrukturës diagnostikuese, platformave të alarmit celular dhe shërbimeve të ekstensionit për fermerët. Ekipet e ndërhyrjes së shpejtë do të mobilizohen për të përmbajtur shpërthimet, ndërsa koordinimi midis institucioneve do të sigurojë që paralajmërimi i hershëm të përkthehet në veprime të hershme dhe efektive në terren.</w:t>
      </w:r>
    </w:p>
    <w:p w14:paraId="3EF36DC5" w14:textId="6307DCE9" w:rsidR="00555027" w:rsidRPr="001C61AE" w:rsidRDefault="00555027" w:rsidP="00555027">
      <w:pPr>
        <w:spacing w:line="240" w:lineRule="auto"/>
        <w:jc w:val="both"/>
        <w:rPr>
          <w:rFonts w:ascii="Arial" w:hAnsi="Arial" w:cs="Arial"/>
          <w:lang w:val="sq-AL"/>
        </w:rPr>
      </w:pPr>
      <w:r w:rsidRPr="001C61AE">
        <w:rPr>
          <w:rFonts w:ascii="Arial" w:hAnsi="Arial" w:cs="Arial"/>
          <w:lang w:val="sq-AL"/>
        </w:rPr>
        <w:t>Koordinimi institucional do të forcohet për të siguruar që sistemet e paralajmërimit të hershëm të jenë efektive dhe në kohë. Bashkëpunimi i ngushtë midis Ministrisë së Bujqësisë, Pylltarisë dhe Zhvillimit Rural (MBPZHR), Agjencisë Pyjore të Kosovës, Institutit Hidrometeorologjik, Agjencisë së Menaxhimit të Emergjencave, komunave dhe komuniteteve lokale do të sigurojë që informacioni mbi rrezikun klimatik dhe planet e reagimit ndaj emergjencave të jenë gjithëpërfshirëse, të integruara dhe të zbatueshme në të gjitha nivelet.</w:t>
      </w:r>
    </w:p>
    <w:p w14:paraId="1BC6F530" w14:textId="446DCE8D" w:rsidR="00555027" w:rsidRPr="001C61AE" w:rsidRDefault="00555027" w:rsidP="00555027">
      <w:pPr>
        <w:spacing w:line="240" w:lineRule="auto"/>
        <w:jc w:val="both"/>
        <w:rPr>
          <w:rFonts w:ascii="Arial" w:hAnsi="Arial" w:cs="Arial"/>
          <w:lang w:val="sq-AL"/>
        </w:rPr>
      </w:pPr>
      <w:r w:rsidRPr="001C61AE">
        <w:rPr>
          <w:rFonts w:ascii="Arial" w:hAnsi="Arial" w:cs="Arial"/>
          <w:lang w:val="sq-AL"/>
        </w:rPr>
        <w:t xml:space="preserve">Së fundmi, </w:t>
      </w:r>
      <w:r w:rsidR="00BE39C7" w:rsidRPr="001C61AE">
        <w:rPr>
          <w:rFonts w:ascii="Arial" w:hAnsi="Arial" w:cs="Arial"/>
          <w:lang w:val="sq-AL"/>
        </w:rPr>
        <w:t>Strategjia</w:t>
      </w:r>
      <w:r w:rsidRPr="001C61AE">
        <w:rPr>
          <w:rFonts w:ascii="Arial" w:hAnsi="Arial" w:cs="Arial"/>
          <w:lang w:val="sq-AL"/>
        </w:rPr>
        <w:t xml:space="preserve"> e përshtatjes së Kosovës thekson qasjet ndërsektoriale, të bazuara në ekosistem, ndaj rezistencës ndaj klimës. Duke shfrytëzuar zgjidhjet e bazuara në natyrë, të tilla si ruajtja e ligatinave, restaurimi i fushave të përmbytjeve të degraduara, promovimi i agropylltarisë dhe ruajtja e kullotave dhe pyjeve malore të shëndetshme,  do të </w:t>
      </w:r>
      <w:r w:rsidR="00FC4EF1" w:rsidRPr="001C61AE">
        <w:rPr>
          <w:rFonts w:ascii="Arial" w:hAnsi="Arial" w:cs="Arial"/>
          <w:lang w:val="sq-AL"/>
        </w:rPr>
        <w:t xml:space="preserve">zgjerojmë </w:t>
      </w:r>
      <w:r w:rsidRPr="001C61AE">
        <w:rPr>
          <w:rFonts w:ascii="Arial" w:hAnsi="Arial" w:cs="Arial"/>
          <w:lang w:val="sq-AL"/>
        </w:rPr>
        <w:t xml:space="preserve"> kapacitetin </w:t>
      </w:r>
      <w:r w:rsidR="000B7402" w:rsidRPr="001C61AE">
        <w:rPr>
          <w:rFonts w:ascii="Arial" w:hAnsi="Arial" w:cs="Arial"/>
          <w:lang w:val="sq-AL"/>
        </w:rPr>
        <w:t xml:space="preserve">përshtatës </w:t>
      </w:r>
      <w:r w:rsidRPr="001C61AE">
        <w:rPr>
          <w:rFonts w:ascii="Arial" w:hAnsi="Arial" w:cs="Arial"/>
          <w:lang w:val="sq-AL"/>
        </w:rPr>
        <w:t>të sistemeve natyrore dhe njerëzore. Këto zgjidhje do të zbutin ndikimet klimatike, do të mbrojnë biodiversitetin, do të stabilizojnë peizazhet dhe do të mbështesin shërbimet kritike të ekosistemit që mbështesin bujqësinë, pylltarinë dhe jetesën rurale.</w:t>
      </w:r>
    </w:p>
    <w:p w14:paraId="00971CDF" w14:textId="4399DC73" w:rsidR="00F25436" w:rsidRPr="001C61AE" w:rsidRDefault="00555027" w:rsidP="00555027">
      <w:pPr>
        <w:spacing w:line="240" w:lineRule="auto"/>
        <w:jc w:val="both"/>
        <w:rPr>
          <w:rFonts w:ascii="Arial" w:hAnsi="Arial" w:cs="Arial"/>
          <w:lang w:val="sq-AL"/>
        </w:rPr>
      </w:pPr>
      <w:r w:rsidRPr="001C61AE">
        <w:rPr>
          <w:rFonts w:ascii="Arial" w:hAnsi="Arial" w:cs="Arial"/>
          <w:lang w:val="sq-AL"/>
        </w:rPr>
        <w:t xml:space="preserve">Masa të tilla përshtatjeje të bazuara në ekosistem do të angazhojnë në mënyrë aktive komunitetet lokale, duke promovuar kujdestarinë, praktikat e qëndrueshme të përdorimit të tokës dhe përpjekjet e ruajtjes të udhëhequra nga komuniteti. Përmes qasjeve të integruara dhe holistike që marrin në konsideratë peizazhe të tëra, </w:t>
      </w:r>
      <w:r w:rsidR="00F53052" w:rsidRPr="001C61AE">
        <w:rPr>
          <w:rFonts w:ascii="Arial" w:hAnsi="Arial" w:cs="Arial"/>
          <w:lang w:val="sq-AL"/>
        </w:rPr>
        <w:t>synojmë</w:t>
      </w:r>
      <w:r w:rsidRPr="001C61AE">
        <w:rPr>
          <w:rFonts w:ascii="Arial" w:hAnsi="Arial" w:cs="Arial"/>
          <w:lang w:val="sq-AL"/>
        </w:rPr>
        <w:t xml:space="preserve"> të ndërtoj</w:t>
      </w:r>
      <w:r w:rsidR="00F53052" w:rsidRPr="001C61AE">
        <w:rPr>
          <w:rFonts w:ascii="Arial" w:hAnsi="Arial" w:cs="Arial"/>
          <w:lang w:val="sq-AL"/>
        </w:rPr>
        <w:t>m</w:t>
      </w:r>
      <w:r w:rsidRPr="001C61AE">
        <w:rPr>
          <w:rFonts w:ascii="Arial" w:hAnsi="Arial" w:cs="Arial"/>
          <w:lang w:val="sq-AL"/>
        </w:rPr>
        <w:t>ë sisteme të qëndrueshme bujqësore dhe pyjore të afta për t'u përshtatur me sfidat dhe pasiguritë e paraqitura nga ndryshimet klimatike</w:t>
      </w:r>
      <w:r w:rsidR="00F25436" w:rsidRPr="001C61AE">
        <w:rPr>
          <w:rFonts w:ascii="Arial" w:hAnsi="Arial" w:cs="Arial"/>
          <w:lang w:val="sq-AL"/>
        </w:rPr>
        <w:t>.</w:t>
      </w:r>
    </w:p>
    <w:p w14:paraId="41791876" w14:textId="588D7664" w:rsidR="001D4FA1" w:rsidRPr="001C61AE" w:rsidRDefault="006267BD" w:rsidP="001D4FA1">
      <w:pPr>
        <w:spacing w:line="240" w:lineRule="auto"/>
        <w:rPr>
          <w:rFonts w:ascii="Arial" w:hAnsi="Arial" w:cs="Arial"/>
          <w:b/>
          <w:bCs/>
          <w:lang w:val="sq-AL"/>
        </w:rPr>
      </w:pPr>
      <w:r w:rsidRPr="001C61AE">
        <w:rPr>
          <w:rFonts w:ascii="Arial" w:hAnsi="Arial" w:cs="Arial"/>
          <w:b/>
          <w:bCs/>
          <w:color w:val="0F4761"/>
          <w:lang w:val="sq-AL"/>
        </w:rPr>
        <w:t>Objektivi specifikë</w:t>
      </w:r>
      <w:r w:rsidR="001D4FA1" w:rsidRPr="001C61AE">
        <w:rPr>
          <w:rFonts w:ascii="Arial" w:hAnsi="Arial" w:cs="Arial"/>
          <w:b/>
          <w:bCs/>
          <w:lang w:val="sq-AL"/>
        </w:rPr>
        <w:t xml:space="preserve"> </w:t>
      </w:r>
    </w:p>
    <w:p w14:paraId="393E83CF" w14:textId="00AB10D5" w:rsidR="00491457" w:rsidRPr="001C61AE" w:rsidRDefault="00862AC4" w:rsidP="00491457">
      <w:pPr>
        <w:spacing w:line="240" w:lineRule="auto"/>
        <w:ind w:firstLine="708"/>
        <w:jc w:val="both"/>
        <w:rPr>
          <w:rFonts w:ascii="Arial" w:hAnsi="Arial" w:cs="Arial"/>
          <w:b/>
          <w:bCs/>
          <w:color w:val="0F4761"/>
          <w:lang w:val="sq-AL"/>
        </w:rPr>
      </w:pPr>
      <w:r w:rsidRPr="001C61AE">
        <w:rPr>
          <w:rFonts w:ascii="Arial" w:hAnsi="Arial" w:cs="Arial"/>
          <w:b/>
          <w:bCs/>
          <w:color w:val="0F4761"/>
          <w:lang w:val="sq-AL"/>
        </w:rPr>
        <w:t>III</w:t>
      </w:r>
      <w:r w:rsidR="00491457" w:rsidRPr="001C61AE">
        <w:rPr>
          <w:rFonts w:ascii="Arial" w:hAnsi="Arial" w:cs="Arial"/>
          <w:b/>
          <w:bCs/>
          <w:color w:val="0F4761"/>
          <w:lang w:val="sq-AL"/>
        </w:rPr>
        <w:t>.3</w:t>
      </w:r>
      <w:r w:rsidR="000A6F64" w:rsidRPr="001C61AE">
        <w:rPr>
          <w:rFonts w:ascii="Arial" w:hAnsi="Arial" w:cs="Arial"/>
          <w:b/>
          <w:bCs/>
          <w:color w:val="0F4761"/>
          <w:lang w:val="sq-AL"/>
        </w:rPr>
        <w:t>5</w:t>
      </w:r>
      <w:r w:rsidR="00491457" w:rsidRPr="001C61AE">
        <w:rPr>
          <w:rFonts w:ascii="Arial" w:hAnsi="Arial" w:cs="Arial"/>
          <w:b/>
          <w:bCs/>
          <w:color w:val="0F4761"/>
          <w:lang w:val="sq-AL"/>
        </w:rPr>
        <w:t xml:space="preserve"> </w:t>
      </w:r>
      <w:r w:rsidR="00555027" w:rsidRPr="001C61AE">
        <w:rPr>
          <w:rFonts w:ascii="Arial" w:hAnsi="Arial" w:cs="Arial"/>
          <w:b/>
          <w:bCs/>
          <w:color w:val="0F4761"/>
          <w:lang w:val="sq-AL"/>
        </w:rPr>
        <w:t>Zhvillimi dhe zbatimi i sistemeve të hershme paralajmëruese për thatësira në sektorin e bujqësisë</w:t>
      </w:r>
      <w:r w:rsidR="00491457" w:rsidRPr="001C61AE">
        <w:rPr>
          <w:rFonts w:ascii="Arial" w:hAnsi="Arial" w:cs="Arial"/>
          <w:b/>
          <w:bCs/>
          <w:color w:val="0F4761"/>
          <w:lang w:val="sq-AL"/>
        </w:rPr>
        <w:t>.</w:t>
      </w:r>
    </w:p>
    <w:p w14:paraId="3E88B14B" w14:textId="25E069F3" w:rsidR="00B12DE0" w:rsidRPr="001C61AE" w:rsidRDefault="001968EC" w:rsidP="008E17FD">
      <w:pPr>
        <w:spacing w:line="240" w:lineRule="auto"/>
        <w:jc w:val="both"/>
        <w:rPr>
          <w:rFonts w:ascii="Arial" w:hAnsi="Arial" w:cs="Arial"/>
          <w:lang w:val="sq-AL"/>
        </w:rPr>
      </w:pPr>
      <w:r w:rsidRPr="001C61AE">
        <w:rPr>
          <w:rFonts w:ascii="Arial" w:hAnsi="Arial" w:cs="Arial"/>
          <w:lang w:val="sq-AL"/>
        </w:rPr>
        <w:t xml:space="preserve">Meqenëse periudhat e gjata të thatësirës dhe reshjet e paparashikueshme rrezikojnë gjithnjë e më shumë produktivitetin bujqësor të Kosovës, zhvillimi i një sistemi të fortë të paralajmërimit të hershëm për thatësira paraqet një përparësi strategjike. Ky objektiv synon krijimin e një sistemi të integruar brenda kornizës së qeverisjes klimatike dhe të burimeve ujore, i cili kombinon monitorimin në kohë reale, infrastrukturën e përmirësuar hidrometeorologjike dhe modelimin parashikues. Parashikimet e përshtatura dhe shërbimet këshillimore do t’i ndihmojnë fermerët në rregullimin e orarit të ujitjes, zgjedhjen e kulturave dhe planifikimin e mbjelljeve, duke </w:t>
      </w:r>
      <w:r w:rsidR="000B7402" w:rsidRPr="001C61AE">
        <w:rPr>
          <w:rFonts w:ascii="Arial" w:hAnsi="Arial" w:cs="Arial"/>
          <w:lang w:val="sq-AL"/>
        </w:rPr>
        <w:t xml:space="preserve">zvogëluar </w:t>
      </w:r>
      <w:r w:rsidRPr="001C61AE">
        <w:rPr>
          <w:rFonts w:ascii="Arial" w:hAnsi="Arial" w:cs="Arial"/>
          <w:lang w:val="sq-AL"/>
        </w:rPr>
        <w:t>humbjet në rendiment dhe duke mbrojtur jetesën rurale</w:t>
      </w:r>
      <w:r w:rsidR="00B12DE0" w:rsidRPr="001C61AE">
        <w:rPr>
          <w:rFonts w:ascii="Arial" w:hAnsi="Arial" w:cs="Arial"/>
          <w:lang w:val="sq-AL"/>
        </w:rPr>
        <w:t>.</w:t>
      </w:r>
    </w:p>
    <w:p w14:paraId="691C0C95" w14:textId="3DB161D1" w:rsidR="00491457" w:rsidRPr="001C61AE" w:rsidRDefault="00862AC4">
      <w:pPr>
        <w:spacing w:line="240" w:lineRule="auto"/>
        <w:ind w:left="708"/>
        <w:jc w:val="both"/>
        <w:rPr>
          <w:rFonts w:ascii="Arial" w:hAnsi="Arial" w:cs="Arial"/>
          <w:b/>
          <w:bCs/>
          <w:color w:val="0F4761"/>
          <w:lang w:val="sq-AL"/>
        </w:rPr>
      </w:pPr>
      <w:r w:rsidRPr="001C61AE">
        <w:rPr>
          <w:rFonts w:ascii="Arial" w:hAnsi="Arial" w:cs="Arial"/>
          <w:b/>
          <w:bCs/>
          <w:color w:val="0F4761"/>
          <w:lang w:val="sq-AL"/>
        </w:rPr>
        <w:t>III</w:t>
      </w:r>
      <w:r w:rsidR="00491457" w:rsidRPr="001C61AE">
        <w:rPr>
          <w:rFonts w:ascii="Arial" w:hAnsi="Arial" w:cs="Arial"/>
          <w:b/>
          <w:bCs/>
          <w:color w:val="0F4761"/>
          <w:lang w:val="sq-AL"/>
        </w:rPr>
        <w:t>.</w:t>
      </w:r>
      <w:r w:rsidR="00D47101" w:rsidRPr="001C61AE">
        <w:rPr>
          <w:rFonts w:ascii="Arial" w:hAnsi="Arial" w:cs="Arial"/>
          <w:b/>
          <w:bCs/>
          <w:color w:val="0F4761"/>
          <w:lang w:val="sq-AL"/>
        </w:rPr>
        <w:t>3</w:t>
      </w:r>
      <w:r w:rsidR="000A6F64" w:rsidRPr="001C61AE">
        <w:rPr>
          <w:rFonts w:ascii="Arial" w:hAnsi="Arial" w:cs="Arial"/>
          <w:b/>
          <w:bCs/>
          <w:color w:val="0F4761"/>
          <w:lang w:val="sq-AL"/>
        </w:rPr>
        <w:t>6</w:t>
      </w:r>
      <w:r w:rsidR="00491457" w:rsidRPr="001C61AE">
        <w:rPr>
          <w:rFonts w:ascii="Arial" w:hAnsi="Arial" w:cs="Arial"/>
          <w:b/>
          <w:bCs/>
          <w:color w:val="0F4761"/>
          <w:lang w:val="sq-AL"/>
        </w:rPr>
        <w:t xml:space="preserve"> </w:t>
      </w:r>
      <w:r w:rsidR="00555027" w:rsidRPr="001C61AE">
        <w:rPr>
          <w:rFonts w:ascii="Arial" w:hAnsi="Arial" w:cs="Arial"/>
          <w:b/>
          <w:bCs/>
          <w:color w:val="0F4761"/>
          <w:lang w:val="sq-AL"/>
        </w:rPr>
        <w:t>Krijimi dhe funksionalizimi i sistemeve të paralajmërimit dhe gatishmërisë ndaj përmbytjeve në zonat bujqësore.</w:t>
      </w:r>
    </w:p>
    <w:p w14:paraId="5DB0586B" w14:textId="300E12FF" w:rsidR="00B12DE0" w:rsidRPr="001C61AE" w:rsidRDefault="001968EC" w:rsidP="008E17FD">
      <w:pPr>
        <w:spacing w:line="240" w:lineRule="auto"/>
        <w:jc w:val="both"/>
        <w:rPr>
          <w:rFonts w:ascii="Arial" w:hAnsi="Arial" w:cs="Arial"/>
          <w:lang w:val="sq-AL"/>
        </w:rPr>
      </w:pPr>
      <w:r w:rsidRPr="001C61AE">
        <w:rPr>
          <w:rFonts w:ascii="Arial" w:hAnsi="Arial" w:cs="Arial"/>
          <w:lang w:val="sq-AL"/>
        </w:rPr>
        <w:t>Përmbytjet e menjëhershme dhe daljet nga shtrati të lumenjve paraqesin kërcënime në rritje për tokat bujqësore dhe infrastrukturën rurale. Ky objektiv synon operacionalizimin e sistemeve të paralajmërimit të hershëm për përmbytje, bazuar në hartat ekzistuese të rrezikut dhe vlerësimet e rrezikut në Kosovë. Ai përfshin vendosjen e protokolleve të qarta të komunikimit, programe trajnimi për komunitetet, dhe zhvillimin e planeve kontingjente në nivel lokal. Duke fuqizuar fermerët dhe komunat me njoftime të hershme dhe mjete përgatitore, objektivi synon të zvogëlojë ndikimet e përmbytjeve në kultura, tokë bujqësore dhe pajisje</w:t>
      </w:r>
      <w:r w:rsidR="00B12DE0" w:rsidRPr="001C61AE">
        <w:rPr>
          <w:rFonts w:ascii="Arial" w:hAnsi="Arial" w:cs="Arial"/>
          <w:lang w:val="sq-AL"/>
        </w:rPr>
        <w:t>.</w:t>
      </w:r>
    </w:p>
    <w:p w14:paraId="6F015AC4" w14:textId="59026FBC" w:rsidR="00491457" w:rsidRPr="001C61AE" w:rsidRDefault="00862AC4" w:rsidP="00491457">
      <w:pPr>
        <w:spacing w:line="240" w:lineRule="auto"/>
        <w:ind w:firstLine="708"/>
        <w:jc w:val="both"/>
        <w:rPr>
          <w:rFonts w:ascii="Arial" w:hAnsi="Arial" w:cs="Arial"/>
          <w:b/>
          <w:bCs/>
          <w:color w:val="0F4761"/>
          <w:lang w:val="sq-AL"/>
        </w:rPr>
      </w:pPr>
      <w:r w:rsidRPr="001C61AE">
        <w:rPr>
          <w:rFonts w:ascii="Arial" w:hAnsi="Arial" w:cs="Arial"/>
          <w:b/>
          <w:bCs/>
          <w:color w:val="0F4761"/>
          <w:lang w:val="sq-AL"/>
        </w:rPr>
        <w:t>III</w:t>
      </w:r>
      <w:r w:rsidR="00491457" w:rsidRPr="001C61AE">
        <w:rPr>
          <w:rFonts w:ascii="Arial" w:hAnsi="Arial" w:cs="Arial"/>
          <w:b/>
          <w:bCs/>
          <w:color w:val="0F4761"/>
          <w:lang w:val="sq-AL"/>
        </w:rPr>
        <w:t>.3</w:t>
      </w:r>
      <w:r w:rsidR="000A6F64" w:rsidRPr="001C61AE">
        <w:rPr>
          <w:rFonts w:ascii="Arial" w:hAnsi="Arial" w:cs="Arial"/>
          <w:b/>
          <w:bCs/>
          <w:color w:val="0F4761"/>
          <w:lang w:val="sq-AL"/>
        </w:rPr>
        <w:t>7</w:t>
      </w:r>
      <w:r w:rsidR="00491457" w:rsidRPr="001C61AE">
        <w:rPr>
          <w:rFonts w:ascii="Arial" w:hAnsi="Arial" w:cs="Arial"/>
          <w:b/>
          <w:bCs/>
          <w:color w:val="0F4761"/>
          <w:lang w:val="sq-AL"/>
        </w:rPr>
        <w:t xml:space="preserve"> </w:t>
      </w:r>
      <w:r w:rsidR="00555027" w:rsidRPr="001C61AE">
        <w:rPr>
          <w:rFonts w:ascii="Arial" w:hAnsi="Arial" w:cs="Arial"/>
          <w:b/>
          <w:bCs/>
          <w:color w:val="0F4761"/>
          <w:lang w:val="sq-AL"/>
        </w:rPr>
        <w:t>Fuqizimi i kapaciteteve për monitorim, zbulim të hershëm dhe reagim të shpejtë ndaj zjarreve në pyje.</w:t>
      </w:r>
    </w:p>
    <w:p w14:paraId="41038395" w14:textId="1EFD37A5" w:rsidR="00B12DE0" w:rsidRPr="001C61AE" w:rsidRDefault="001968EC" w:rsidP="008E17FD">
      <w:pPr>
        <w:spacing w:line="240" w:lineRule="auto"/>
        <w:jc w:val="both"/>
        <w:rPr>
          <w:rFonts w:ascii="Arial" w:hAnsi="Arial" w:cs="Arial"/>
          <w:lang w:val="sq-AL"/>
        </w:rPr>
      </w:pPr>
      <w:r w:rsidRPr="001C61AE">
        <w:rPr>
          <w:rFonts w:ascii="Arial" w:hAnsi="Arial" w:cs="Arial"/>
          <w:lang w:val="sq-AL"/>
        </w:rPr>
        <w:t xml:space="preserve">Me rritjen e temperaturave dhe kushteve më të thata që rrisin rrezikun nga zjarret, Kosova synon përmirësimin e kuadrit kombëtar për menaxhimin e rrezikut nga zjarret në pyje, të përshkruar në Sistemin Kombëtar Informativ për Zjarret në Pyje (NFFIS). Ky objektiv përfshin vendosjen e sistemeve të integruara për monitorim dhe zbulim të hershëm duke përdorur të dhëna satelitore, sensorë në distancë dhe patrullime komunitare. Ai do të shoqërohet me ekipe të reagimit të shpejtë, ndërtimin e rrugëve të mbrojtjes nga zjarret, menaxhimin e biomasës së ndezshme dhe fushata vetëdijësimi publik. Këto masa do të </w:t>
      </w:r>
      <w:r w:rsidRPr="001C61AE">
        <w:rPr>
          <w:rFonts w:ascii="Arial" w:hAnsi="Arial" w:cs="Arial"/>
          <w:lang w:val="sq-AL"/>
        </w:rPr>
        <w:lastRenderedPageBreak/>
        <w:t>zvogëlojnë frekuencën, përmasën dhe dëmet e shkaktuara nga zjarret në peizazhet pyjore më të ndjeshme</w:t>
      </w:r>
      <w:r w:rsidR="00B12DE0" w:rsidRPr="001C61AE">
        <w:rPr>
          <w:rFonts w:ascii="Arial" w:hAnsi="Arial" w:cs="Arial"/>
          <w:lang w:val="sq-AL"/>
        </w:rPr>
        <w:t>.</w:t>
      </w:r>
    </w:p>
    <w:p w14:paraId="4F8C1A4E" w14:textId="4D855850" w:rsidR="00555027" w:rsidRPr="001C61AE" w:rsidRDefault="00862AC4" w:rsidP="001968EC">
      <w:pPr>
        <w:spacing w:before="0" w:line="240" w:lineRule="auto"/>
        <w:ind w:firstLine="708"/>
        <w:jc w:val="both"/>
        <w:rPr>
          <w:rFonts w:ascii="Arial" w:hAnsi="Arial" w:cs="Arial"/>
          <w:b/>
          <w:bCs/>
          <w:color w:val="0F4761"/>
          <w:lang w:val="sq-AL"/>
        </w:rPr>
      </w:pPr>
      <w:r w:rsidRPr="001C61AE">
        <w:rPr>
          <w:rFonts w:ascii="Arial" w:hAnsi="Arial" w:cs="Arial"/>
          <w:b/>
          <w:bCs/>
          <w:color w:val="0F4761"/>
          <w:lang w:val="sq-AL"/>
        </w:rPr>
        <w:t>III</w:t>
      </w:r>
      <w:r w:rsidR="00491457" w:rsidRPr="001C61AE">
        <w:rPr>
          <w:rFonts w:ascii="Arial" w:hAnsi="Arial" w:cs="Arial"/>
          <w:b/>
          <w:bCs/>
          <w:color w:val="0F4761"/>
          <w:lang w:val="sq-AL"/>
        </w:rPr>
        <w:t>.3</w:t>
      </w:r>
      <w:r w:rsidR="000A6F64" w:rsidRPr="001C61AE">
        <w:rPr>
          <w:rFonts w:ascii="Arial" w:hAnsi="Arial" w:cs="Arial"/>
          <w:b/>
          <w:bCs/>
          <w:color w:val="0F4761"/>
          <w:lang w:val="sq-AL"/>
        </w:rPr>
        <w:t>8</w:t>
      </w:r>
      <w:r w:rsidR="00491457" w:rsidRPr="001C61AE">
        <w:rPr>
          <w:rFonts w:ascii="Arial" w:hAnsi="Arial" w:cs="Arial"/>
          <w:b/>
          <w:bCs/>
          <w:color w:val="0F4761"/>
          <w:lang w:val="sq-AL"/>
        </w:rPr>
        <w:t xml:space="preserve"> </w:t>
      </w:r>
      <w:r w:rsidR="00555027" w:rsidRPr="001C61AE">
        <w:rPr>
          <w:rFonts w:ascii="Arial" w:hAnsi="Arial" w:cs="Arial"/>
          <w:b/>
          <w:bCs/>
          <w:color w:val="0F4761"/>
          <w:lang w:val="sq-AL"/>
        </w:rPr>
        <w:t>Përmirësimi i sistemeve të paralajmërimit të hershëm dhe reagimit të shpejtë ndaj dëmtuesve dhe sëmundjeve në bujqësi dhe pylltari</w:t>
      </w:r>
    </w:p>
    <w:p w14:paraId="442F2CA1" w14:textId="776FDE5F" w:rsidR="000622A1" w:rsidRPr="001C61AE" w:rsidRDefault="009300BE" w:rsidP="00555027">
      <w:pPr>
        <w:spacing w:before="0" w:after="0" w:line="240" w:lineRule="auto"/>
        <w:jc w:val="both"/>
        <w:rPr>
          <w:rFonts w:ascii="Arial" w:hAnsi="Arial" w:cs="Arial"/>
          <w:lang w:val="sq-AL"/>
        </w:rPr>
      </w:pPr>
      <w:r w:rsidRPr="001C61AE">
        <w:rPr>
          <w:rFonts w:ascii="Arial" w:hAnsi="Arial" w:cs="Arial"/>
          <w:b/>
          <w:bCs/>
          <w:noProof/>
          <w:color w:val="C00000"/>
        </w:rPr>
        <mc:AlternateContent>
          <mc:Choice Requires="wps">
            <w:drawing>
              <wp:anchor distT="0" distB="0" distL="114300" distR="114300" simplePos="0" relativeHeight="251764736" behindDoc="0" locked="0" layoutInCell="1" allowOverlap="1" wp14:anchorId="125F7A94" wp14:editId="615D8A7F">
                <wp:simplePos x="0" y="0"/>
                <wp:positionH relativeFrom="margin">
                  <wp:posOffset>0</wp:posOffset>
                </wp:positionH>
                <wp:positionV relativeFrom="paragraph">
                  <wp:posOffset>1254760</wp:posOffset>
                </wp:positionV>
                <wp:extent cx="6467475" cy="600075"/>
                <wp:effectExtent l="0" t="0" r="28575" b="28575"/>
                <wp:wrapTopAndBottom/>
                <wp:docPr id="1739360989" name="Cuadro de texto 13"/>
                <wp:cNvGraphicFramePr/>
                <a:graphic xmlns:a="http://schemas.openxmlformats.org/drawingml/2006/main">
                  <a:graphicData uri="http://schemas.microsoft.com/office/word/2010/wordprocessingShape">
                    <wps:wsp>
                      <wps:cNvSpPr txBox="1"/>
                      <wps:spPr>
                        <a:xfrm>
                          <a:off x="0" y="0"/>
                          <a:ext cx="6467475" cy="600075"/>
                        </a:xfrm>
                        <a:prstGeom prst="rect">
                          <a:avLst/>
                        </a:prstGeom>
                        <a:solidFill>
                          <a:sysClr val="window" lastClr="FFFFFF"/>
                        </a:solidFill>
                        <a:ln w="12700">
                          <a:solidFill>
                            <a:srgbClr val="156082"/>
                          </a:solidFill>
                          <a:prstDash val="dash"/>
                        </a:ln>
                      </wps:spPr>
                      <wps:txbx>
                        <w:txbxContent>
                          <w:p w14:paraId="60CFE458" w14:textId="1FF3065D" w:rsidR="007065D4" w:rsidRDefault="007065D4" w:rsidP="000622A1">
                            <w:r w:rsidRPr="004E4111">
                              <w:t xml:space="preserve">Plani i Veprimit që përshkruan Objektivat specifike që do të ndërmerren në sektorin e bujqësisë dhe pylltarisë gjatë periudhës 2026–2028 është përfshirë në </w:t>
                            </w:r>
                            <w:hyperlink w:anchor="_Annex_III:_Agriculture" w:history="1">
                              <w:r w:rsidRPr="004E4111">
                                <w:rPr>
                                  <w:rStyle w:val="Hyperlink"/>
                                </w:rPr>
                                <w:t xml:space="preserve">Shtojcën </w:t>
                              </w:r>
                              <w:r w:rsidRPr="000622A1">
                                <w:rPr>
                                  <w:rStyle w:val="Hyperlink"/>
                                </w:rPr>
                                <w:t>III.</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5F7A94" id="_x0000_s1068" type="#_x0000_t202" style="position:absolute;left:0;text-align:left;margin-left:0;margin-top:98.8pt;width:509.25pt;height:47.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" fillcolor="window" strokecolor="#156082" strokeweight="1pt">
                <v:stroke dashstyle="dash"/>
                <v:textbox>
                  <w:txbxContent>
                    <w:p w14:paraId="60CFE458" w14:textId="1FF3065D" w:rsidR="007065D4" w:rsidRDefault="007065D4" w:rsidP="000622A1">
                      <w:r w:rsidRPr="004E4111">
                        <w:t xml:space="preserve">Plani i Veprimit që përshkruan Objektivat specifike që do të ndërmerren në sektorin e bujqësisë dhe pylltarisë gjatë periudhës 2026–2028 është përfshirë në </w:t>
                      </w:r>
                      <w:hyperlink w:anchor="_Annex_III:_Agriculture" w:history="1">
                        <w:r w:rsidRPr="004E4111">
                          <w:rPr>
                            <w:rStyle w:val="Hyperlink"/>
                          </w:rPr>
                          <w:t xml:space="preserve">Shtojcën </w:t>
                        </w:r>
                        <w:r w:rsidRPr="000622A1">
                          <w:rPr>
                            <w:rStyle w:val="Hyperlink"/>
                          </w:rPr>
                          <w:t>III.</w:t>
                        </w:r>
                      </w:hyperlink>
                    </w:p>
                  </w:txbxContent>
                </v:textbox>
                <w10:wrap type="topAndBottom" anchorx="margin"/>
              </v:shape>
            </w:pict>
          </mc:Fallback>
        </mc:AlternateContent>
      </w:r>
      <w:r w:rsidR="001968EC" w:rsidRPr="001C61AE">
        <w:rPr>
          <w:rFonts w:ascii="Arial" w:hAnsi="Arial" w:cs="Arial"/>
          <w:lang w:val="sq-AL"/>
        </w:rPr>
        <w:t xml:space="preserve"> Ndryshimi i klimës pritet të përshpejtojë përhapjen dhe intensitetin e rreziqeve të sëmundjeve, duke kërcënuar të korrat, pyjet dhe sigurinë ushqimore. Ky objektiv përqendrohet në ndërtimin e një sistemi kombëtar për zbulimin e hershëm të rreziqeve të sëmundjeve përmes rrjeteve të mbikëqyrjes, laboratorëve diagnostikues, alarmeve mobile dhe shërbimeve të zgjerimit. Gjithashtu do të krijojë ekipe ndërhyrjeje të shpejta të pajisura për të përmbajtur dhe menaxhuar shpërthimet. Koordinimi i forcuar ndëragjencor dhe trajnimi i fermerëve do të sigurojnë që paralajmërimi i hershëm të përkthehet në veprim efektiv në terren.</w:t>
      </w:r>
      <w:r w:rsidR="00B12DE0" w:rsidRPr="001C61AE">
        <w:rPr>
          <w:rFonts w:ascii="Arial" w:hAnsi="Arial" w:cs="Arial"/>
          <w:lang w:val="sq-AL"/>
        </w:rPr>
        <w:t>.</w:t>
      </w:r>
    </w:p>
    <w:p w14:paraId="7F919A88" w14:textId="395BC6D2" w:rsidR="00B12DE0" w:rsidRPr="001C61AE" w:rsidRDefault="00B12DE0" w:rsidP="008E17FD">
      <w:pPr>
        <w:spacing w:before="0" w:line="278" w:lineRule="auto"/>
        <w:jc w:val="both"/>
        <w:rPr>
          <w:rFonts w:ascii="Arial" w:eastAsiaTheme="majorEastAsia" w:hAnsi="Arial" w:cs="Arial"/>
          <w:b/>
          <w:bCs/>
          <w:color w:val="246D5D"/>
          <w:sz w:val="32"/>
          <w:szCs w:val="32"/>
          <w:lang w:val="sq-AL"/>
        </w:rPr>
      </w:pPr>
      <w:r w:rsidRPr="001C61AE">
        <w:rPr>
          <w:rFonts w:ascii="Arial" w:hAnsi="Arial" w:cs="Arial"/>
          <w:b/>
          <w:bCs/>
          <w:color w:val="246D5D"/>
          <w:lang w:val="sq-AL"/>
        </w:rPr>
        <w:br w:type="page"/>
      </w:r>
    </w:p>
    <w:p w14:paraId="56CD9688" w14:textId="63AF926A" w:rsidR="001D4FA1" w:rsidRPr="001C61AE" w:rsidRDefault="00A66C0C" w:rsidP="00D846AE">
      <w:pPr>
        <w:pStyle w:val="Heading2"/>
        <w:rPr>
          <w:rFonts w:ascii="Arial" w:hAnsi="Arial" w:cs="Arial"/>
          <w:color w:val="246D5D"/>
          <w:lang w:val="sq-AL"/>
        </w:rPr>
      </w:pPr>
      <w:bookmarkStart w:id="86" w:name="_Toc211532711"/>
      <w:r w:rsidRPr="001C61AE">
        <w:rPr>
          <w:rFonts w:ascii="Arial" w:hAnsi="Arial" w:cs="Arial"/>
          <w:color w:val="246D5D"/>
          <w:lang w:val="sq-AL"/>
        </w:rPr>
        <w:lastRenderedPageBreak/>
        <w:t>PËRSHTATJA E SEKTORIT TË SHËNDETËSISË DHE SOCIAL</w:t>
      </w:r>
      <w:bookmarkEnd w:id="86"/>
    </w:p>
    <w:p w14:paraId="2814B19B" w14:textId="14755F72" w:rsidR="001D4FA1" w:rsidRPr="001C61AE" w:rsidRDefault="00102FF2" w:rsidP="001D4FA1">
      <w:pPr>
        <w:spacing w:line="240" w:lineRule="auto"/>
        <w:jc w:val="both"/>
        <w:rPr>
          <w:rFonts w:ascii="Arial" w:hAnsi="Arial" w:cs="Arial"/>
          <w:b/>
          <w:bCs/>
          <w:lang w:val="sq-AL"/>
        </w:rPr>
      </w:pPr>
      <w:r w:rsidRPr="001C61AE">
        <w:rPr>
          <w:rFonts w:ascii="Arial" w:hAnsi="Arial" w:cs="Arial"/>
          <w:b/>
          <w:bCs/>
          <w:lang w:val="sq-AL"/>
        </w:rPr>
        <w:t>Përmbledhje e Sektorit</w:t>
      </w:r>
    </w:p>
    <w:p w14:paraId="0AEF3398" w14:textId="721FDC6B" w:rsidR="000B642F" w:rsidRPr="001C61AE" w:rsidRDefault="00102FF2" w:rsidP="008E17FD">
      <w:pPr>
        <w:jc w:val="both"/>
        <w:rPr>
          <w:rFonts w:ascii="Arial" w:hAnsi="Arial" w:cs="Arial"/>
          <w:b/>
          <w:bCs/>
          <w:lang w:val="sq-AL"/>
        </w:rPr>
      </w:pPr>
      <w:r w:rsidRPr="001C61AE">
        <w:rPr>
          <w:rFonts w:ascii="Arial" w:hAnsi="Arial" w:cs="Arial"/>
          <w:lang w:val="sq-AL"/>
        </w:rPr>
        <w:t xml:space="preserve">Sistemi shëndetësor dhe ai social në Kosovë kanë shënuar përparim gjatë dekadave të fundit, por mbeten ende të nënpajisur dhe veçanërisht të ndjeshëm ndaj sfidave të zhvillimit dhe ndikimeve gjithnjë në rritje të ndryshimeve klimatike. Sipas rezultateve paraprake të regjistrimit të popullsisë në vitin 2024, numri i banorëve rezidentë është 1,585,566, ndërsa mosha </w:t>
      </w:r>
      <w:r w:rsidR="000B7402" w:rsidRPr="001C61AE">
        <w:rPr>
          <w:rFonts w:ascii="Arial" w:hAnsi="Arial" w:cs="Arial"/>
          <w:lang w:val="sq-AL"/>
        </w:rPr>
        <w:t xml:space="preserve">mesatare </w:t>
      </w:r>
      <w:r w:rsidRPr="001C61AE">
        <w:rPr>
          <w:rFonts w:ascii="Arial" w:hAnsi="Arial" w:cs="Arial"/>
          <w:lang w:val="sq-AL"/>
        </w:rPr>
        <w:t xml:space="preserve">është rritur në 34.84 vjeç (një rritje prej 4.85 vjetësh krahasuar me vitin 2011, kur mosha </w:t>
      </w:r>
      <w:r w:rsidR="000B7402" w:rsidRPr="001C61AE">
        <w:rPr>
          <w:rFonts w:ascii="Arial" w:hAnsi="Arial" w:cs="Arial"/>
          <w:lang w:val="sq-AL"/>
        </w:rPr>
        <w:t xml:space="preserve">mesatare </w:t>
      </w:r>
      <w:r w:rsidRPr="001C61AE">
        <w:rPr>
          <w:rFonts w:ascii="Arial" w:hAnsi="Arial" w:cs="Arial"/>
          <w:lang w:val="sq-AL"/>
        </w:rPr>
        <w:t>ishte 29.97 vjeç)</w:t>
      </w:r>
      <w:r w:rsidR="004A2F56" w:rsidRPr="001C61AE">
        <w:rPr>
          <w:rFonts w:ascii="Arial" w:hAnsi="Arial" w:cs="Arial"/>
          <w:lang w:val="sq-AL"/>
        </w:rPr>
        <w:t>.</w:t>
      </w:r>
      <w:r w:rsidR="00503A18" w:rsidRPr="001C61AE">
        <w:rPr>
          <w:rStyle w:val="FootnoteReference"/>
          <w:rFonts w:ascii="Arial" w:hAnsi="Arial" w:cs="Arial"/>
          <w:lang w:val="sq-AL"/>
        </w:rPr>
        <w:footnoteReference w:id="68"/>
      </w:r>
      <w:r w:rsidR="00503A18" w:rsidRPr="001C61AE">
        <w:rPr>
          <w:rFonts w:ascii="Arial" w:hAnsi="Arial" w:cs="Arial"/>
          <w:lang w:val="sq-AL"/>
        </w:rPr>
        <w:t xml:space="preserve"> </w:t>
      </w:r>
      <w:r w:rsidRPr="001C61AE">
        <w:rPr>
          <w:rFonts w:ascii="Arial" w:hAnsi="Arial" w:cs="Arial"/>
          <w:lang w:val="sq-AL"/>
        </w:rPr>
        <w:t xml:space="preserve">Megjithëse jetëgjatësia në lindje është rritur nga 70.44 vjet në vitin 2011 në 72.5 vjet në vitin 2019, ajo mbetet më e ulët se në shtetet e tjera të Ballkanit Perëndimor, me dallime më të theksuara te komunitetet </w:t>
      </w:r>
      <w:r w:rsidR="000B7402" w:rsidRPr="001C61AE">
        <w:rPr>
          <w:rFonts w:ascii="Arial" w:hAnsi="Arial" w:cs="Arial"/>
          <w:lang w:val="sq-AL"/>
        </w:rPr>
        <w:t xml:space="preserve">romë </w:t>
      </w:r>
      <w:r w:rsidRPr="001C61AE">
        <w:rPr>
          <w:rFonts w:ascii="Arial" w:hAnsi="Arial" w:cs="Arial"/>
          <w:lang w:val="sq-AL"/>
        </w:rPr>
        <w:t>, ashkali dhe egjiptian</w:t>
      </w:r>
      <w:r w:rsidR="004A2F56" w:rsidRPr="001C61AE">
        <w:rPr>
          <w:rFonts w:ascii="Arial" w:hAnsi="Arial" w:cs="Arial"/>
          <w:lang w:val="sq-AL"/>
        </w:rPr>
        <w:t>.</w:t>
      </w:r>
      <w:r w:rsidR="00503A18" w:rsidRPr="001C61AE">
        <w:rPr>
          <w:rStyle w:val="FootnoteReference"/>
          <w:rFonts w:ascii="Arial" w:hAnsi="Arial" w:cs="Arial"/>
          <w:lang w:val="sq-AL"/>
        </w:rPr>
        <w:footnoteReference w:id="69"/>
      </w:r>
      <w:r w:rsidR="00503A18" w:rsidRPr="001C61AE">
        <w:rPr>
          <w:rFonts w:ascii="Arial" w:hAnsi="Arial" w:cs="Arial"/>
          <w:lang w:val="sq-AL"/>
        </w:rPr>
        <w:t xml:space="preserve"> </w:t>
      </w:r>
      <w:r w:rsidRPr="001C61AE">
        <w:rPr>
          <w:rFonts w:ascii="Arial" w:hAnsi="Arial" w:cs="Arial"/>
          <w:lang w:val="sq-AL"/>
        </w:rPr>
        <w:t>Pabarazitë shëndetësore vazhdojnë të jenë të theksuara, veçanërisht te grupet e margjinalizuara. Në këto komunitete, vdekshmëria foshnjore arrin deri në 41 për 1,000 lindje të gjalla, ndërsa mbulueshmëria me vaksinim të plotë është nën 30%</w:t>
      </w:r>
      <w:r w:rsidR="004A2F56" w:rsidRPr="001C61AE">
        <w:rPr>
          <w:rFonts w:ascii="Arial" w:hAnsi="Arial" w:cs="Arial"/>
          <w:lang w:val="sq-AL"/>
        </w:rPr>
        <w:t>.</w:t>
      </w:r>
      <w:r w:rsidR="00503A18" w:rsidRPr="001C61AE">
        <w:rPr>
          <w:rStyle w:val="FootnoteReference"/>
          <w:rFonts w:ascii="Arial" w:hAnsi="Arial" w:cs="Arial"/>
          <w:lang w:val="sq-AL"/>
        </w:rPr>
        <w:footnoteReference w:id="70"/>
      </w:r>
      <w:r w:rsidR="00503A18" w:rsidRPr="001C61AE">
        <w:rPr>
          <w:rFonts w:ascii="Arial" w:hAnsi="Arial" w:cs="Arial"/>
          <w:lang w:val="sq-AL"/>
        </w:rPr>
        <w:t xml:space="preserve"> </w:t>
      </w:r>
    </w:p>
    <w:p w14:paraId="159B06A5" w14:textId="71D90125" w:rsidR="000B642F" w:rsidRPr="001C61AE" w:rsidRDefault="007062F9" w:rsidP="000B642F">
      <w:pPr>
        <w:spacing w:line="240" w:lineRule="auto"/>
        <w:jc w:val="both"/>
        <w:rPr>
          <w:rFonts w:ascii="Arial" w:hAnsi="Arial" w:cs="Arial"/>
          <w:lang w:val="sq-AL"/>
        </w:rPr>
      </w:pPr>
      <w:r w:rsidRPr="001C61AE">
        <w:rPr>
          <w:rFonts w:ascii="Arial" w:hAnsi="Arial" w:cs="Arial"/>
          <w:lang w:val="sq-AL"/>
        </w:rPr>
        <w:t>Në vitin 2023, buxheti i Kosovës arriti në tre (3) miliardë euro, nga të cilat 296 milionë janë ndarë për sektorin e shëndetësisë – një rritje prej 100 milionë eurosh në krahasim me vitet e mëparshme, por që ende përbën më pak se 10% të buxhetit të përgjithshëm të shtetit</w:t>
      </w:r>
      <w:r w:rsidR="004A2F56" w:rsidRPr="001C61AE">
        <w:rPr>
          <w:rFonts w:ascii="Arial" w:hAnsi="Arial" w:cs="Arial"/>
          <w:lang w:val="sq-AL"/>
        </w:rPr>
        <w:t>.</w:t>
      </w:r>
      <w:r w:rsidR="00503A18" w:rsidRPr="001C61AE">
        <w:rPr>
          <w:rStyle w:val="FootnoteReference"/>
          <w:rFonts w:ascii="Arial" w:hAnsi="Arial" w:cs="Arial"/>
          <w:lang w:val="sq-AL"/>
        </w:rPr>
        <w:footnoteReference w:id="71"/>
      </w:r>
      <w:r w:rsidR="00503A18" w:rsidRPr="001C61AE">
        <w:rPr>
          <w:rFonts w:ascii="Arial" w:hAnsi="Arial" w:cs="Arial"/>
          <w:lang w:val="sq-AL"/>
        </w:rPr>
        <w:t xml:space="preserve"> </w:t>
      </w:r>
      <w:r w:rsidRPr="001C61AE">
        <w:rPr>
          <w:rFonts w:ascii="Arial" w:hAnsi="Arial" w:cs="Arial"/>
          <w:lang w:val="sq-AL"/>
        </w:rPr>
        <w:t>Financimi i ulët mbetet sfidë madhore: shpenzimet totale për shëndetësi përbëjnë vetëm 4.3% të PBB-së, ndërsa pagesat nga xhepi i qytetarëve arrijnë në afër 38% – ndër më të lartat në Evropë</w:t>
      </w:r>
      <w:r w:rsidR="004A2F56" w:rsidRPr="001C61AE">
        <w:rPr>
          <w:rFonts w:ascii="Arial" w:hAnsi="Arial" w:cs="Arial"/>
          <w:lang w:val="sq-AL"/>
        </w:rPr>
        <w:t>.</w:t>
      </w:r>
      <w:r w:rsidR="00A45048" w:rsidRPr="001C61AE">
        <w:rPr>
          <w:rStyle w:val="FootnoteReference"/>
          <w:rFonts w:ascii="Arial" w:hAnsi="Arial" w:cs="Arial"/>
          <w:lang w:val="sq-AL"/>
        </w:rPr>
        <w:footnoteReference w:id="72"/>
      </w:r>
      <w:r w:rsidR="000B642F" w:rsidRPr="001C61AE">
        <w:rPr>
          <w:rFonts w:ascii="Arial" w:hAnsi="Arial" w:cs="Arial"/>
          <w:lang w:val="sq-AL"/>
        </w:rPr>
        <w:t xml:space="preserve"> </w:t>
      </w:r>
      <w:r w:rsidRPr="001C61AE">
        <w:rPr>
          <w:rFonts w:ascii="Arial" w:hAnsi="Arial" w:cs="Arial"/>
          <w:lang w:val="sq-AL"/>
        </w:rPr>
        <w:t>Pjesa më e madhe e buxhetit shëndetësor shkon për kujdesin spitalor, duke lënë pas dore shërbimet parësore dhe programet parandaluese, të cilat mbeten kronikisht të nënfinancuara</w:t>
      </w:r>
      <w:r w:rsidR="00845823" w:rsidRPr="001C61AE">
        <w:rPr>
          <w:rFonts w:ascii="Arial" w:hAnsi="Arial" w:cs="Arial"/>
          <w:lang w:val="sq-AL"/>
        </w:rPr>
        <w:t>.</w:t>
      </w:r>
      <w:r w:rsidR="00A45048" w:rsidRPr="001C61AE">
        <w:rPr>
          <w:rStyle w:val="FootnoteReference"/>
          <w:rFonts w:ascii="Arial" w:hAnsi="Arial" w:cs="Arial"/>
          <w:lang w:val="sq-AL"/>
        </w:rPr>
        <w:footnoteReference w:id="73"/>
      </w:r>
      <w:r w:rsidR="000B642F" w:rsidRPr="001C61AE">
        <w:rPr>
          <w:rFonts w:ascii="Arial" w:hAnsi="Arial" w:cs="Arial"/>
          <w:lang w:val="sq-AL"/>
        </w:rPr>
        <w:t xml:space="preserve"> </w:t>
      </w:r>
      <w:r w:rsidRPr="001C61AE">
        <w:rPr>
          <w:rFonts w:ascii="Arial" w:hAnsi="Arial" w:cs="Arial"/>
          <w:lang w:val="sq-AL"/>
        </w:rPr>
        <w:t>Në anën tjetër, sistemi i mbrojtjes sociale mbulon vetëm një pjesë të vogël të popullatës më të varfër; më pak se 25% e familjeve më të margjinalizuara përfitojnë ndihmë sociale, duke i ekspozuar ato ndaj goditjeve pa një rrjet sigurie formal</w:t>
      </w:r>
      <w:r w:rsidR="00845823" w:rsidRPr="001C61AE">
        <w:rPr>
          <w:rFonts w:ascii="Arial" w:hAnsi="Arial" w:cs="Arial"/>
          <w:lang w:val="sq-AL"/>
        </w:rPr>
        <w:t>.</w:t>
      </w:r>
      <w:r w:rsidR="00A45048" w:rsidRPr="001C61AE">
        <w:rPr>
          <w:rStyle w:val="FootnoteReference"/>
          <w:rFonts w:ascii="Arial" w:hAnsi="Arial" w:cs="Arial"/>
          <w:lang w:val="sq-AL"/>
        </w:rPr>
        <w:footnoteReference w:id="74"/>
      </w:r>
    </w:p>
    <w:p w14:paraId="775A92CC" w14:textId="1F4FA3E7" w:rsidR="000B642F" w:rsidRPr="001C61AE" w:rsidRDefault="00A70686" w:rsidP="008E17FD">
      <w:pPr>
        <w:jc w:val="both"/>
        <w:rPr>
          <w:rFonts w:ascii="Arial" w:hAnsi="Arial" w:cs="Arial"/>
          <w:lang w:val="sq-AL"/>
        </w:rPr>
      </w:pPr>
      <w:r w:rsidRPr="001C61AE">
        <w:rPr>
          <w:rFonts w:ascii="Arial" w:hAnsi="Arial" w:cs="Arial"/>
          <w:lang w:val="sq-AL"/>
        </w:rPr>
        <w:t>Sëmundjet jo të transmetueshme (NCD) janë shkaktari kryesor i vdekjeve në Kosovë, duke kontribuar në rreth 80% të rasteve të vdekjeve. Sëmundjet e qarkullimit të gjakut përbëjnë 34.1%, kanceri 10.0% dhe diabeti 2.8% – duke shkaktuar së bashku rreth 47% të vdekjeve të regjistruara që nga viti 2020. Në vitin 2019, vdekshmëria nga sëmundjet kardiovaskulare ishte rreth 233 për 100,000 për meshkuj dhe 211 për femra, ndërsa nga kanceri 106 për meshkuj dhe 64 për femra</w:t>
      </w:r>
      <w:r w:rsidR="006F5E96" w:rsidRPr="001C61AE">
        <w:rPr>
          <w:rStyle w:val="FootnoteReference"/>
          <w:rFonts w:ascii="Arial" w:hAnsi="Arial" w:cs="Arial"/>
          <w:lang w:val="sq-AL"/>
        </w:rPr>
        <w:footnoteReference w:id="75"/>
      </w:r>
      <w:r w:rsidRPr="001C61AE">
        <w:rPr>
          <w:rFonts w:ascii="Arial" w:hAnsi="Arial" w:cs="Arial"/>
          <w:lang w:val="sq-AL"/>
        </w:rPr>
        <w:t xml:space="preserve">. Edhe tek grupmosha 20–29 vjeç, afro 40% e vdekjeve janë të lidhura me </w:t>
      </w:r>
      <w:r w:rsidR="000B7402" w:rsidRPr="001C61AE">
        <w:rPr>
          <w:rFonts w:ascii="Arial" w:hAnsi="Arial" w:cs="Arial"/>
          <w:lang w:val="sq-AL"/>
        </w:rPr>
        <w:t>sëmundjet jo-ngjitëse</w:t>
      </w:r>
      <w:r w:rsidRPr="001C61AE">
        <w:rPr>
          <w:rFonts w:ascii="Arial" w:hAnsi="Arial" w:cs="Arial"/>
          <w:lang w:val="sq-AL"/>
        </w:rPr>
        <w:t>. Sëmundjet infektive vazhdojnë të jenë të pranishme, përfshirë tuberkulozin (~26.15 për 100,000 në vitin 2024)</w:t>
      </w:r>
      <w:r w:rsidR="00503A18" w:rsidRPr="001C61AE">
        <w:rPr>
          <w:rStyle w:val="FootnoteReference"/>
          <w:rFonts w:ascii="Arial" w:hAnsi="Arial" w:cs="Arial"/>
          <w:lang w:val="sq-AL"/>
        </w:rPr>
        <w:footnoteReference w:id="76"/>
      </w:r>
      <w:r w:rsidR="00503A18" w:rsidRPr="001C61AE">
        <w:rPr>
          <w:rFonts w:ascii="Arial" w:hAnsi="Arial" w:cs="Arial"/>
          <w:lang w:val="sq-AL"/>
        </w:rPr>
        <w:t xml:space="preserve"> </w:t>
      </w:r>
      <w:r w:rsidRPr="001C61AE">
        <w:rPr>
          <w:rFonts w:ascii="Arial" w:hAnsi="Arial" w:cs="Arial"/>
          <w:lang w:val="sq-AL"/>
        </w:rPr>
        <w:t xml:space="preserve">dhe sëmundjet e parandalueshme me vaksina, veçanërisht në komunitetet me lëvizshmëri të lartë si romët, ashkalinjtë dhe egjiptianët. Sëmundjet </w:t>
      </w:r>
      <w:r w:rsidR="000B7402" w:rsidRPr="001C61AE">
        <w:rPr>
          <w:rFonts w:ascii="Arial" w:hAnsi="Arial" w:cs="Arial"/>
          <w:lang w:val="sq-AL"/>
        </w:rPr>
        <w:t xml:space="preserve">e transmetuara nga uji </w:t>
      </w:r>
      <w:r w:rsidRPr="001C61AE">
        <w:rPr>
          <w:rFonts w:ascii="Arial" w:hAnsi="Arial" w:cs="Arial"/>
          <w:lang w:val="sq-AL"/>
        </w:rPr>
        <w:t>janë ende të përhapura, veçanërisht në zonat me infrastrukturë të dobët sanitare, ku shpërthimet e diarresë janë të përsëritura. Incidenca e tuberkulozit mbeti e lartë në vitin 2023 (~134 për 100,000), ndërkohë që janë raportuar raste të sëmundjeve të transmetueshme nga vektorët si Lyme dhe virusi i Nilit Perëndimor</w:t>
      </w:r>
      <w:r w:rsidR="00A45048" w:rsidRPr="001C61AE">
        <w:rPr>
          <w:rStyle w:val="FootnoteReference"/>
          <w:rFonts w:ascii="Arial" w:hAnsi="Arial" w:cs="Arial"/>
          <w:lang w:val="sq-AL"/>
        </w:rPr>
        <w:footnoteReference w:id="77"/>
      </w:r>
      <w:r w:rsidR="000B642F" w:rsidRPr="001C61AE">
        <w:rPr>
          <w:rFonts w:ascii="Arial" w:hAnsi="Arial" w:cs="Arial"/>
          <w:lang w:val="sq-AL"/>
        </w:rPr>
        <w:t>. P</w:t>
      </w:r>
      <w:r w:rsidRPr="001C61AE">
        <w:rPr>
          <w:rFonts w:ascii="Arial" w:hAnsi="Arial" w:cs="Arial"/>
          <w:lang w:val="sq-AL"/>
        </w:rPr>
        <w:t xml:space="preserve"> Cilësia e dobët e ajrit – veçanërisht në zonat me varësi të lartë nga thëngjilli, si Obiliqi – ka kontribuar në nivele të larta të sëmundjeve respiratore,</w:t>
      </w:r>
      <w:r w:rsidR="006A7B36" w:rsidRPr="001C61AE">
        <w:rPr>
          <w:rFonts w:ascii="Arial" w:hAnsi="Arial" w:cs="Arial"/>
          <w:lang w:val="sq-AL"/>
        </w:rPr>
        <w:t xml:space="preserve"> sëmundje kronike të mushkërive</w:t>
      </w:r>
      <w:r w:rsidRPr="001C61AE">
        <w:rPr>
          <w:rFonts w:ascii="Arial" w:hAnsi="Arial" w:cs="Arial"/>
          <w:lang w:val="sq-AL"/>
        </w:rPr>
        <w:t xml:space="preserve"> që prekin deri në 25% të fëmijëve në zonat më të ndotura</w:t>
      </w:r>
      <w:r w:rsidR="00A45048" w:rsidRPr="001C61AE">
        <w:rPr>
          <w:rStyle w:val="FootnoteReference"/>
          <w:rFonts w:ascii="Arial" w:hAnsi="Arial" w:cs="Arial"/>
          <w:lang w:val="sq-AL"/>
        </w:rPr>
        <w:footnoteReference w:id="78"/>
      </w:r>
      <w:r w:rsidR="000B642F" w:rsidRPr="001C61AE">
        <w:rPr>
          <w:rFonts w:ascii="Arial" w:hAnsi="Arial" w:cs="Arial"/>
          <w:lang w:val="sq-AL"/>
        </w:rPr>
        <w:t>.</w:t>
      </w:r>
    </w:p>
    <w:p w14:paraId="5FD036DF" w14:textId="11AAD073" w:rsidR="00503A18" w:rsidRPr="001C61AE" w:rsidRDefault="0053278B" w:rsidP="008E17FD">
      <w:pPr>
        <w:jc w:val="both"/>
        <w:rPr>
          <w:rFonts w:ascii="Arial" w:hAnsi="Arial" w:cs="Arial"/>
          <w:lang w:val="sq-AL"/>
        </w:rPr>
      </w:pPr>
      <w:r w:rsidRPr="001C61AE">
        <w:rPr>
          <w:rFonts w:ascii="Arial" w:hAnsi="Arial" w:cs="Arial"/>
          <w:lang w:val="sq-AL"/>
        </w:rPr>
        <w:lastRenderedPageBreak/>
        <w:t xml:space="preserve">Infrastruktura shëndetësore dhe burimet njerëzore janë të kufizuara dhe të shpërndara në mënyrë të pabarabartë, duke paraqitur sfida si për ofrimin rutinë të shërbimeve ashtu edhe për planifikimin e një sistemi shëndetësor të qëndrueshëm ndaj ndryshimeve klimatike. Kosova funksionon me një sistem shëndetësor me tre nivele: </w:t>
      </w:r>
      <w:r w:rsidR="006A7B36" w:rsidRPr="001C61AE">
        <w:rPr>
          <w:rFonts w:ascii="Arial" w:hAnsi="Arial" w:cs="Arial"/>
          <w:lang w:val="sq-AL"/>
        </w:rPr>
        <w:t>kujdesit primar shëndet</w:t>
      </w:r>
      <w:r w:rsidR="001A47A2" w:rsidRPr="001C61AE">
        <w:rPr>
          <w:rFonts w:ascii="Arial" w:hAnsi="Arial" w:cs="Arial"/>
          <w:lang w:val="sq-AL"/>
        </w:rPr>
        <w:t>ë</w:t>
      </w:r>
      <w:r w:rsidR="006A7B36" w:rsidRPr="001C61AE">
        <w:rPr>
          <w:rFonts w:ascii="Arial" w:hAnsi="Arial" w:cs="Arial"/>
          <w:lang w:val="sq-AL"/>
        </w:rPr>
        <w:t xml:space="preserve">sor, </w:t>
      </w:r>
      <w:r w:rsidR="001A47A2" w:rsidRPr="001C61AE">
        <w:rPr>
          <w:rFonts w:ascii="Arial" w:hAnsi="Arial" w:cs="Arial"/>
          <w:lang w:val="sq-AL"/>
        </w:rPr>
        <w:t>k</w:t>
      </w:r>
      <w:r w:rsidR="006A7B36" w:rsidRPr="001C61AE">
        <w:rPr>
          <w:rFonts w:ascii="Arial" w:hAnsi="Arial" w:cs="Arial"/>
          <w:lang w:val="sq-AL"/>
        </w:rPr>
        <w:t xml:space="preserve">ujdesit sekondar </w:t>
      </w:r>
      <w:r w:rsidR="001A47A2" w:rsidRPr="001C61AE">
        <w:rPr>
          <w:rFonts w:ascii="Arial" w:hAnsi="Arial" w:cs="Arial"/>
          <w:lang w:val="sq-AL"/>
        </w:rPr>
        <w:t>shëndetësor</w:t>
      </w:r>
      <w:r w:rsidR="006A7B36" w:rsidRPr="001C61AE">
        <w:rPr>
          <w:rFonts w:ascii="Arial" w:hAnsi="Arial" w:cs="Arial"/>
          <w:lang w:val="sq-AL"/>
        </w:rPr>
        <w:t xml:space="preserve">, </w:t>
      </w:r>
      <w:r w:rsidR="001A47A2" w:rsidRPr="001C61AE">
        <w:rPr>
          <w:rFonts w:ascii="Arial" w:hAnsi="Arial" w:cs="Arial"/>
          <w:lang w:val="sq-AL"/>
        </w:rPr>
        <w:t>k</w:t>
      </w:r>
      <w:r w:rsidR="006A7B36" w:rsidRPr="001C61AE">
        <w:rPr>
          <w:rFonts w:ascii="Arial" w:hAnsi="Arial" w:cs="Arial"/>
          <w:lang w:val="sq-AL"/>
        </w:rPr>
        <w:t xml:space="preserve">ujdesit terciar </w:t>
      </w:r>
      <w:r w:rsidR="001A47A2" w:rsidRPr="001C61AE">
        <w:rPr>
          <w:rFonts w:ascii="Arial" w:hAnsi="Arial" w:cs="Arial"/>
          <w:lang w:val="sq-AL"/>
        </w:rPr>
        <w:t>shëndetësor</w:t>
      </w:r>
      <w:r w:rsidR="001A47A2" w:rsidRPr="001C61AE" w:rsidDel="006A7B36">
        <w:rPr>
          <w:rFonts w:ascii="Arial" w:hAnsi="Arial" w:cs="Arial"/>
          <w:lang w:val="sq-AL"/>
        </w:rPr>
        <w:t xml:space="preserve"> </w:t>
      </w:r>
      <w:r w:rsidRPr="001C61AE">
        <w:rPr>
          <w:rFonts w:ascii="Arial" w:hAnsi="Arial" w:cs="Arial"/>
          <w:lang w:val="sq-AL"/>
        </w:rPr>
        <w:t xml:space="preserve">, me infrastrukturën publike që përfshin 458 institucione të kujdesit parësor, 17 të kujdesit sekondar dhe 19 të kujdesit terciar, duke punësuar rreth 12,390 profesionistë shëndetësorë. Qendra Klinike Universitare në Prishtinë, </w:t>
      </w:r>
      <w:r w:rsidR="001A47A2" w:rsidRPr="001C61AE">
        <w:rPr>
          <w:rFonts w:ascii="Arial" w:hAnsi="Arial" w:cs="Arial"/>
          <w:lang w:val="sq-AL"/>
        </w:rPr>
        <w:t xml:space="preserve">gjashtë </w:t>
      </w:r>
      <w:r w:rsidRPr="001C61AE">
        <w:rPr>
          <w:rFonts w:ascii="Arial" w:hAnsi="Arial" w:cs="Arial"/>
          <w:lang w:val="sq-AL"/>
        </w:rPr>
        <w:t xml:space="preserve">spitale rajonale dhe dhjetëra qendra të mjekësisë familjare dhe ambulanca komunitare përbëjnë bazën e këtij sistemi publik. Paralelisht, që nga viti 2022 janë licencuar mbi </w:t>
      </w:r>
      <w:r w:rsidR="001A47A2" w:rsidRPr="001C61AE">
        <w:rPr>
          <w:rFonts w:ascii="Arial" w:hAnsi="Arial" w:cs="Arial"/>
          <w:lang w:val="sq-AL"/>
        </w:rPr>
        <w:t xml:space="preserve">2,109 </w:t>
      </w:r>
      <w:r w:rsidRPr="001C61AE">
        <w:rPr>
          <w:rFonts w:ascii="Arial" w:hAnsi="Arial" w:cs="Arial"/>
          <w:lang w:val="sq-AL"/>
        </w:rPr>
        <w:t>institucione private të kujdesit parësor, kryesisht ambulatore</w:t>
      </w:r>
      <w:r w:rsidR="00E2607D" w:rsidRPr="001C61AE">
        <w:rPr>
          <w:rFonts w:ascii="Arial" w:hAnsi="Arial" w:cs="Arial"/>
          <w:lang w:val="sq-AL"/>
        </w:rPr>
        <w:t>.</w:t>
      </w:r>
      <w:r w:rsidR="00503A18" w:rsidRPr="001C61AE">
        <w:rPr>
          <w:rStyle w:val="FootnoteReference"/>
          <w:rFonts w:ascii="Arial" w:hAnsi="Arial" w:cs="Arial"/>
          <w:lang w:val="sq-AL"/>
        </w:rPr>
        <w:footnoteReference w:id="79"/>
      </w:r>
    </w:p>
    <w:p w14:paraId="1C12E41F" w14:textId="06BF04D0" w:rsidR="00503A18" w:rsidRPr="001C61AE" w:rsidRDefault="0053278B" w:rsidP="008E17FD">
      <w:pPr>
        <w:jc w:val="both"/>
        <w:rPr>
          <w:rFonts w:ascii="Arial" w:hAnsi="Arial" w:cs="Arial"/>
          <w:lang w:val="sq-AL"/>
        </w:rPr>
      </w:pPr>
      <w:r w:rsidRPr="001C61AE">
        <w:rPr>
          <w:rFonts w:ascii="Arial" w:hAnsi="Arial" w:cs="Arial"/>
          <w:lang w:val="sq-AL"/>
        </w:rPr>
        <w:t xml:space="preserve">Megjithatë, </w:t>
      </w:r>
      <w:r w:rsidR="00E11DD9" w:rsidRPr="001C61AE">
        <w:rPr>
          <w:rFonts w:ascii="Arial" w:hAnsi="Arial" w:cs="Arial"/>
          <w:lang w:val="sq-AL"/>
        </w:rPr>
        <w:t xml:space="preserve">mbulueshmëria me staf </w:t>
      </w:r>
      <w:r w:rsidRPr="001C61AE">
        <w:rPr>
          <w:rFonts w:ascii="Arial" w:hAnsi="Arial" w:cs="Arial"/>
          <w:lang w:val="sq-AL"/>
        </w:rPr>
        <w:t>shëndetësor mbetet e ulët në të gjitha nivelet, me vetëm 1.5 mjekë dhe 4.1 infermierë për 1,000 banorë, dhe një raport infermier/mjek prej 2.7. Këto shifra janë dukshëm nën mesataren e BE-së, veçanërisht për sa i përket numrit të mjekëve (mesatarja e BE-së: 4.3 për 1,000 banorë). Gjithashtu ka vetëm 0.2 dentistë dhe 0.03 farmacistë për 1,000 banorë. Në zonat rurale dhe të nënpërfaqësuara, këto mungesa janë edhe më të theksuara, duke thelluar më tej pabarazitë në qasje dhe cilësinë e kujdesit</w:t>
      </w:r>
      <w:r w:rsidR="00E2607D" w:rsidRPr="001C61AE">
        <w:rPr>
          <w:rFonts w:ascii="Arial" w:hAnsi="Arial" w:cs="Arial"/>
          <w:lang w:val="sq-AL"/>
        </w:rPr>
        <w:t>.</w:t>
      </w:r>
      <w:r w:rsidR="00503A18" w:rsidRPr="001C61AE">
        <w:rPr>
          <w:rStyle w:val="FootnoteReference"/>
          <w:rFonts w:ascii="Arial" w:hAnsi="Arial" w:cs="Arial"/>
          <w:lang w:val="sq-AL"/>
        </w:rPr>
        <w:footnoteReference w:id="80"/>
      </w:r>
      <w:r w:rsidR="00503A18" w:rsidRPr="001C61AE">
        <w:rPr>
          <w:rFonts w:ascii="Arial" w:hAnsi="Arial" w:cs="Arial"/>
          <w:lang w:val="sq-AL"/>
        </w:rPr>
        <w:t xml:space="preserve"> </w:t>
      </w:r>
    </w:p>
    <w:p w14:paraId="2C1DBBFC" w14:textId="69286338" w:rsidR="00503A18" w:rsidRPr="001C61AE" w:rsidRDefault="0053278B" w:rsidP="008E17FD">
      <w:pPr>
        <w:jc w:val="both"/>
        <w:rPr>
          <w:rFonts w:ascii="Arial" w:hAnsi="Arial" w:cs="Arial"/>
          <w:lang w:val="sq-AL"/>
        </w:rPr>
      </w:pPr>
      <w:r w:rsidRPr="001C61AE">
        <w:rPr>
          <w:rFonts w:ascii="Arial" w:hAnsi="Arial" w:cs="Arial"/>
          <w:lang w:val="sq-AL"/>
        </w:rPr>
        <w:t>Shumë objekte shëndetësore janë të vjetruara dhe të pajisura dobët për të përballuar rreziqet klimatike si nxehtësia ekstreme, përmbytjet dhe shpërthimet e sëmundjeve. Një vlerësim i fundit ka theksuar mangësi të gjera në infrastrukturë, gatishmëri emergjente dhe kapacitete institucionale. Sistemi publik shëndetësor—përfshirë Institutin Kombëtar të Shëndetësisë Publike dhe qendrat rajonale—nuk ka burime të mjaftueshme për monitorim, paralajmërim të hershëm dhe planifikim shëndetësor të përshtatur ndaj klimës, duke minuar aftësinë e tij për të mbrojtur popullatat e cenueshme në një klimë që po ndryshon</w:t>
      </w:r>
      <w:r w:rsidR="00E2607D" w:rsidRPr="001C61AE">
        <w:rPr>
          <w:rFonts w:ascii="Arial" w:hAnsi="Arial" w:cs="Arial"/>
          <w:lang w:val="sq-AL"/>
        </w:rPr>
        <w:t>.</w:t>
      </w:r>
      <w:r w:rsidR="00503A18" w:rsidRPr="001C61AE">
        <w:rPr>
          <w:rStyle w:val="FootnoteReference"/>
          <w:rFonts w:ascii="Arial" w:hAnsi="Arial" w:cs="Arial"/>
          <w:lang w:val="sq-AL"/>
        </w:rPr>
        <w:footnoteReference w:id="81"/>
      </w:r>
    </w:p>
    <w:p w14:paraId="3B12147F" w14:textId="7110052D" w:rsidR="001D4FA1" w:rsidRPr="001C61AE" w:rsidRDefault="0053278B" w:rsidP="001D4FA1">
      <w:pPr>
        <w:spacing w:line="240" w:lineRule="auto"/>
        <w:jc w:val="both"/>
        <w:rPr>
          <w:rFonts w:ascii="Arial" w:hAnsi="Arial" w:cs="Arial"/>
          <w:b/>
          <w:bCs/>
          <w:lang w:val="sq-AL"/>
        </w:rPr>
      </w:pPr>
      <w:r w:rsidRPr="001C61AE">
        <w:rPr>
          <w:rFonts w:ascii="Arial" w:hAnsi="Arial" w:cs="Arial"/>
          <w:b/>
          <w:bCs/>
          <w:lang w:val="sq-AL"/>
        </w:rPr>
        <w:t>Cenueshmëria ndaj klimës dhe sfidat kryesore të përshtatje</w:t>
      </w:r>
      <w:r w:rsidR="00E7411B" w:rsidRPr="001C61AE">
        <w:rPr>
          <w:rFonts w:ascii="Arial" w:hAnsi="Arial" w:cs="Arial"/>
          <w:b/>
          <w:bCs/>
          <w:lang w:val="sq-AL"/>
        </w:rPr>
        <w:t>s</w:t>
      </w:r>
    </w:p>
    <w:p w14:paraId="27069D77" w14:textId="7453308E" w:rsidR="00FA2A49" w:rsidRPr="001C61AE" w:rsidRDefault="0053278B" w:rsidP="00905BF3">
      <w:pPr>
        <w:jc w:val="both"/>
        <w:rPr>
          <w:rFonts w:ascii="Arial" w:hAnsi="Arial" w:cs="Arial"/>
          <w:lang w:val="sq-AL"/>
        </w:rPr>
      </w:pPr>
      <w:r w:rsidRPr="001C61AE">
        <w:rPr>
          <w:rFonts w:ascii="Arial" w:hAnsi="Arial" w:cs="Arial"/>
          <w:lang w:val="sq-AL"/>
        </w:rPr>
        <w:t>Klima kontinentale e Kosovës po përjeton ndryshime të konsiderueshme, me temperaturat mesatare që janë rritur me rreth 1.0–1.3 °C ndërmjet viteve 2001 dhe 2020 (Prishtinë/Ferizaj), duke kontribuar në valë të nxehtësisë më të shpeshta dhe më intensive. Ndërsa dimrat mbeten të ftohtë, parashikimet klimatike sugjerojnë një trend drejt dimrave më të butë, të ndërprerë nga të ftohta të befasishme. Modelet e reshjeve po bëhen gjithnjë e më të çrregullta, me vera më të thata dhe ngjarje të reshjeve intensive më të përqendruara. Përmbytjet historike (1988, 2000, 2013) dhe përmbytjet e befasishme në vitin 2023 theksojnë rrezikun në rritje</w:t>
      </w:r>
      <w:r w:rsidR="00FA2A49" w:rsidRPr="001C61AE">
        <w:rPr>
          <w:rFonts w:ascii="Arial" w:hAnsi="Arial" w:cs="Arial"/>
          <w:lang w:val="sq-AL"/>
        </w:rPr>
        <w:t>.</w:t>
      </w:r>
    </w:p>
    <w:p w14:paraId="0078280A" w14:textId="09A9CD39" w:rsidR="00FA2A49" w:rsidRPr="001C61AE" w:rsidRDefault="002D2044" w:rsidP="00FA2A49">
      <w:pPr>
        <w:spacing w:line="240" w:lineRule="auto"/>
        <w:jc w:val="both"/>
        <w:rPr>
          <w:rFonts w:ascii="Arial" w:hAnsi="Arial" w:cs="Arial"/>
          <w:lang w:val="sq-AL"/>
        </w:rPr>
      </w:pPr>
      <w:r w:rsidRPr="001C61AE">
        <w:rPr>
          <w:rFonts w:ascii="Arial" w:hAnsi="Arial" w:cs="Arial"/>
          <w:noProof/>
        </w:rPr>
        <w:lastRenderedPageBreak/>
        <mc:AlternateContent>
          <mc:Choice Requires="wps">
            <w:drawing>
              <wp:anchor distT="0" distB="0" distL="114300" distR="114300" simplePos="0" relativeHeight="251834368" behindDoc="0" locked="0" layoutInCell="1" allowOverlap="1" wp14:anchorId="5232A713" wp14:editId="6242369E">
                <wp:simplePos x="0" y="0"/>
                <wp:positionH relativeFrom="margin">
                  <wp:align>left</wp:align>
                </wp:positionH>
                <wp:positionV relativeFrom="paragraph">
                  <wp:posOffset>4244975</wp:posOffset>
                </wp:positionV>
                <wp:extent cx="6480810" cy="190500"/>
                <wp:effectExtent l="0" t="0" r="0" b="0"/>
                <wp:wrapSquare wrapText="bothSides"/>
                <wp:docPr id="431337901" name="Text Box 1"/>
                <wp:cNvGraphicFramePr/>
                <a:graphic xmlns:a="http://schemas.openxmlformats.org/drawingml/2006/main">
                  <a:graphicData uri="http://schemas.microsoft.com/office/word/2010/wordprocessingShape">
                    <wps:wsp>
                      <wps:cNvSpPr txBox="1"/>
                      <wps:spPr>
                        <a:xfrm>
                          <a:off x="0" y="0"/>
                          <a:ext cx="6480810" cy="190500"/>
                        </a:xfrm>
                        <a:prstGeom prst="rect">
                          <a:avLst/>
                        </a:prstGeom>
                        <a:solidFill>
                          <a:prstClr val="white"/>
                        </a:solidFill>
                        <a:ln>
                          <a:noFill/>
                        </a:ln>
                      </wps:spPr>
                      <wps:txbx>
                        <w:txbxContent>
                          <w:p w14:paraId="50B761E1" w14:textId="72574003" w:rsidR="002D2044" w:rsidRPr="00FB1067" w:rsidRDefault="002D2044" w:rsidP="004C6E93">
                            <w:pPr>
                              <w:pStyle w:val="Caption"/>
                              <w:rPr>
                                <w:rFonts w:ascii="Arial" w:hAnsi="Arial" w:cs="Arial"/>
                                <w:noProof/>
                                <w:lang w:val="sq-AL" w:eastAsia="sq-AL"/>
                              </w:rPr>
                            </w:pPr>
                            <w:bookmarkStart w:id="87" w:name="_Toc211532631"/>
                            <w:r w:rsidRPr="00FB1067">
                              <w:rPr>
                                <w:rFonts w:ascii="Arial" w:hAnsi="Arial" w:cs="Arial"/>
                              </w:rPr>
                              <w:t xml:space="preserve">Figura </w:t>
                            </w:r>
                            <w:r w:rsidRPr="00FB1067">
                              <w:rPr>
                                <w:rFonts w:ascii="Arial" w:hAnsi="Arial" w:cs="Arial"/>
                              </w:rPr>
                              <w:fldChar w:fldCharType="begin"/>
                            </w:r>
                            <w:r w:rsidRPr="00FB1067">
                              <w:rPr>
                                <w:rFonts w:ascii="Arial" w:hAnsi="Arial" w:cs="Arial"/>
                              </w:rPr>
                              <w:instrText xml:space="preserve"> SEQ Figura \* ARABIC </w:instrText>
                            </w:r>
                            <w:r w:rsidRPr="00FB1067">
                              <w:rPr>
                                <w:rFonts w:ascii="Arial" w:hAnsi="Arial" w:cs="Arial"/>
                              </w:rPr>
                              <w:fldChar w:fldCharType="separate"/>
                            </w:r>
                            <w:r w:rsidR="0005579F" w:rsidRPr="00FB1067">
                              <w:rPr>
                                <w:rFonts w:ascii="Arial" w:hAnsi="Arial" w:cs="Arial"/>
                                <w:noProof/>
                              </w:rPr>
                              <w:t>30</w:t>
                            </w:r>
                            <w:r w:rsidRPr="00FB1067">
                              <w:rPr>
                                <w:rFonts w:ascii="Arial" w:hAnsi="Arial" w:cs="Arial"/>
                              </w:rPr>
                              <w:fldChar w:fldCharType="end"/>
                            </w:r>
                            <w:r w:rsidRPr="00FB1067">
                              <w:rPr>
                                <w:rFonts w:ascii="Arial" w:hAnsi="Arial" w:cs="Arial"/>
                              </w:rPr>
                              <w:t>. Zinxhiri i ndikimit për sektorin social. Burimi: MMPHII, 2025.</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32A713" id="_x0000_s1069" type="#_x0000_t202" style="position:absolute;left:0;text-align:left;margin-left:0;margin-top:334.25pt;width:510.3pt;height:15pt;z-index:2518343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" stroked="f">
                <v:textbox inset="0,0,0,0">
                  <w:txbxContent>
                    <w:p w14:paraId="50B761E1" w14:textId="72574003" w:rsidR="002D2044" w:rsidRPr="00FB1067" w:rsidRDefault="002D2044" w:rsidP="004C6E93">
                      <w:pPr>
                        <w:pStyle w:val="Caption"/>
                        <w:rPr>
                          <w:rFonts w:ascii="Arial" w:hAnsi="Arial" w:cs="Arial"/>
                          <w:noProof/>
                          <w:lang w:val="sq-AL" w:eastAsia="sq-AL"/>
                        </w:rPr>
                      </w:pPr>
                      <w:bookmarkStart w:id="106" w:name="_Toc211532631"/>
                      <w:r w:rsidRPr="00FB1067">
                        <w:rPr>
                          <w:rFonts w:ascii="Arial" w:hAnsi="Arial" w:cs="Arial"/>
                        </w:rPr>
                        <w:t xml:space="preserve">Figura </w:t>
                      </w:r>
                      <w:r w:rsidRPr="00FB1067">
                        <w:rPr>
                          <w:rFonts w:ascii="Arial" w:hAnsi="Arial" w:cs="Arial"/>
                        </w:rPr>
                        <w:fldChar w:fldCharType="begin"/>
                      </w:r>
                      <w:r w:rsidRPr="00FB1067">
                        <w:rPr>
                          <w:rFonts w:ascii="Arial" w:hAnsi="Arial" w:cs="Arial"/>
                        </w:rPr>
                        <w:instrText xml:space="preserve"> SEQ Figura \* ARABIC </w:instrText>
                      </w:r>
                      <w:r w:rsidRPr="00FB1067">
                        <w:rPr>
                          <w:rFonts w:ascii="Arial" w:hAnsi="Arial" w:cs="Arial"/>
                        </w:rPr>
                        <w:fldChar w:fldCharType="separate"/>
                      </w:r>
                      <w:r w:rsidR="0005579F" w:rsidRPr="00FB1067">
                        <w:rPr>
                          <w:rFonts w:ascii="Arial" w:hAnsi="Arial" w:cs="Arial"/>
                          <w:noProof/>
                        </w:rPr>
                        <w:t>30</w:t>
                      </w:r>
                      <w:r w:rsidRPr="00FB1067">
                        <w:rPr>
                          <w:rFonts w:ascii="Arial" w:hAnsi="Arial" w:cs="Arial"/>
                        </w:rPr>
                        <w:fldChar w:fldCharType="end"/>
                      </w:r>
                      <w:r w:rsidRPr="00FB1067">
                        <w:rPr>
                          <w:rFonts w:ascii="Arial" w:hAnsi="Arial" w:cs="Arial"/>
                        </w:rPr>
                        <w:t xml:space="preserve">. </w:t>
                      </w:r>
                      <w:r w:rsidRPr="00FB1067">
                        <w:rPr>
                          <w:rFonts w:ascii="Arial" w:hAnsi="Arial" w:cs="Arial"/>
                        </w:rPr>
                        <w:t>Zinxhiri i ndikimit për sektorin social. Burimi: MMPHII, 2025.</w:t>
                      </w:r>
                      <w:bookmarkEnd w:id="106"/>
                    </w:p>
                  </w:txbxContent>
                </v:textbox>
                <w10:wrap type="square" anchorx="margin"/>
              </v:shape>
            </w:pict>
          </mc:Fallback>
        </mc:AlternateContent>
      </w:r>
      <w:r w:rsidR="00FA2A49" w:rsidRPr="001C61AE">
        <w:rPr>
          <w:rFonts w:ascii="Arial" w:hAnsi="Arial" w:cs="Arial"/>
          <w:noProof/>
        </w:rPr>
        <w:drawing>
          <wp:anchor distT="0" distB="0" distL="114300" distR="114300" simplePos="0" relativeHeight="251781120" behindDoc="0" locked="0" layoutInCell="1" allowOverlap="1" wp14:anchorId="52AF4639" wp14:editId="189AB58C">
            <wp:simplePos x="0" y="0"/>
            <wp:positionH relativeFrom="column">
              <wp:posOffset>635</wp:posOffset>
            </wp:positionH>
            <wp:positionV relativeFrom="paragraph">
              <wp:posOffset>9525</wp:posOffset>
            </wp:positionV>
            <wp:extent cx="6480810" cy="4175125"/>
            <wp:effectExtent l="0" t="0" r="0" b="0"/>
            <wp:wrapSquare wrapText="bothSides"/>
            <wp:docPr id="2679899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89959" name="Imagen 1"/>
                    <pic:cNvPicPr/>
                  </pic:nvPicPr>
                  <pic:blipFill>
                    <a:blip r:embed="rId57">
                      <a:extLst>
                        <a:ext uri="{28A0092B-C50C-407E-A947-70E740481C1C}">
                          <a14:useLocalDpi xmlns:a14="http://schemas.microsoft.com/office/drawing/2010/main" val="0"/>
                        </a:ext>
                      </a:extLst>
                    </a:blip>
                    <a:stretch>
                      <a:fillRect/>
                    </a:stretch>
                  </pic:blipFill>
                  <pic:spPr>
                    <a:xfrm>
                      <a:off x="0" y="0"/>
                      <a:ext cx="6480810" cy="4175125"/>
                    </a:xfrm>
                    <a:prstGeom prst="rect">
                      <a:avLst/>
                    </a:prstGeom>
                  </pic:spPr>
                </pic:pic>
              </a:graphicData>
            </a:graphic>
            <wp14:sizeRelV relativeFrom="margin">
              <wp14:pctHeight>0</wp14:pctHeight>
            </wp14:sizeRelV>
          </wp:anchor>
        </w:drawing>
      </w:r>
    </w:p>
    <w:p w14:paraId="3B4A3D84" w14:textId="65835045" w:rsidR="00FA2A49" w:rsidRPr="001C61AE" w:rsidRDefault="00FA2A49" w:rsidP="002D2044">
      <w:pPr>
        <w:pStyle w:val="Caption"/>
        <w:spacing w:after="0"/>
        <w:jc w:val="right"/>
        <w:rPr>
          <w:rFonts w:ascii="Arial" w:hAnsi="Arial" w:cs="Arial"/>
          <w:color w:val="auto"/>
          <w:sz w:val="20"/>
          <w:szCs w:val="20"/>
          <w:lang w:val="sq-AL"/>
        </w:rPr>
      </w:pPr>
      <w:bookmarkStart w:id="88" w:name="_Hlk200714616"/>
    </w:p>
    <w:bookmarkEnd w:id="88"/>
    <w:p w14:paraId="43D39AFF" w14:textId="3F17D2ED" w:rsidR="00FA2A49" w:rsidRPr="001C61AE" w:rsidRDefault="0053278B" w:rsidP="00905BF3">
      <w:pPr>
        <w:jc w:val="both"/>
        <w:rPr>
          <w:rFonts w:ascii="Arial" w:hAnsi="Arial" w:cs="Arial"/>
          <w:lang w:val="sq-AL"/>
        </w:rPr>
      </w:pPr>
      <w:r w:rsidRPr="001C61AE">
        <w:rPr>
          <w:rFonts w:ascii="Arial" w:hAnsi="Arial" w:cs="Arial"/>
          <w:lang w:val="sq-AL"/>
        </w:rPr>
        <w:t xml:space="preserve">Këto modele klimatike në zhvillim po i amplifikojnë sfidat ekzistuese të shëndetit publik. Sëmundjet që lidhen me nxehtësinë - të tilla si dehidratimi dhe lodhja nga nxehtësia - po rriten, veçanërisht në mesin e grupeve të cenueshme si fëmijët dhe të moshuarit. Periudhat e ajrit të ndenjur dhe ndotja e shtuar gjatë valëve të nxehtësisë dhe përmbysjeve dimërore përkeqësojnë sëmundjet e frymëmarrjes, duke përfshirë astmën dhe </w:t>
      </w:r>
      <w:r w:rsidR="00E11DD9" w:rsidRPr="001C61AE">
        <w:rPr>
          <w:rFonts w:ascii="Arial" w:hAnsi="Arial" w:cs="Arial"/>
          <w:lang w:val="sq-AL"/>
        </w:rPr>
        <w:t xml:space="preserve">sëmundjet kronike obstruktive të mushkërive </w:t>
      </w:r>
      <w:r w:rsidRPr="001C61AE">
        <w:rPr>
          <w:rFonts w:ascii="Arial" w:hAnsi="Arial" w:cs="Arial"/>
          <w:lang w:val="sq-AL"/>
        </w:rPr>
        <w:t>. Raportet nga kujdesi pediatrik në zonën e Obiliqit tregojnë se deri në 25% e fëmijëve preken nga sëmundjet kronike pulmonare</w:t>
      </w:r>
      <w:r w:rsidR="00FA2A49" w:rsidRPr="001C61AE">
        <w:rPr>
          <w:rFonts w:ascii="Arial" w:hAnsi="Arial" w:cs="Arial"/>
          <w:lang w:val="sq-AL"/>
        </w:rPr>
        <w:t>.</w:t>
      </w:r>
    </w:p>
    <w:p w14:paraId="623B810D" w14:textId="77777777" w:rsidR="002D2044" w:rsidRPr="001C61AE" w:rsidRDefault="002D5BEC" w:rsidP="004C6E93">
      <w:pPr>
        <w:keepNext/>
        <w:spacing w:line="240" w:lineRule="auto"/>
        <w:jc w:val="both"/>
        <w:rPr>
          <w:rFonts w:ascii="Arial" w:hAnsi="Arial" w:cs="Arial"/>
        </w:rPr>
      </w:pPr>
      <w:r w:rsidRPr="001C61AE">
        <w:rPr>
          <w:rFonts w:ascii="Arial" w:hAnsi="Arial" w:cs="Arial"/>
          <w:noProof/>
        </w:rPr>
        <w:lastRenderedPageBreak/>
        <w:drawing>
          <wp:inline distT="0" distB="0" distL="0" distR="0" wp14:anchorId="278DA24A" wp14:editId="5F3DE257">
            <wp:extent cx="6477887" cy="3823609"/>
            <wp:effectExtent l="0" t="0" r="0" b="5715"/>
            <wp:docPr id="73102932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29325" name="Imagen 18"/>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6477887" cy="3823609"/>
                    </a:xfrm>
                    <a:prstGeom prst="rect">
                      <a:avLst/>
                    </a:prstGeom>
                    <a:noFill/>
                  </pic:spPr>
                </pic:pic>
              </a:graphicData>
            </a:graphic>
          </wp:inline>
        </w:drawing>
      </w:r>
    </w:p>
    <w:p w14:paraId="1FD2BBD9" w14:textId="6974B47D" w:rsidR="002D2044" w:rsidRPr="001C61AE" w:rsidRDefault="002D2044" w:rsidP="004C6E93">
      <w:pPr>
        <w:pStyle w:val="Caption"/>
        <w:jc w:val="both"/>
        <w:rPr>
          <w:rFonts w:ascii="Arial" w:hAnsi="Arial" w:cs="Arial"/>
        </w:rPr>
      </w:pPr>
      <w:bookmarkStart w:id="89" w:name="_Toc211532632"/>
      <w:r w:rsidRPr="001C61AE">
        <w:rPr>
          <w:rFonts w:ascii="Arial" w:hAnsi="Arial" w:cs="Arial"/>
        </w:rPr>
        <w:t xml:space="preserve">Figura </w:t>
      </w:r>
      <w:r w:rsidRPr="001C61AE">
        <w:rPr>
          <w:rFonts w:ascii="Arial" w:hAnsi="Arial" w:cs="Arial"/>
        </w:rPr>
        <w:fldChar w:fldCharType="begin"/>
      </w:r>
      <w:r w:rsidRPr="001C61AE">
        <w:rPr>
          <w:rFonts w:ascii="Arial" w:hAnsi="Arial" w:cs="Arial"/>
        </w:rPr>
        <w:instrText xml:space="preserve"> SEQ Figura \* ARABIC </w:instrText>
      </w:r>
      <w:r w:rsidRPr="001C61AE">
        <w:rPr>
          <w:rFonts w:ascii="Arial" w:hAnsi="Arial" w:cs="Arial"/>
        </w:rPr>
        <w:fldChar w:fldCharType="separate"/>
      </w:r>
      <w:r w:rsidR="0005579F" w:rsidRPr="001C61AE">
        <w:rPr>
          <w:rFonts w:ascii="Arial" w:hAnsi="Arial" w:cs="Arial"/>
          <w:noProof/>
        </w:rPr>
        <w:t>31</w:t>
      </w:r>
      <w:r w:rsidRPr="001C61AE">
        <w:rPr>
          <w:rFonts w:ascii="Arial" w:hAnsi="Arial" w:cs="Arial"/>
        </w:rPr>
        <w:fldChar w:fldCharType="end"/>
      </w:r>
      <w:r w:rsidRPr="001C61AE">
        <w:rPr>
          <w:rFonts w:ascii="Arial" w:hAnsi="Arial" w:cs="Arial"/>
        </w:rPr>
        <w:t>. Zinxhiri i ndikimit për sektorin e shëndetësisë. Burimi: MMPHI, 2025.</w:t>
      </w:r>
      <w:bookmarkEnd w:id="89"/>
    </w:p>
    <w:p w14:paraId="28295D22" w14:textId="0784C849" w:rsidR="0053278B" w:rsidRPr="001C61AE" w:rsidRDefault="0053278B" w:rsidP="0053278B">
      <w:pPr>
        <w:spacing w:line="240" w:lineRule="auto"/>
        <w:jc w:val="both"/>
        <w:rPr>
          <w:rFonts w:ascii="Arial" w:hAnsi="Arial" w:cs="Arial"/>
          <w:lang w:val="sq-AL"/>
        </w:rPr>
      </w:pPr>
      <w:r w:rsidRPr="001C61AE">
        <w:rPr>
          <w:rFonts w:ascii="Arial" w:hAnsi="Arial" w:cs="Arial"/>
          <w:lang w:val="sq-AL"/>
        </w:rPr>
        <w:t xml:space="preserve">Siguria e ujit është një tjetër shqetësim në rritje: thatësirat dhe ndotja e shkaktuar nga përmbytjet kërcënojnë </w:t>
      </w:r>
      <w:r w:rsidR="00E11DD9" w:rsidRPr="001C61AE">
        <w:rPr>
          <w:rFonts w:ascii="Arial" w:hAnsi="Arial" w:cs="Arial"/>
          <w:lang w:val="sq-AL"/>
        </w:rPr>
        <w:t xml:space="preserve">sigurinë </w:t>
      </w:r>
      <w:r w:rsidRPr="001C61AE">
        <w:rPr>
          <w:rFonts w:ascii="Arial" w:hAnsi="Arial" w:cs="Arial"/>
          <w:lang w:val="sq-AL"/>
        </w:rPr>
        <w:t xml:space="preserve">e sistemeve të furnizimit me ujë dhe kanalizimeve, duke kontribuar </w:t>
      </w:r>
      <w:r w:rsidR="00E11DD9" w:rsidRPr="001C61AE">
        <w:rPr>
          <w:rFonts w:ascii="Arial" w:hAnsi="Arial" w:cs="Arial"/>
          <w:lang w:val="sq-AL"/>
        </w:rPr>
        <w:t xml:space="preserve">shkallë të lartë të incidences së diaresë </w:t>
      </w:r>
      <w:r w:rsidRPr="001C61AE">
        <w:rPr>
          <w:rFonts w:ascii="Arial" w:hAnsi="Arial" w:cs="Arial"/>
          <w:lang w:val="sq-AL"/>
        </w:rPr>
        <w:t xml:space="preserve"> dhe sëmundjeve të transmetuara nga ushqimi. Paralelisht, sezonet e zgjatura të polenit dhe rritja e alergjenëve të ajrit kanë çuar në një rritje të rasteve të alergjive dhe astmës. Ndërsa incidenca e sëmundjeve të transmetuara nga vektorët mbetet e kufizuar, ndryshimi i klimës mund të zgjerojë habitatin për vektorët si rriqrat dhe mushkonjat, duke rritur rrezikun e sëmundjes Lyme dhe transmetimit të virusit të Nilit Perëndimor.</w:t>
      </w:r>
    </w:p>
    <w:p w14:paraId="55E6B366" w14:textId="45436BBD" w:rsidR="0053278B" w:rsidRPr="001C61AE" w:rsidRDefault="0053278B" w:rsidP="0053278B">
      <w:pPr>
        <w:spacing w:line="240" w:lineRule="auto"/>
        <w:jc w:val="both"/>
        <w:rPr>
          <w:rFonts w:ascii="Arial" w:hAnsi="Arial" w:cs="Arial"/>
          <w:lang w:val="sq-AL"/>
        </w:rPr>
      </w:pPr>
      <w:r w:rsidRPr="001C61AE">
        <w:rPr>
          <w:rFonts w:ascii="Arial" w:hAnsi="Arial" w:cs="Arial"/>
          <w:lang w:val="sq-AL"/>
        </w:rPr>
        <w:t xml:space="preserve">Dimensioni social i cenueshmërisë ndaj klimës është gjithashtu i theksuar. Komunitetet e largëta dhe me të ardhura të ulëta - duke përfshirë popullatat rome, ashkali dhe egjiptiane - shpesh nuk kanë infrastrukturë bazë, izolim dhe qasje në sisteme ftohjeje ose ngrohjeje. Shumë jetojnë në banesa informale që janë të ekspozuara në mënyrë disproporcionale ndaj përmbytjeve, rrëshqitjeve të tokës ose temperaturave ekstreme. Në këto komunitete, qasja në kujdes shëndetësor është e kufizuar, ndërsa kostot e larta nga xhepi dhe mbulimi joadekuat shëndetësor kufizojnë kapacitetin </w:t>
      </w:r>
      <w:r w:rsidR="00E11DD9" w:rsidRPr="001C61AE">
        <w:rPr>
          <w:rFonts w:ascii="Arial" w:hAnsi="Arial" w:cs="Arial"/>
          <w:lang w:val="sq-AL"/>
        </w:rPr>
        <w:t xml:space="preserve"> përshtatës </w:t>
      </w:r>
      <w:r w:rsidRPr="001C61AE">
        <w:rPr>
          <w:rFonts w:ascii="Arial" w:hAnsi="Arial" w:cs="Arial"/>
          <w:lang w:val="sq-AL"/>
        </w:rPr>
        <w:t>.</w:t>
      </w:r>
    </w:p>
    <w:p w14:paraId="204A5548" w14:textId="7224AEB7" w:rsidR="00FA2A49" w:rsidRPr="001C61AE" w:rsidRDefault="0053278B" w:rsidP="0053278B">
      <w:pPr>
        <w:spacing w:line="240" w:lineRule="auto"/>
        <w:jc w:val="both"/>
        <w:rPr>
          <w:rFonts w:ascii="Arial" w:hAnsi="Arial" w:cs="Arial"/>
          <w:lang w:val="sq-AL"/>
        </w:rPr>
      </w:pPr>
      <w:r w:rsidRPr="001C61AE">
        <w:rPr>
          <w:rFonts w:ascii="Arial" w:hAnsi="Arial" w:cs="Arial"/>
          <w:lang w:val="sq-AL"/>
        </w:rPr>
        <w:t>Ndryshimi i klimës kështu zmadhon një gamë të gjerë rreziqesh fizike, sociale dhe mendore për shëndetin në Kosovë. Nga efektet e drejtpërdrejta - të tilla si lëndimet dhe sëmundjet e shkaktuara nga ngjarje ekstreme - deri te ato indirekte, duke përfshirë pasigurinë ushqimore, zhvendosjen dhe prishjen e shërbimeve thelbësore, rezultatet shëndetësore po formësohen gjithnjë e më shumë nga kriza klimatike. Forcimi i infrastrukturës shëndetësore, sistemeve të paralajmërimit të hershëm dhe mekanizmave të mbrojtjes sociale do të jenë thelbësore për të mbrojtur popullatat në rrezik dhe për të siguruar rezistencë të barabartë në të gjitha segmentet e shoqërisë</w:t>
      </w:r>
      <w:r w:rsidR="00FA2A49" w:rsidRPr="001C61AE">
        <w:rPr>
          <w:rFonts w:ascii="Arial" w:hAnsi="Arial" w:cs="Arial"/>
          <w:lang w:val="sq-AL"/>
        </w:rPr>
        <w:t>.</w:t>
      </w:r>
    </w:p>
    <w:p w14:paraId="53D2BFA4" w14:textId="094A50CB" w:rsidR="001D4FA1" w:rsidRPr="001C61AE" w:rsidRDefault="0053278B" w:rsidP="001D4FA1">
      <w:pPr>
        <w:spacing w:line="240" w:lineRule="auto"/>
        <w:jc w:val="both"/>
        <w:rPr>
          <w:rFonts w:ascii="Arial" w:hAnsi="Arial" w:cs="Arial"/>
          <w:b/>
          <w:bCs/>
          <w:lang w:val="sq-AL"/>
        </w:rPr>
      </w:pPr>
      <w:r w:rsidRPr="001C61AE">
        <w:rPr>
          <w:rFonts w:ascii="Arial" w:hAnsi="Arial" w:cs="Arial"/>
          <w:b/>
          <w:bCs/>
          <w:lang w:val="sq-AL"/>
        </w:rPr>
        <w:t>Korniza e politikave</w:t>
      </w:r>
    </w:p>
    <w:p w14:paraId="31E95BCB" w14:textId="44BD7F3B" w:rsidR="005B3702" w:rsidRPr="001C61AE" w:rsidRDefault="005B3702" w:rsidP="005B3702">
      <w:pPr>
        <w:jc w:val="both"/>
        <w:rPr>
          <w:rFonts w:ascii="Arial" w:hAnsi="Arial" w:cs="Arial"/>
          <w:lang w:val="sq-AL"/>
        </w:rPr>
      </w:pPr>
      <w:r w:rsidRPr="001C61AE">
        <w:rPr>
          <w:rFonts w:ascii="Arial" w:hAnsi="Arial" w:cs="Arial"/>
          <w:lang w:val="sq-AL"/>
        </w:rPr>
        <w:t xml:space="preserve">Politikat shëndetësore të Kosovës e njohin shëndetin mjedisor, por lidhja ndërmjet klimës dhe shëndetit është ende në zhvillim. </w:t>
      </w:r>
      <w:r w:rsidR="00BE39C7" w:rsidRPr="001C61AE">
        <w:rPr>
          <w:rFonts w:ascii="Arial" w:hAnsi="Arial" w:cs="Arial"/>
          <w:lang w:val="sq-AL"/>
        </w:rPr>
        <w:t>Strategjia</w:t>
      </w:r>
      <w:r w:rsidRPr="001C61AE">
        <w:rPr>
          <w:rFonts w:ascii="Arial" w:hAnsi="Arial" w:cs="Arial"/>
          <w:lang w:val="sq-AL"/>
        </w:rPr>
        <w:t xml:space="preserve"> Sektoriale e Shëndetësisë 2025–2030 (HSS) e përmend qartë forcimin e qeverisjes së shëndetit mjedisor: ajo parashikon “funksionalizimin e Komitetit Shtetëror për Shëndet Mjedisor” me qëllim të integrimit të vlerësimeve të rrezikut mjedisor në politikat sektoriale</w:t>
      </w:r>
      <w:r w:rsidR="001D4FA1" w:rsidRPr="001C61AE">
        <w:rPr>
          <w:rStyle w:val="FootnoteReference"/>
          <w:rFonts w:ascii="Arial" w:hAnsi="Arial" w:cs="Arial"/>
          <w:lang w:val="sq-AL"/>
        </w:rPr>
        <w:footnoteReference w:id="82"/>
      </w:r>
      <w:r w:rsidR="001D4FA1" w:rsidRPr="001C61AE">
        <w:rPr>
          <w:rFonts w:ascii="Arial" w:hAnsi="Arial" w:cs="Arial"/>
          <w:lang w:val="sq-AL"/>
        </w:rPr>
        <w:t xml:space="preserve">. </w:t>
      </w:r>
      <w:r w:rsidR="00BE39C7" w:rsidRPr="001C61AE">
        <w:rPr>
          <w:rFonts w:ascii="Arial" w:hAnsi="Arial" w:cs="Arial"/>
          <w:lang w:val="sq-AL"/>
        </w:rPr>
        <w:t>Strategjia</w:t>
      </w:r>
      <w:r w:rsidRPr="001C61AE">
        <w:rPr>
          <w:rFonts w:ascii="Arial" w:hAnsi="Arial" w:cs="Arial"/>
          <w:lang w:val="sq-AL"/>
        </w:rPr>
        <w:t xml:space="preserve"> përfshin gjithashtu veprime për menaxhimin e mbeturinave mjekësore dhe </w:t>
      </w:r>
      <w:r w:rsidR="001F1CDF" w:rsidRPr="001C61AE">
        <w:rPr>
          <w:rFonts w:ascii="Arial" w:hAnsi="Arial" w:cs="Arial"/>
          <w:lang w:val="sq-AL"/>
        </w:rPr>
        <w:t>pjesëmarrës në dialogë</w:t>
      </w:r>
      <w:r w:rsidR="00544A60" w:rsidRPr="001C61AE">
        <w:rPr>
          <w:rFonts w:ascii="Arial" w:hAnsi="Arial" w:cs="Arial"/>
          <w:lang w:val="sq-AL"/>
        </w:rPr>
        <w:t xml:space="preserve"> </w:t>
      </w:r>
      <w:r w:rsidRPr="001C61AE">
        <w:rPr>
          <w:rFonts w:ascii="Arial" w:hAnsi="Arial" w:cs="Arial"/>
          <w:lang w:val="sq-AL"/>
        </w:rPr>
        <w:t xml:space="preserve">për </w:t>
      </w:r>
      <w:r w:rsidRPr="001C61AE">
        <w:rPr>
          <w:rFonts w:ascii="Arial" w:hAnsi="Arial" w:cs="Arial"/>
          <w:lang w:val="sq-AL"/>
        </w:rPr>
        <w:lastRenderedPageBreak/>
        <w:t>rreziqet ndaj shëndetit. Plani i Veprimit për Sigurinë Shëndetësore 2024–2026 i Ministrisë së Shëndetësisë adreson gatishmërinë për emergjenca shëndetësore (kryesisht të lidhura me pandemitë), por mund të zgjerohet për të përfshirë edhe fatkeqësitë klimatike. Objektivat specifikë 13 dhe 14 të këtij plani i kushtohen forcimit të kapaciteteve për menaxhimin e ngjarjeve kimike dhe forcimit të mekanizmave për zbulimin dhe reagimin ndaj emergjencave radiologjike dhe bërthamore. Kosova miratoi Ligjin për Ndryshimet Klimatike në dhjetor 2023 dhe është në proces të hartimit të Planit Kombëtar të Përshtatjes, megjithatë kapacitetet institucionale për zbatimin e tij mbeten të kufizuara. Ekzistojnë trupa ndërsektorialë (p.sh. për mbrojtje civile), por bashkëpunimi i rregullt midis ministrive të shëndetësisë, mjedisit dhe mirëqenies sociale është i kufizuar. Politikat sociale (të udhëhequra nga Ministria e</w:t>
      </w:r>
      <w:r w:rsidR="0078382A" w:rsidRPr="001C61AE">
        <w:rPr>
          <w:rFonts w:ascii="Arial" w:hAnsi="Arial" w:cs="Arial"/>
          <w:lang w:val="sq-AL"/>
        </w:rPr>
        <w:t xml:space="preserve"> </w:t>
      </w:r>
      <w:r w:rsidR="00544A60" w:rsidRPr="001C61AE">
        <w:rPr>
          <w:rFonts w:ascii="Arial" w:hAnsi="Arial" w:cs="Arial"/>
        </w:rPr>
        <w:t>Financave, Punës dhe Transferev</w:t>
      </w:r>
      <w:r w:rsidR="00544A60" w:rsidRPr="001C61AE">
        <w:rPr>
          <w:rFonts w:ascii="Arial" w:hAnsi="Arial" w:cs="Arial"/>
          <w:lang w:val="sq-AL"/>
        </w:rPr>
        <w:t xml:space="preserve">e </w:t>
      </w:r>
      <w:r w:rsidRPr="001C61AE">
        <w:rPr>
          <w:rFonts w:ascii="Arial" w:hAnsi="Arial" w:cs="Arial"/>
          <w:lang w:val="sq-AL"/>
        </w:rPr>
        <w:t xml:space="preserve"> përfshijnë skema themelore të ndihmës (pensionet, asistenca sociale), por ende nuk janë të përshtatura ndaj ndikimeve klimatike. Udhëzimet e BE-së dhe OBSH-së (p.sh. Rrjetet për Cilësinë e Ajrit dhe Mjedisin të OBSH-së) nuk janë shfrytëzuar plotësisht. Në përmbledhje, Kosova ka themelet (strategji shëndetësore, legjislacion, disa komitete), por i mungon një kuadër i integruar për qeverisjen ndërmjet shëndetit dhe klimës.</w:t>
      </w:r>
    </w:p>
    <w:p w14:paraId="60F54B3A" w14:textId="118515DF" w:rsidR="005B3702" w:rsidRPr="001C61AE" w:rsidRDefault="00544A60" w:rsidP="005B3702">
      <w:pPr>
        <w:spacing w:before="100" w:beforeAutospacing="1" w:after="100" w:afterAutospacing="1"/>
        <w:jc w:val="both"/>
        <w:rPr>
          <w:rFonts w:ascii="Arial" w:eastAsia="Times New Roman" w:hAnsi="Arial" w:cs="Arial"/>
          <w:b/>
          <w:bCs/>
          <w:kern w:val="0"/>
          <w:lang w:val="sq-AL" w:eastAsia="es-ES"/>
          <w14:ligatures w14:val="none"/>
        </w:rPr>
      </w:pPr>
      <w:r w:rsidRPr="001C61AE">
        <w:rPr>
          <w:rFonts w:ascii="Arial" w:eastAsia="Times New Roman" w:hAnsi="Arial" w:cs="Arial"/>
          <w:b/>
          <w:bCs/>
          <w:kern w:val="0"/>
          <w:lang w:val="sq-AL" w:eastAsia="es-ES"/>
          <w14:ligatures w14:val="none"/>
        </w:rPr>
        <w:t>Përparësitë</w:t>
      </w:r>
      <w:r w:rsidR="005B3702" w:rsidRPr="001C61AE">
        <w:rPr>
          <w:rFonts w:ascii="Arial" w:eastAsia="Times New Roman" w:hAnsi="Arial" w:cs="Arial"/>
          <w:b/>
          <w:bCs/>
          <w:kern w:val="0"/>
          <w:lang w:val="sq-AL" w:eastAsia="es-ES"/>
          <w14:ligatures w14:val="none"/>
        </w:rPr>
        <w:t xml:space="preserve">, </w:t>
      </w:r>
      <w:r w:rsidRPr="001C61AE">
        <w:rPr>
          <w:rFonts w:ascii="Arial" w:eastAsia="Times New Roman" w:hAnsi="Arial" w:cs="Arial"/>
          <w:b/>
          <w:bCs/>
          <w:kern w:val="0"/>
          <w:lang w:val="sq-AL" w:eastAsia="es-ES"/>
          <w14:ligatures w14:val="none"/>
        </w:rPr>
        <w:t>mangësitë</w:t>
      </w:r>
      <w:r w:rsidR="005B3702" w:rsidRPr="001C61AE">
        <w:rPr>
          <w:rFonts w:ascii="Arial" w:eastAsia="Times New Roman" w:hAnsi="Arial" w:cs="Arial"/>
          <w:b/>
          <w:bCs/>
          <w:kern w:val="0"/>
          <w:lang w:val="sq-AL" w:eastAsia="es-ES"/>
          <w14:ligatures w14:val="none"/>
        </w:rPr>
        <w:t>, mundësitë dhe kërcënimet</w:t>
      </w:r>
    </w:p>
    <w:p w14:paraId="558C3DC0" w14:textId="28A13691" w:rsidR="005B3702" w:rsidRPr="001C61AE" w:rsidRDefault="005B3702" w:rsidP="005B3702">
      <w:pPr>
        <w:spacing w:line="240" w:lineRule="auto"/>
        <w:jc w:val="both"/>
        <w:rPr>
          <w:rFonts w:ascii="Arial" w:hAnsi="Arial" w:cs="Arial"/>
          <w:lang w:val="sq-AL"/>
        </w:rPr>
      </w:pPr>
      <w:r w:rsidRPr="001C61AE">
        <w:rPr>
          <w:rFonts w:ascii="Arial" w:hAnsi="Arial" w:cs="Arial"/>
          <w:lang w:val="sq-AL"/>
        </w:rPr>
        <w:t>Tabela e mëposhtme paraqet një analizë SWOT të sektorit shëndetësor dhe social të Kosovës, duke theksuar pikat e forta dhe të dobëta të brendshme, së bashku me mundësitë dhe kërcënimet e jashtme që ndikojnë në aftësinë e vendit për t'u përballur me ndryshimet klimatike dhe për të siguruar menaxhim të qëndrueshëm të këtij sektori.</w:t>
      </w:r>
    </w:p>
    <w:tbl>
      <w:tblPr>
        <w:tblStyle w:val="GridTable1Light"/>
        <w:tblW w:w="5000" w:type="pct"/>
        <w:tblLook w:val="04A0" w:firstRow="1" w:lastRow="0" w:firstColumn="1" w:lastColumn="0" w:noHBand="0" w:noVBand="1"/>
      </w:tblPr>
      <w:tblGrid>
        <w:gridCol w:w="2468"/>
        <w:gridCol w:w="2500"/>
        <w:gridCol w:w="2414"/>
        <w:gridCol w:w="2814"/>
      </w:tblGrid>
      <w:tr w:rsidR="0078382A" w:rsidRPr="001C61AE" w14:paraId="088E61A6" w14:textId="77777777" w:rsidTr="007065D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0" w:type="pct"/>
            <w:shd w:val="clear" w:color="auto" w:fill="F2F2F2" w:themeFill="background1" w:themeFillShade="F2"/>
            <w:vAlign w:val="center"/>
            <w:hideMark/>
          </w:tcPr>
          <w:p w14:paraId="0029D9C0" w14:textId="16263E27" w:rsidR="0078382A" w:rsidRPr="001C61AE" w:rsidRDefault="0078382A" w:rsidP="0078382A">
            <w:pPr>
              <w:jc w:val="center"/>
              <w:rPr>
                <w:rFonts w:ascii="Arial" w:hAnsi="Arial" w:cs="Arial"/>
                <w:sz w:val="18"/>
                <w:szCs w:val="18"/>
                <w:lang w:val="sq-AL"/>
              </w:rPr>
            </w:pPr>
            <w:r w:rsidRPr="001C61AE">
              <w:rPr>
                <w:rFonts w:ascii="Arial" w:hAnsi="Arial" w:cs="Arial"/>
                <w:sz w:val="18"/>
                <w:szCs w:val="18"/>
                <w:lang w:val="sq-AL"/>
              </w:rPr>
              <w:t xml:space="preserve">Përparësitë  </w:t>
            </w:r>
            <w:r w:rsidR="00B15518" w:rsidRPr="001C61AE">
              <w:rPr>
                <w:rFonts w:ascii="Arial" w:hAnsi="Arial" w:cs="Arial"/>
                <w:sz w:val="18"/>
                <w:szCs w:val="18"/>
                <w:lang w:val="sq-AL"/>
              </w:rPr>
              <w:t>(</w:t>
            </w:r>
            <w:r w:rsidRPr="001C61AE">
              <w:rPr>
                <w:rFonts w:ascii="Arial" w:hAnsi="Arial" w:cs="Arial"/>
                <w:sz w:val="18"/>
                <w:szCs w:val="18"/>
                <w:lang w:val="sq-AL"/>
              </w:rPr>
              <w:t xml:space="preserve"> e brendshme)</w:t>
            </w:r>
          </w:p>
        </w:tc>
        <w:tc>
          <w:tcPr>
            <w:tcW w:w="1226" w:type="pct"/>
            <w:shd w:val="clear" w:color="auto" w:fill="F2F2F2" w:themeFill="background1" w:themeFillShade="F2"/>
            <w:vAlign w:val="center"/>
            <w:hideMark/>
          </w:tcPr>
          <w:p w14:paraId="60935CE9" w14:textId="542B2DE4" w:rsidR="0078382A" w:rsidRPr="001C61AE" w:rsidRDefault="0078382A" w:rsidP="007838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 xml:space="preserve">Mangësitë  </w:t>
            </w:r>
            <w:r w:rsidR="00B15518" w:rsidRPr="001C61AE">
              <w:rPr>
                <w:rFonts w:ascii="Arial" w:hAnsi="Arial" w:cs="Arial"/>
                <w:sz w:val="18"/>
                <w:szCs w:val="18"/>
                <w:lang w:val="sq-AL"/>
              </w:rPr>
              <w:t>(</w:t>
            </w:r>
            <w:r w:rsidRPr="001C61AE">
              <w:rPr>
                <w:rFonts w:ascii="Arial" w:hAnsi="Arial" w:cs="Arial"/>
                <w:sz w:val="18"/>
                <w:szCs w:val="18"/>
                <w:lang w:val="sq-AL"/>
              </w:rPr>
              <w:t>e brendshme)</w:t>
            </w:r>
          </w:p>
        </w:tc>
        <w:tc>
          <w:tcPr>
            <w:tcW w:w="1184" w:type="pct"/>
            <w:shd w:val="clear" w:color="auto" w:fill="F2F2F2" w:themeFill="background1" w:themeFillShade="F2"/>
            <w:vAlign w:val="center"/>
            <w:hideMark/>
          </w:tcPr>
          <w:p w14:paraId="10603F66" w14:textId="4A8328CC" w:rsidR="0078382A" w:rsidRPr="001C61AE" w:rsidRDefault="0078382A" w:rsidP="007838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 xml:space="preserve">Mundësitë (të </w:t>
            </w:r>
            <w:r w:rsidRPr="001C61AE">
              <w:rPr>
                <w:rFonts w:ascii="Arial" w:hAnsi="Arial" w:cs="Arial"/>
                <w:sz w:val="18"/>
                <w:szCs w:val="18"/>
                <w:lang w:val="sq-AL"/>
              </w:rPr>
              <w:br/>
              <w:t>jashtme)</w:t>
            </w:r>
          </w:p>
        </w:tc>
        <w:tc>
          <w:tcPr>
            <w:tcW w:w="1380" w:type="pct"/>
            <w:shd w:val="clear" w:color="auto" w:fill="F2F2F2" w:themeFill="background1" w:themeFillShade="F2"/>
            <w:vAlign w:val="center"/>
            <w:hideMark/>
          </w:tcPr>
          <w:p w14:paraId="576CEB5E" w14:textId="24C0EB69" w:rsidR="0078382A" w:rsidRPr="001C61AE" w:rsidRDefault="0078382A" w:rsidP="007838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 xml:space="preserve">Kërcënimet (të </w:t>
            </w:r>
            <w:r w:rsidRPr="001C61AE">
              <w:rPr>
                <w:rFonts w:ascii="Arial" w:hAnsi="Arial" w:cs="Arial"/>
                <w:sz w:val="18"/>
                <w:szCs w:val="18"/>
                <w:lang w:val="sq-AL"/>
              </w:rPr>
              <w:br/>
              <w:t>jashtme)</w:t>
            </w:r>
          </w:p>
        </w:tc>
      </w:tr>
      <w:tr w:rsidR="0078382A" w:rsidRPr="001C61AE" w14:paraId="173456A8" w14:textId="77777777" w:rsidTr="007065D4">
        <w:tc>
          <w:tcPr>
            <w:cnfStyle w:val="001000000000" w:firstRow="0" w:lastRow="0" w:firstColumn="1" w:lastColumn="0" w:oddVBand="0" w:evenVBand="0" w:oddHBand="0" w:evenHBand="0" w:firstRowFirstColumn="0" w:firstRowLastColumn="0" w:lastRowFirstColumn="0" w:lastRowLastColumn="0"/>
            <w:tcW w:w="1210" w:type="pct"/>
          </w:tcPr>
          <w:p w14:paraId="31D63E32" w14:textId="49D5203B" w:rsidR="0078382A" w:rsidRPr="001C61AE" w:rsidRDefault="0078382A" w:rsidP="0078382A">
            <w:pPr>
              <w:pStyle w:val="ListParagraph"/>
              <w:numPr>
                <w:ilvl w:val="0"/>
                <w:numId w:val="10"/>
              </w:numPr>
              <w:spacing w:before="100" w:beforeAutospacing="1" w:after="100" w:afterAutospacing="1"/>
              <w:ind w:left="240" w:hanging="180"/>
              <w:jc w:val="both"/>
              <w:rPr>
                <w:rFonts w:ascii="Arial" w:hAnsi="Arial" w:cs="Arial"/>
                <w:b w:val="0"/>
                <w:bCs w:val="0"/>
                <w:strike/>
                <w:sz w:val="18"/>
                <w:szCs w:val="18"/>
                <w:lang w:val="sq-AL"/>
              </w:rPr>
            </w:pPr>
            <w:bookmarkStart w:id="90" w:name="_Hlk210200327"/>
            <w:r w:rsidRPr="001C61AE">
              <w:rPr>
                <w:rFonts w:ascii="Arial" w:hAnsi="Arial" w:cs="Arial"/>
                <w:b w:val="0"/>
                <w:bCs w:val="0"/>
                <w:sz w:val="18"/>
                <w:szCs w:val="18"/>
                <w:lang w:val="sq-AL"/>
              </w:rPr>
              <w:t>Kosova ka një rrjet të kujdesit parësor të zhvilluar mirë dhe mbulim të lartë të imunizimit bazë (</w:t>
            </w:r>
            <w:r w:rsidR="007464B3" w:rsidRPr="001C61AE">
              <w:rPr>
                <w:rFonts w:ascii="Arial" w:hAnsi="Arial" w:cs="Arial"/>
                <w:b w:val="0"/>
                <w:bCs w:val="0"/>
                <w:sz w:val="18"/>
                <w:szCs w:val="18"/>
                <w:lang w:val="sq-AL"/>
              </w:rPr>
              <w:t>89</w:t>
            </w:r>
            <w:r w:rsidRPr="001C61AE">
              <w:rPr>
                <w:rFonts w:ascii="Arial" w:hAnsi="Arial" w:cs="Arial"/>
                <w:b w:val="0"/>
                <w:bCs w:val="0"/>
                <w:sz w:val="18"/>
                <w:szCs w:val="18"/>
                <w:lang w:val="sq-AL"/>
              </w:rPr>
              <w:t xml:space="preserve">% e fëmijëve të imunizuar). Sa i përket grupit të vaksinave të administruara nga 0 deri në 11 muaj, mbulesa është mjaft e lartë për dozën e parë dhe të dytë—mbi 90%, e ndjekur nga doza e tretë me rreth 80%, duke përfshirë edhe vaksinat e reja si rotavirusi dhe pneumokoku. </w:t>
            </w:r>
          </w:p>
          <w:bookmarkEnd w:id="90"/>
          <w:p w14:paraId="031CC834" w14:textId="77777777" w:rsidR="0078382A" w:rsidRPr="001C61AE" w:rsidRDefault="0078382A" w:rsidP="0078382A">
            <w:pPr>
              <w:pStyle w:val="ListParagraph"/>
              <w:numPr>
                <w:ilvl w:val="0"/>
                <w:numId w:val="10"/>
              </w:numPr>
              <w:spacing w:before="100" w:beforeAutospacing="1" w:after="100" w:afterAutospacing="1"/>
              <w:ind w:left="240" w:hanging="180"/>
              <w:jc w:val="both"/>
              <w:rPr>
                <w:rFonts w:ascii="Arial" w:hAnsi="Arial" w:cs="Arial"/>
                <w:b w:val="0"/>
                <w:bCs w:val="0"/>
                <w:sz w:val="18"/>
                <w:szCs w:val="18"/>
                <w:lang w:val="sq-AL"/>
              </w:rPr>
            </w:pPr>
            <w:r w:rsidRPr="001C61AE">
              <w:rPr>
                <w:rFonts w:ascii="Arial" w:hAnsi="Arial" w:cs="Arial"/>
                <w:b w:val="0"/>
                <w:bCs w:val="0"/>
                <w:sz w:val="18"/>
                <w:szCs w:val="18"/>
                <w:lang w:val="sq-AL"/>
              </w:rPr>
              <w:t>Reformat e fundit (shëndeti dixhital, udhëzimet klinike) janë në proces.</w:t>
            </w:r>
          </w:p>
          <w:p w14:paraId="023923AC" w14:textId="77777777" w:rsidR="0078382A" w:rsidRPr="001C61AE" w:rsidRDefault="0078382A" w:rsidP="0078382A">
            <w:pPr>
              <w:pStyle w:val="ListParagraph"/>
              <w:numPr>
                <w:ilvl w:val="0"/>
                <w:numId w:val="10"/>
              </w:numPr>
              <w:spacing w:before="100" w:beforeAutospacing="1" w:after="100" w:afterAutospacing="1"/>
              <w:ind w:left="240" w:hanging="180"/>
              <w:jc w:val="both"/>
              <w:rPr>
                <w:rFonts w:ascii="Arial" w:hAnsi="Arial" w:cs="Arial"/>
                <w:b w:val="0"/>
                <w:bCs w:val="0"/>
                <w:sz w:val="18"/>
                <w:szCs w:val="18"/>
                <w:lang w:val="sq-AL"/>
              </w:rPr>
            </w:pPr>
            <w:r w:rsidRPr="001C61AE">
              <w:rPr>
                <w:rFonts w:ascii="Arial" w:hAnsi="Arial" w:cs="Arial"/>
                <w:b w:val="0"/>
                <w:bCs w:val="0"/>
                <w:sz w:val="18"/>
                <w:szCs w:val="18"/>
                <w:lang w:val="sq-AL"/>
              </w:rPr>
              <w:t xml:space="preserve">Kosova po zgjeron Sistemin e saj Elektronik të Informacionit Shëndetësor. Sistemi i Sigurisë Shëndetësore synon të bëjë funksional 80% të Sistemit të Sigurisë Shëndetësore (SISH) deri në vitin 2030, gjë që do të mundësojë mbikëqyrje më të mirë të sëmundjeve, </w:t>
            </w:r>
            <w:r w:rsidRPr="001C61AE">
              <w:rPr>
                <w:rFonts w:ascii="Arial" w:hAnsi="Arial" w:cs="Arial"/>
                <w:b w:val="0"/>
                <w:bCs w:val="0"/>
                <w:sz w:val="18"/>
                <w:szCs w:val="18"/>
                <w:lang w:val="sq-AL"/>
              </w:rPr>
              <w:lastRenderedPageBreak/>
              <w:t>vendimmarrje të bazuar në të dhëna dhe integrimin e sistemeve të paralajmërimit të hershëm.</w:t>
            </w:r>
          </w:p>
          <w:p w14:paraId="651A3A7A" w14:textId="77777777" w:rsidR="0078382A" w:rsidRPr="001C61AE" w:rsidRDefault="0078382A" w:rsidP="0078382A">
            <w:pPr>
              <w:pStyle w:val="ListParagraph"/>
              <w:numPr>
                <w:ilvl w:val="0"/>
                <w:numId w:val="10"/>
              </w:numPr>
              <w:spacing w:before="100" w:beforeAutospacing="1" w:after="100" w:afterAutospacing="1"/>
              <w:ind w:left="240" w:hanging="180"/>
              <w:jc w:val="both"/>
              <w:rPr>
                <w:rFonts w:ascii="Arial" w:hAnsi="Arial" w:cs="Arial"/>
                <w:b w:val="0"/>
                <w:bCs w:val="0"/>
                <w:sz w:val="18"/>
                <w:szCs w:val="18"/>
                <w:lang w:val="sq-AL"/>
              </w:rPr>
            </w:pPr>
            <w:r w:rsidRPr="001C61AE">
              <w:rPr>
                <w:rFonts w:ascii="Arial" w:hAnsi="Arial" w:cs="Arial"/>
                <w:b w:val="0"/>
                <w:bCs w:val="0"/>
                <w:sz w:val="18"/>
                <w:szCs w:val="18"/>
                <w:lang w:val="sq-AL"/>
              </w:rPr>
              <w:t xml:space="preserve">Partneritetet e forta ndërkombëtare (OBSH, UNICEF, BE) sjellin mbështetje teknike dhe fonde. </w:t>
            </w:r>
          </w:p>
          <w:p w14:paraId="3A42459D" w14:textId="77777777" w:rsidR="0078382A" w:rsidRPr="001C61AE" w:rsidRDefault="0078382A" w:rsidP="0078382A">
            <w:pPr>
              <w:pStyle w:val="ListParagraph"/>
              <w:numPr>
                <w:ilvl w:val="0"/>
                <w:numId w:val="10"/>
              </w:numPr>
              <w:spacing w:before="100" w:beforeAutospacing="1" w:after="100" w:afterAutospacing="1"/>
              <w:ind w:left="240" w:hanging="180"/>
              <w:jc w:val="both"/>
              <w:rPr>
                <w:rFonts w:ascii="Arial" w:hAnsi="Arial" w:cs="Arial"/>
                <w:b w:val="0"/>
                <w:bCs w:val="0"/>
                <w:sz w:val="18"/>
                <w:szCs w:val="18"/>
                <w:lang w:val="sq-AL"/>
              </w:rPr>
            </w:pPr>
            <w:r w:rsidRPr="001C61AE">
              <w:rPr>
                <w:rFonts w:ascii="Arial" w:hAnsi="Arial" w:cs="Arial"/>
                <w:b w:val="0"/>
                <w:bCs w:val="0"/>
                <w:sz w:val="18"/>
                <w:szCs w:val="18"/>
                <w:lang w:val="sq-AL"/>
              </w:rPr>
              <w:t>Angazhimi i shtetit për integrimin në BE ka nxitur harmonizimin e politikave: p.sh. miratimin e ligjeve për klimën dhe rregulloreve shëndetësore.</w:t>
            </w:r>
          </w:p>
          <w:p w14:paraId="1B756E6E" w14:textId="77777777" w:rsidR="0078382A" w:rsidRPr="001C61AE" w:rsidRDefault="0078382A" w:rsidP="0078382A">
            <w:pPr>
              <w:pStyle w:val="ListParagraph"/>
              <w:numPr>
                <w:ilvl w:val="0"/>
                <w:numId w:val="10"/>
              </w:numPr>
              <w:spacing w:before="100" w:beforeAutospacing="1" w:after="100" w:afterAutospacing="1"/>
              <w:ind w:left="240" w:hanging="180"/>
              <w:jc w:val="both"/>
              <w:rPr>
                <w:rFonts w:ascii="Arial" w:hAnsi="Arial" w:cs="Arial"/>
                <w:b w:val="0"/>
                <w:bCs w:val="0"/>
                <w:sz w:val="18"/>
                <w:szCs w:val="18"/>
                <w:lang w:val="sq-AL"/>
              </w:rPr>
            </w:pPr>
            <w:r w:rsidRPr="001C61AE">
              <w:rPr>
                <w:rFonts w:ascii="Arial" w:hAnsi="Arial" w:cs="Arial"/>
                <w:b w:val="0"/>
                <w:bCs w:val="0"/>
                <w:sz w:val="18"/>
                <w:szCs w:val="18"/>
                <w:lang w:val="sq-AL"/>
              </w:rPr>
              <w:t xml:space="preserve">Shoqëria civile (OJQ-të shëndetësore, rrjetet rome) është aktive, e cila mund të ndihmojë në kontaktin me grupet e cenueshme. </w:t>
            </w:r>
          </w:p>
          <w:p w14:paraId="031A3600" w14:textId="77777777" w:rsidR="0078382A" w:rsidRPr="001C61AE" w:rsidRDefault="0078382A" w:rsidP="0078382A">
            <w:pPr>
              <w:pStyle w:val="ListParagraph"/>
              <w:numPr>
                <w:ilvl w:val="0"/>
                <w:numId w:val="10"/>
              </w:numPr>
              <w:spacing w:before="100" w:beforeAutospacing="1" w:after="100" w:afterAutospacing="1"/>
              <w:ind w:left="240" w:hanging="180"/>
              <w:jc w:val="both"/>
              <w:rPr>
                <w:rFonts w:ascii="Arial" w:hAnsi="Arial" w:cs="Arial"/>
                <w:b w:val="0"/>
                <w:bCs w:val="0"/>
                <w:sz w:val="18"/>
                <w:szCs w:val="18"/>
                <w:lang w:val="sq-AL"/>
              </w:rPr>
            </w:pPr>
            <w:r w:rsidRPr="001C61AE">
              <w:rPr>
                <w:rFonts w:ascii="Arial" w:hAnsi="Arial" w:cs="Arial"/>
                <w:b w:val="0"/>
                <w:bCs w:val="0"/>
                <w:sz w:val="18"/>
                <w:szCs w:val="18"/>
                <w:lang w:val="sq-AL"/>
              </w:rPr>
              <w:t>E drejta universale e kujdesit shëndetësor në Kosovë dhe ligjet në zgjerim të sigurimeve (p.sh. Ligji 04/L-125) ofrojnë një kornizë për mbulim të përmirësuar.</w:t>
            </w:r>
          </w:p>
          <w:p w14:paraId="2D806D46" w14:textId="32839BCF" w:rsidR="0078382A" w:rsidRPr="001C61AE" w:rsidRDefault="0078382A" w:rsidP="0078382A">
            <w:pPr>
              <w:pStyle w:val="ListParagraph"/>
              <w:numPr>
                <w:ilvl w:val="0"/>
                <w:numId w:val="10"/>
              </w:numPr>
              <w:spacing w:before="100" w:beforeAutospacing="1" w:after="100" w:afterAutospacing="1"/>
              <w:ind w:left="240" w:hanging="180"/>
              <w:jc w:val="both"/>
              <w:rPr>
                <w:rFonts w:ascii="Arial" w:hAnsi="Arial" w:cs="Arial"/>
                <w:b w:val="0"/>
                <w:bCs w:val="0"/>
                <w:sz w:val="18"/>
                <w:szCs w:val="18"/>
                <w:lang w:val="sq-AL"/>
              </w:rPr>
            </w:pPr>
            <w:r w:rsidRPr="001C61AE">
              <w:rPr>
                <w:rFonts w:ascii="Arial" w:hAnsi="Arial" w:cs="Arial"/>
                <w:b w:val="0"/>
                <w:bCs w:val="0"/>
                <w:sz w:val="18"/>
                <w:szCs w:val="18"/>
                <w:lang w:val="sq-AL"/>
              </w:rPr>
              <w:t>Punonjësit shëndetësorë të komunitetit dhe programet e vizitave në shtëpi për nënat/foshnjat po zgjerohen (të mbështetur nga UNICEF) të cilat mund të shfrytëzohen në shtrirjen e shëndetit klimatik.</w:t>
            </w:r>
          </w:p>
        </w:tc>
        <w:tc>
          <w:tcPr>
            <w:tcW w:w="1226" w:type="pct"/>
          </w:tcPr>
          <w:p w14:paraId="7285241F" w14:textId="77777777" w:rsidR="0078382A" w:rsidRPr="001C61AE" w:rsidRDefault="0078382A" w:rsidP="0078382A">
            <w:pPr>
              <w:numPr>
                <w:ilvl w:val="0"/>
                <w:numId w:val="11"/>
              </w:numPr>
              <w:tabs>
                <w:tab w:val="clear" w:pos="720"/>
                <w:tab w:val="num" w:pos="136"/>
              </w:tabs>
              <w:spacing w:before="100" w:beforeAutospacing="1" w:after="100" w:afterAutospacing="1"/>
              <w:ind w:left="136" w:hanging="13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lastRenderedPageBreak/>
              <w:t xml:space="preserve">Financimi i shëndetësisë është i kufizuar - shpenzimet e ulëta publike (≈2.6–4.3% e PBB-së) do të thotë se shumë shërbime mbështeten në tarifën e pacientit. Pagesat informale dhe kostot e larta nga xhepi (~38% e totalit) dëmtojnë aksesin, veçanërisht në fatkeqësi. </w:t>
            </w:r>
          </w:p>
          <w:p w14:paraId="78C7B5DD" w14:textId="77777777" w:rsidR="0078382A" w:rsidRPr="001C61AE" w:rsidRDefault="0078382A" w:rsidP="0078382A">
            <w:pPr>
              <w:numPr>
                <w:ilvl w:val="0"/>
                <w:numId w:val="11"/>
              </w:numPr>
              <w:tabs>
                <w:tab w:val="clear" w:pos="720"/>
                <w:tab w:val="num" w:pos="136"/>
              </w:tabs>
              <w:spacing w:before="100" w:beforeAutospacing="1" w:after="100" w:afterAutospacing="1"/>
              <w:ind w:left="136" w:hanging="13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 xml:space="preserve">Objekteve u mungon qëndrueshmëria ndaj klimës: shumë spitale nuk kanë sisteme rezervë të energjisë/ftohjes ose mbrojtje nga përmbytjet. </w:t>
            </w:r>
          </w:p>
          <w:p w14:paraId="2098E230" w14:textId="77777777" w:rsidR="0078382A" w:rsidRPr="001C61AE" w:rsidRDefault="0078382A" w:rsidP="0078382A">
            <w:pPr>
              <w:numPr>
                <w:ilvl w:val="0"/>
                <w:numId w:val="11"/>
              </w:numPr>
              <w:tabs>
                <w:tab w:val="clear" w:pos="720"/>
                <w:tab w:val="num" w:pos="136"/>
              </w:tabs>
              <w:spacing w:before="100" w:beforeAutospacing="1" w:after="100" w:afterAutospacing="1"/>
              <w:ind w:left="136" w:hanging="13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Mungesa e fuqisë punëtore është prezente në mjekësinë familjare dhe kujdesin emergjent.</w:t>
            </w:r>
          </w:p>
          <w:p w14:paraId="242A0B81" w14:textId="77777777" w:rsidR="0078382A" w:rsidRPr="001C61AE" w:rsidRDefault="0078382A" w:rsidP="0078382A">
            <w:pPr>
              <w:numPr>
                <w:ilvl w:val="0"/>
                <w:numId w:val="11"/>
              </w:numPr>
              <w:tabs>
                <w:tab w:val="clear" w:pos="720"/>
                <w:tab w:val="num" w:pos="136"/>
              </w:tabs>
              <w:spacing w:before="100" w:beforeAutospacing="1" w:after="100" w:afterAutospacing="1"/>
              <w:ind w:left="136" w:hanging="13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Mbikëqyrja e shëndetit publik nuk është e plotë (p.sh. 17.3% e vdekjeve janë të pakoduara, por të supozuara SJS).</w:t>
            </w:r>
          </w:p>
          <w:p w14:paraId="7C0812F3" w14:textId="77777777" w:rsidR="0078382A" w:rsidRPr="001C61AE" w:rsidRDefault="0078382A" w:rsidP="0078382A">
            <w:pPr>
              <w:numPr>
                <w:ilvl w:val="0"/>
                <w:numId w:val="11"/>
              </w:numPr>
              <w:tabs>
                <w:tab w:val="clear" w:pos="720"/>
                <w:tab w:val="num" w:pos="136"/>
              </w:tabs>
              <w:spacing w:before="100" w:beforeAutospacing="1" w:after="100" w:afterAutospacing="1"/>
              <w:ind w:left="136" w:hanging="13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Koordinimi midis agjencive (shëndetësi, mjedis, emergjencë) është i dobët.Mirëpo, gjatë pandemisë COVID-19, nuk ka qenë i dobët.</w:t>
            </w:r>
          </w:p>
          <w:p w14:paraId="5CCBF23B" w14:textId="77777777" w:rsidR="0078382A" w:rsidRPr="001C61AE" w:rsidRDefault="0078382A" w:rsidP="0078382A">
            <w:pPr>
              <w:numPr>
                <w:ilvl w:val="0"/>
                <w:numId w:val="11"/>
              </w:numPr>
              <w:tabs>
                <w:tab w:val="clear" w:pos="720"/>
                <w:tab w:val="num" w:pos="136"/>
              </w:tabs>
              <w:spacing w:before="100" w:beforeAutospacing="1" w:after="100" w:afterAutospacing="1"/>
              <w:ind w:left="136" w:hanging="13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lastRenderedPageBreak/>
              <w:t xml:space="preserve">Mbulimi i mbrojtjes sociale është i ulët (vetëm ~25% e të varfërve marrin ndihmë), duke i lënë shumë të prekshëm nga klima pa mbështetje. </w:t>
            </w:r>
          </w:p>
          <w:p w14:paraId="43E1206D" w14:textId="35B1CC98" w:rsidR="0078382A" w:rsidRPr="001C61AE" w:rsidRDefault="0078382A" w:rsidP="0078382A">
            <w:pPr>
              <w:numPr>
                <w:ilvl w:val="0"/>
                <w:numId w:val="11"/>
              </w:numPr>
              <w:tabs>
                <w:tab w:val="clear" w:pos="720"/>
                <w:tab w:val="num" w:pos="136"/>
              </w:tabs>
              <w:spacing w:before="100" w:beforeAutospacing="1" w:after="100" w:afterAutospacing="1"/>
              <w:ind w:left="136" w:hanging="136"/>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Ndërgjegjësimi publik për lidhjet klimë-shëndetësi është i ulët; pak fushata të shëndetit publik adresojnë nxehtësinë ose ndotjen e ajrit. Infrastruktura dhe logjistika (rrugët, komunikimet) mbeten të pazhvilluara në zonat rurale/malore, duke penguar reagimin ndaj emergjencave.</w:t>
            </w:r>
          </w:p>
        </w:tc>
        <w:tc>
          <w:tcPr>
            <w:tcW w:w="1184" w:type="pct"/>
          </w:tcPr>
          <w:p w14:paraId="78FA40A4" w14:textId="77777777" w:rsidR="0078382A" w:rsidRPr="001C61AE" w:rsidRDefault="0078382A" w:rsidP="0078382A">
            <w:pPr>
              <w:pStyle w:val="ListParagraph"/>
              <w:numPr>
                <w:ilvl w:val="0"/>
                <w:numId w:val="12"/>
              </w:numPr>
              <w:spacing w:before="100" w:beforeAutospacing="1" w:after="100" w:afterAutospacing="1"/>
              <w:ind w:left="240" w:hanging="18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lastRenderedPageBreak/>
              <w:t xml:space="preserve">Kosova mund ta integrojë shëndetin klimatik në proceset e pranimit në BE dhe të tërheqë fonde të BE-së/Fondet Globale për përshtatje (Fondi i Klimës së Gjelbër, IPA). Banka Botërore vlerëson se nevojiten rreth 2.8 miliardë dollarë investime në qëndrueshmërinë ndaj klimës. Kosova mund ta shfrytëzojë këtë pako për të kombinuar projektet shëndetësore (p.sh. përmirësimet e spitaleve) me financat për klimën. </w:t>
            </w:r>
          </w:p>
          <w:p w14:paraId="338EC0C0" w14:textId="77777777" w:rsidR="0078382A" w:rsidRPr="001C61AE" w:rsidRDefault="0078382A" w:rsidP="0078382A">
            <w:pPr>
              <w:pStyle w:val="ListParagraph"/>
              <w:numPr>
                <w:ilvl w:val="0"/>
                <w:numId w:val="12"/>
              </w:numPr>
              <w:spacing w:before="100" w:beforeAutospacing="1" w:after="100" w:afterAutospacing="1"/>
              <w:ind w:left="240" w:hanging="18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 xml:space="preserve">Duke u bazuar në momentumin nga reagimi ndaj COVID-19, sistemet e emergjencës mund të përgjithësohen për rreziqe të tjera. Zgjerimi i programeve të punonjësve shëndetësor në komunitet ofron një platformë për njohuritë mbi klimën dhe paralajmërimin e hershëm në nivel lokal. </w:t>
            </w:r>
            <w:r w:rsidRPr="001C61AE">
              <w:rPr>
                <w:rFonts w:ascii="Arial" w:hAnsi="Arial" w:cs="Arial"/>
                <w:sz w:val="18"/>
                <w:szCs w:val="18"/>
                <w:lang w:val="sq-AL"/>
              </w:rPr>
              <w:lastRenderedPageBreak/>
              <w:t xml:space="preserve">Udhëzimet ndërkombëtare (Planet e Veprimit të OBSH-së për Shëndetin ndaj Nxehtësisë, seti i mjeteve shëndetësore rezistente ndaj klimës) mund të përshtaten. </w:t>
            </w:r>
          </w:p>
          <w:p w14:paraId="06855241" w14:textId="77777777" w:rsidR="0078382A" w:rsidRPr="001C61AE" w:rsidRDefault="0078382A" w:rsidP="0078382A">
            <w:pPr>
              <w:pStyle w:val="ListParagraph"/>
              <w:numPr>
                <w:ilvl w:val="0"/>
                <w:numId w:val="12"/>
              </w:numPr>
              <w:spacing w:before="100" w:beforeAutospacing="1" w:after="100" w:afterAutospacing="1"/>
              <w:ind w:left="240" w:hanging="18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Reformat e vazhdueshme të SHSSH-së (modernizimi i infrastrukturës, zhvillimi i fuqisë punëtore, dixhitalizimi) krijojnë një mundësi për t'u "rezistuar ndaj klimës" ndërsa bëhen përmirësime.</w:t>
            </w:r>
          </w:p>
          <w:p w14:paraId="43B14C8C" w14:textId="77777777" w:rsidR="0078382A" w:rsidRPr="001C61AE" w:rsidRDefault="0078382A" w:rsidP="0078382A">
            <w:pPr>
              <w:pStyle w:val="ListParagraph"/>
              <w:numPr>
                <w:ilvl w:val="0"/>
                <w:numId w:val="12"/>
              </w:numPr>
              <w:spacing w:before="100" w:beforeAutospacing="1" w:after="100" w:afterAutospacing="1"/>
              <w:ind w:left="240" w:hanging="18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 xml:space="preserve">Të dhënat e pasura meteorologjike të Kosovës (shërbimi Hidromet) dhe kapaciteti në rritje i TIK-ut mundësojnë sistemin modern të paralajmërimit dhe të informimit (SPH) (p.sh. alarmet SMS). </w:t>
            </w:r>
          </w:p>
          <w:p w14:paraId="03D274E6" w14:textId="77777777" w:rsidR="0078382A" w:rsidRPr="001C61AE" w:rsidRDefault="0078382A" w:rsidP="0078382A">
            <w:pPr>
              <w:pStyle w:val="ListParagraph"/>
              <w:numPr>
                <w:ilvl w:val="0"/>
                <w:numId w:val="12"/>
              </w:numPr>
              <w:spacing w:before="100" w:beforeAutospacing="1" w:after="100" w:afterAutospacing="1"/>
              <w:ind w:left="240" w:hanging="18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 xml:space="preserve">Lidhja e përshtatjes shëndetësore me sektorë të tjerë, p.sh. bashkëpërfitimet e infrastrukturës së gjelbër, efikasiteti i energjisë në spitale, mund të tërheqë investime ndërsektoriale. </w:t>
            </w:r>
          </w:p>
          <w:p w14:paraId="0356280A" w14:textId="480A8643" w:rsidR="0078382A" w:rsidRPr="001C61AE" w:rsidRDefault="0078382A" w:rsidP="0078382A">
            <w:pPr>
              <w:pStyle w:val="ListParagraph"/>
              <w:numPr>
                <w:ilvl w:val="1"/>
                <w:numId w:val="8"/>
              </w:numPr>
              <w:spacing w:before="100" w:beforeAutospacing="1" w:after="100" w:afterAutospacing="1"/>
              <w:ind w:left="150" w:hanging="15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Kërkesa e shtuar publike për ajër të pastër (për shkak të ndikimeve të dukshme në shëndet) mund të nxisë reforma në energji dhe mjedis që ndihmojnë në mënyrë indirekte shëndetësinë. Për më tepër, madhësia relativisht e vogël e Kosovës lejon që projektet pilot (si qendrat e ftohjes ose shkollat ​​e gjelbra) të shkallëzohen në nivel kombëtar nëse janë të suksesshme..</w:t>
            </w:r>
          </w:p>
        </w:tc>
        <w:tc>
          <w:tcPr>
            <w:tcW w:w="1380" w:type="pct"/>
          </w:tcPr>
          <w:p w14:paraId="7ABB11B4" w14:textId="77777777" w:rsidR="0078382A" w:rsidRPr="001C61AE" w:rsidRDefault="0078382A" w:rsidP="0078382A">
            <w:pPr>
              <w:pStyle w:val="ListParagraph"/>
              <w:numPr>
                <w:ilvl w:val="0"/>
                <w:numId w:val="12"/>
              </w:numPr>
              <w:spacing w:before="100" w:beforeAutospacing="1" w:after="100" w:afterAutospacing="1"/>
              <w:ind w:left="240" w:hanging="18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lastRenderedPageBreak/>
              <w:t xml:space="preserve">Rreziqet klimatike po intensifikohen: valët e të nxehtit dhe thatësirat kërcënojnë të korrat dhe ujin, duke rrezikuar kequshqyerjen dhe varfërinë rurale. </w:t>
            </w:r>
          </w:p>
          <w:p w14:paraId="75A318FE" w14:textId="77777777" w:rsidR="0078382A" w:rsidRPr="001C61AE" w:rsidRDefault="0078382A" w:rsidP="0078382A">
            <w:pPr>
              <w:pStyle w:val="ListParagraph"/>
              <w:numPr>
                <w:ilvl w:val="0"/>
                <w:numId w:val="12"/>
              </w:numPr>
              <w:spacing w:before="100" w:beforeAutospacing="1" w:after="100" w:afterAutospacing="1"/>
              <w:ind w:left="240" w:hanging="18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 xml:space="preserve">Ngjarjet ekstreme (përmbytjet, stuhitë) mund të dëmtojnë infrastrukturën e pakët shëndetësore dhe të ndërpresin shërbimet. Ndotja e vazhdueshme e ajrit (e përkeqësuar nga ngrohja e dimrit) mbetet një kërcënim serioz për shëndetin. </w:t>
            </w:r>
          </w:p>
          <w:p w14:paraId="0D02AE67" w14:textId="77777777" w:rsidR="0078382A" w:rsidRPr="001C61AE" w:rsidRDefault="0078382A" w:rsidP="0078382A">
            <w:pPr>
              <w:pStyle w:val="ListParagraph"/>
              <w:numPr>
                <w:ilvl w:val="0"/>
                <w:numId w:val="12"/>
              </w:numPr>
              <w:spacing w:before="100" w:beforeAutospacing="1" w:after="100" w:afterAutospacing="1"/>
              <w:ind w:left="240" w:hanging="18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 xml:space="preserve">Barra në rritje e Sëmundjeve Jo-Ngjitëse (SJN) e tendos sistemin shëndetësor; nëse lidhen me klimën (p.sh. nxehtësia + sëmundjet kardiovaskulare), mund të ndodhin kriza. </w:t>
            </w:r>
          </w:p>
          <w:p w14:paraId="3AE96F13" w14:textId="77777777" w:rsidR="0078382A" w:rsidRPr="001C61AE" w:rsidRDefault="0078382A" w:rsidP="0078382A">
            <w:pPr>
              <w:pStyle w:val="ListParagraph"/>
              <w:numPr>
                <w:ilvl w:val="0"/>
                <w:numId w:val="12"/>
              </w:numPr>
              <w:spacing w:before="100" w:beforeAutospacing="1" w:after="100" w:afterAutospacing="1"/>
              <w:ind w:left="240" w:hanging="18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 xml:space="preserve">Demografia e Kosovës (një popullsi në plakje) do të thotë se një numër në rritje i të moshuarve do të kenë nevojë për kujdes gjatë periudhave të të nxehtit/të ftohtit. </w:t>
            </w:r>
          </w:p>
          <w:p w14:paraId="2856F496" w14:textId="77777777" w:rsidR="0078382A" w:rsidRPr="001C61AE" w:rsidRDefault="0078382A" w:rsidP="0078382A">
            <w:pPr>
              <w:pStyle w:val="ListParagraph"/>
              <w:numPr>
                <w:ilvl w:val="0"/>
                <w:numId w:val="12"/>
              </w:numPr>
              <w:spacing w:before="100" w:beforeAutospacing="1" w:after="100" w:afterAutospacing="1"/>
              <w:ind w:left="240" w:hanging="18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 xml:space="preserve">Kufizimet ekonomike dhe prioritetet konkurruese mund të vonojnë investimet e përshtatjes. </w:t>
            </w:r>
          </w:p>
          <w:p w14:paraId="2AF1D950" w14:textId="77777777" w:rsidR="0078382A" w:rsidRPr="001C61AE" w:rsidRDefault="0078382A" w:rsidP="0078382A">
            <w:pPr>
              <w:pStyle w:val="ListParagraph"/>
              <w:numPr>
                <w:ilvl w:val="0"/>
                <w:numId w:val="12"/>
              </w:numPr>
              <w:spacing w:before="100" w:beforeAutospacing="1" w:after="100" w:afterAutospacing="1"/>
              <w:ind w:left="240" w:hanging="18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lastRenderedPageBreak/>
              <w:t xml:space="preserve">Largimi i trurit (emigrimi i mjekëve) mund të përkeqësojë mungesat. </w:t>
            </w:r>
          </w:p>
          <w:p w14:paraId="1B2A9C18" w14:textId="77777777" w:rsidR="0078382A" w:rsidRPr="001C61AE" w:rsidRDefault="0078382A" w:rsidP="0078382A">
            <w:pPr>
              <w:pStyle w:val="ListParagraph"/>
              <w:numPr>
                <w:ilvl w:val="0"/>
                <w:numId w:val="12"/>
              </w:numPr>
              <w:spacing w:before="100" w:beforeAutospacing="1" w:after="100" w:afterAutospacing="1"/>
              <w:ind w:left="240" w:hanging="18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Trazirat sociale ose paqëndrueshmëria politike mund të prishin koordinimin (p.sh. nëse ndikimet klimatike të çmimeve të energjisë shkaktojnë protesta).</w:t>
            </w:r>
          </w:p>
          <w:p w14:paraId="3AB6F07A" w14:textId="5C17F517" w:rsidR="0078382A" w:rsidRPr="001C61AE" w:rsidRDefault="0078382A" w:rsidP="0078382A">
            <w:pPr>
              <w:pStyle w:val="ListParagraph"/>
              <w:numPr>
                <w:ilvl w:val="0"/>
                <w:numId w:val="12"/>
              </w:numPr>
              <w:spacing w:before="100" w:beforeAutospacing="1" w:after="100" w:afterAutospacing="1"/>
              <w:ind w:left="240" w:hanging="18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q-AL"/>
              </w:rPr>
            </w:pPr>
            <w:r w:rsidRPr="001C61AE">
              <w:rPr>
                <w:rFonts w:ascii="Arial" w:hAnsi="Arial" w:cs="Arial"/>
                <w:sz w:val="18"/>
                <w:szCs w:val="18"/>
                <w:lang w:val="sq-AL"/>
              </w:rPr>
              <w:t>Ndërgjegjësimi i pamjaftueshëm mund të çojë në veprime të ngadalta politike, duke lejuar që ndryshimet klimatike të "mbyllin" rreziqe më të mëdha shëndetësore në të ardhmen.</w:t>
            </w:r>
          </w:p>
        </w:tc>
      </w:tr>
    </w:tbl>
    <w:p w14:paraId="00792935" w14:textId="77777777" w:rsidR="00B15518" w:rsidRPr="001C61AE" w:rsidRDefault="00B15518" w:rsidP="001D4FA1">
      <w:pPr>
        <w:spacing w:line="240" w:lineRule="auto"/>
        <w:jc w:val="both"/>
        <w:rPr>
          <w:rFonts w:ascii="Arial" w:hAnsi="Arial" w:cs="Arial"/>
          <w:b/>
          <w:bCs/>
          <w:lang w:val="sq-AL"/>
        </w:rPr>
      </w:pPr>
    </w:p>
    <w:p w14:paraId="6D944384" w14:textId="77777777" w:rsidR="00B15518" w:rsidRPr="001C61AE" w:rsidRDefault="00B15518" w:rsidP="001D4FA1">
      <w:pPr>
        <w:spacing w:line="240" w:lineRule="auto"/>
        <w:jc w:val="both"/>
        <w:rPr>
          <w:rFonts w:ascii="Arial" w:hAnsi="Arial" w:cs="Arial"/>
          <w:b/>
          <w:bCs/>
          <w:lang w:val="sq-AL"/>
        </w:rPr>
      </w:pPr>
    </w:p>
    <w:p w14:paraId="14E5C53E" w14:textId="77777777" w:rsidR="00FB1067" w:rsidRDefault="00FB1067" w:rsidP="001D4FA1">
      <w:pPr>
        <w:spacing w:line="240" w:lineRule="auto"/>
        <w:jc w:val="both"/>
        <w:rPr>
          <w:rFonts w:ascii="Arial" w:hAnsi="Arial" w:cs="Arial"/>
          <w:b/>
          <w:bCs/>
          <w:lang w:val="sq-AL"/>
        </w:rPr>
      </w:pPr>
    </w:p>
    <w:p w14:paraId="65540E77" w14:textId="7EDD8FE2" w:rsidR="0070388A" w:rsidRPr="001C61AE" w:rsidRDefault="0070388A" w:rsidP="001D4FA1">
      <w:pPr>
        <w:spacing w:line="240" w:lineRule="auto"/>
        <w:jc w:val="both"/>
        <w:rPr>
          <w:rFonts w:ascii="Arial" w:hAnsi="Arial" w:cs="Arial"/>
          <w:b/>
          <w:bCs/>
          <w:lang w:val="sq-AL"/>
        </w:rPr>
      </w:pPr>
      <w:r w:rsidRPr="001C61AE">
        <w:rPr>
          <w:rFonts w:ascii="Arial" w:hAnsi="Arial" w:cs="Arial"/>
          <w:b/>
          <w:bCs/>
          <w:lang w:val="sq-AL"/>
        </w:rPr>
        <w:lastRenderedPageBreak/>
        <w:t>Objektivi strategjik dhe prioritetet kyçe të përshtatjes</w:t>
      </w:r>
    </w:p>
    <w:p w14:paraId="7F48C1A9" w14:textId="4A85C3E9" w:rsidR="002464D6" w:rsidRPr="001C61AE" w:rsidRDefault="0070388A" w:rsidP="002464D6">
      <w:pPr>
        <w:spacing w:line="240" w:lineRule="auto"/>
        <w:jc w:val="both"/>
        <w:rPr>
          <w:rFonts w:ascii="Arial" w:hAnsi="Arial" w:cs="Arial"/>
          <w:lang w:val="sq-AL"/>
        </w:rPr>
      </w:pPr>
      <w:r w:rsidRPr="001C61AE">
        <w:rPr>
          <w:rFonts w:ascii="Arial" w:hAnsi="Arial" w:cs="Arial"/>
          <w:noProof/>
        </w:rPr>
        <mc:AlternateContent>
          <mc:Choice Requires="wps">
            <w:drawing>
              <wp:anchor distT="0" distB="0" distL="114300" distR="114300" simplePos="0" relativeHeight="251743232" behindDoc="0" locked="0" layoutInCell="1" allowOverlap="1" wp14:anchorId="6EBCAE31" wp14:editId="0AD72367">
                <wp:simplePos x="0" y="0"/>
                <wp:positionH relativeFrom="margin">
                  <wp:posOffset>3810</wp:posOffset>
                </wp:positionH>
                <wp:positionV relativeFrom="paragraph">
                  <wp:posOffset>464185</wp:posOffset>
                </wp:positionV>
                <wp:extent cx="6496050" cy="1425575"/>
                <wp:effectExtent l="0" t="0" r="19050" b="22225"/>
                <wp:wrapTopAndBottom/>
                <wp:docPr id="614290999" name="Cuadro de texto 12"/>
                <wp:cNvGraphicFramePr/>
                <a:graphic xmlns:a="http://schemas.openxmlformats.org/drawingml/2006/main">
                  <a:graphicData uri="http://schemas.microsoft.com/office/word/2010/wordprocessingShape">
                    <wps:wsp>
                      <wps:cNvSpPr txBox="1"/>
                      <wps:spPr>
                        <a:xfrm>
                          <a:off x="0" y="0"/>
                          <a:ext cx="6496050" cy="1425575"/>
                        </a:xfrm>
                        <a:prstGeom prst="rect">
                          <a:avLst/>
                        </a:prstGeom>
                        <a:solidFill>
                          <a:srgbClr val="0F4761"/>
                        </a:solidFill>
                        <a:ln w="6350">
                          <a:solidFill>
                            <a:srgbClr val="156082"/>
                          </a:solidFill>
                        </a:ln>
                      </wps:spPr>
                      <wps:txbx>
                        <w:txbxContent>
                          <w:p w14:paraId="57738F22" w14:textId="7A75CCEE" w:rsidR="007065D4" w:rsidRDefault="007065D4" w:rsidP="002464D6">
                            <w:pPr>
                              <w:jc w:val="center"/>
                            </w:pPr>
                            <w:r>
                              <w:rPr>
                                <w:b/>
                                <w:bCs/>
                                <w:i/>
                                <w:iCs/>
                                <w:sz w:val="24"/>
                                <w:szCs w:val="24"/>
                              </w:rPr>
                              <w:t xml:space="preserve">IV. </w:t>
                            </w:r>
                            <w:r w:rsidRPr="00C07BC5">
                              <w:rPr>
                                <w:b/>
                                <w:bCs/>
                                <w:i/>
                                <w:iCs/>
                                <w:sz w:val="24"/>
                                <w:szCs w:val="24"/>
                              </w:rPr>
                              <w:t>Zhvillimi i një sistemi gjithëpërfshirës shëndetësor dhe social të qëndrueshëm ndaj klimës, që mbron të gjithë qytetarët dhe mjetet e tyre të jetesës nga rreziqet klimatike dhe kërcënimet shëndetësore, përfshirë ata që jetojnë në zona me rrezik të lartë dhe popullatat e ardhshme, duke mbështetur njëkohësisht objektivat e Strategjisë për Sektorin e Shëndetësisë në drejtim të përmirësimit të cilësisë së shërbimeve, qasjes dhe promovimit të shëndetit.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BCAE31" id="_x0000_s1070" type="#_x0000_t202" style="position:absolute;left:0;text-align:left;margin-left:.3pt;margin-top:36.55pt;width:511.5pt;height:112.25pt;z-index:251743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" fillcolor="#0f4761" strokecolor="#156082" strokeweight=".5pt">
                <v:textbox>
                  <w:txbxContent>
                    <w:p w14:paraId="57738F22" w14:textId="7A75CCEE" w:rsidR="007065D4" w:rsidRDefault="007065D4" w:rsidP="002464D6">
                      <w:pPr>
                        <w:jc w:val="center"/>
                      </w:pPr>
                      <w:r>
                        <w:rPr>
                          <w:b/>
                          <w:bCs/>
                          <w:i/>
                          <w:iCs/>
                          <w:sz w:val="24"/>
                          <w:szCs w:val="24"/>
                        </w:rPr>
                        <w:t xml:space="preserve">IV. </w:t>
                      </w:r>
                      <w:r w:rsidRPr="00C07BC5">
                        <w:rPr>
                          <w:b/>
                          <w:bCs/>
                          <w:i/>
                          <w:iCs/>
                          <w:sz w:val="24"/>
                          <w:szCs w:val="24"/>
                        </w:rPr>
                        <w:t>Zhvillimi i një sistemi gjithëpërfshirës shëndetësor dhe social të qëndrueshëm ndaj klimës, që mbron të gjithë qytetarët dhe mjetet e tyre të jetesës nga rreziqet klimatike dhe kërcënimet shëndetësore, përfshirë ata që jetojnë në zona me rrezik të lartë dhe popullatat e ardhshme, duke mbështetur njëkohësisht objektivat e Strategjisë për Sektorin e Shëndetësisë në drejtim të përmirësimit të cilësisë së shërbimeve, qasjes dhe promovimit të shëndetit.</w:t>
                      </w:r>
                    </w:p>
                  </w:txbxContent>
                </v:textbox>
                <w10:wrap type="topAndBottom" anchorx="margin"/>
              </v:shape>
            </w:pict>
          </mc:Fallback>
        </mc:AlternateContent>
      </w:r>
      <w:r w:rsidRPr="001C61AE">
        <w:rPr>
          <w:rFonts w:ascii="Arial" w:hAnsi="Arial" w:cs="Arial"/>
          <w:lang w:val="sq-AL"/>
        </w:rPr>
        <w:t xml:space="preserve">Objektivi strategjik që drejton përshtatjen ndaj klimës në sektorin shëndetësor dhe social të Kosovës përcaktohet si më poshtë: </w:t>
      </w:r>
    </w:p>
    <w:p w14:paraId="6D89640D" w14:textId="631070BE" w:rsidR="00C07BC5" w:rsidRPr="001C61AE" w:rsidRDefault="00C07BC5" w:rsidP="00C07BC5">
      <w:pPr>
        <w:spacing w:line="240" w:lineRule="auto"/>
        <w:jc w:val="both"/>
        <w:rPr>
          <w:rFonts w:ascii="Arial" w:hAnsi="Arial" w:cs="Arial"/>
          <w:lang w:val="sq-AL"/>
        </w:rPr>
      </w:pPr>
      <w:r w:rsidRPr="001C61AE">
        <w:rPr>
          <w:rFonts w:ascii="Arial" w:hAnsi="Arial" w:cs="Arial"/>
          <w:lang w:val="sq-AL"/>
        </w:rPr>
        <w:t xml:space="preserve">Kjo do të thotë që deri në vitin 2030, sektori i shëndetësisë i Kosovës jo vetëm që do të ketë zbatuar reformat në kuadër të </w:t>
      </w:r>
      <w:r w:rsidR="007660E3" w:rsidRPr="001C61AE">
        <w:rPr>
          <w:rFonts w:ascii="Arial" w:hAnsi="Arial" w:cs="Arial"/>
          <w:lang w:val="sq-AL"/>
        </w:rPr>
        <w:t xml:space="preserve">MSH </w:t>
      </w:r>
      <w:r w:rsidRPr="001C61AE">
        <w:rPr>
          <w:rFonts w:ascii="Arial" w:hAnsi="Arial" w:cs="Arial"/>
          <w:lang w:val="sq-AL"/>
        </w:rPr>
        <w:t>(kujdes parësor i forcuar, spitale të modernizuara, sisteme shëndetësore elektronike, etj.), por gjithashtu do të ketë integruar përshtatjen ndaj klimës në çdo nivel, duke siguruar vazhdimësinë e kujdesit, uljen e barrës së sëmundjeve të ndjeshme ndaj klimës dhe mbrojtje të shtuar për të prekshmit pavarësisht një klime në ndryshim.</w:t>
      </w:r>
    </w:p>
    <w:p w14:paraId="4AD036E4" w14:textId="77777777" w:rsidR="00C07BC5" w:rsidRPr="001C61AE" w:rsidRDefault="00C07BC5" w:rsidP="00C07BC5">
      <w:pPr>
        <w:spacing w:line="240" w:lineRule="auto"/>
        <w:jc w:val="both"/>
        <w:rPr>
          <w:rFonts w:ascii="Arial" w:hAnsi="Arial" w:cs="Arial"/>
          <w:lang w:val="sq-AL"/>
        </w:rPr>
      </w:pPr>
      <w:r w:rsidRPr="001C61AE">
        <w:rPr>
          <w:rFonts w:ascii="Arial" w:hAnsi="Arial" w:cs="Arial"/>
          <w:lang w:val="sq-AL"/>
        </w:rPr>
        <w:t>Ky objektiv strategjik e përafron veprimin ndaj klimës me misionin kryesor të sistemit shëndetësor. Ai njeh që mbrojtja e shëndetit publik nga ndikimet klimatike është thelbësore për të arritur vizionin e HSS për një popullsi të shëndetshme dhe të lulëzuar. Progresi drejt këtij qëllimi do të matet përmes Objektivit specifik dhe treguesve, siç përshkruhet më poshtë.</w:t>
      </w:r>
    </w:p>
    <w:p w14:paraId="34B2913A" w14:textId="6A635475" w:rsidR="00C07BC5" w:rsidRPr="001C61AE" w:rsidRDefault="00C07BC5" w:rsidP="00C07BC5">
      <w:pPr>
        <w:spacing w:line="240" w:lineRule="auto"/>
        <w:jc w:val="both"/>
        <w:rPr>
          <w:rFonts w:ascii="Arial" w:hAnsi="Arial" w:cs="Arial"/>
          <w:lang w:val="sq-AL"/>
        </w:rPr>
      </w:pPr>
      <w:r w:rsidRPr="001C61AE">
        <w:rPr>
          <w:rFonts w:ascii="Arial" w:hAnsi="Arial" w:cs="Arial"/>
          <w:lang w:val="sq-AL"/>
        </w:rPr>
        <w:t>Për ta përkthyer këtë objektiv në veprim konkret, sektori i shëndetësisë dhe socialit ka identifikuar një sërë Prioritetesh Kyçe të Përshtatjes. Këto përfaqësojnë fushat kryesore të ndërhyrjes së nevojshme për të zvogëluar cenueshmërinë sektoriale.</w:t>
      </w:r>
    </w:p>
    <w:p w14:paraId="60CB34FD" w14:textId="0F65895E" w:rsidR="002464D6" w:rsidRPr="001C61AE" w:rsidRDefault="00F32607" w:rsidP="002464D6">
      <w:pPr>
        <w:spacing w:line="240" w:lineRule="auto"/>
        <w:jc w:val="both"/>
        <w:rPr>
          <w:rFonts w:ascii="Arial" w:hAnsi="Arial" w:cs="Arial"/>
          <w:lang w:val="sq-AL"/>
        </w:rPr>
      </w:pPr>
      <w:r w:rsidRPr="001C61AE">
        <w:rPr>
          <w:rFonts w:ascii="Arial" w:hAnsi="Arial" w:cs="Arial"/>
          <w:noProof/>
        </w:rPr>
        <mc:AlternateContent>
          <mc:Choice Requires="wpg">
            <w:drawing>
              <wp:anchor distT="0" distB="0" distL="114300" distR="114300" simplePos="0" relativeHeight="251749376" behindDoc="0" locked="0" layoutInCell="1" allowOverlap="1" wp14:anchorId="47B4345D" wp14:editId="545EC644">
                <wp:simplePos x="0" y="0"/>
                <wp:positionH relativeFrom="margin">
                  <wp:posOffset>1113155</wp:posOffset>
                </wp:positionH>
                <wp:positionV relativeFrom="paragraph">
                  <wp:posOffset>220345</wp:posOffset>
                </wp:positionV>
                <wp:extent cx="4492625" cy="1912620"/>
                <wp:effectExtent l="0" t="0" r="3175" b="11430"/>
                <wp:wrapTopAndBottom/>
                <wp:docPr id="344849330" name="Grupo 27"/>
                <wp:cNvGraphicFramePr/>
                <a:graphic xmlns:a="http://schemas.openxmlformats.org/drawingml/2006/main">
                  <a:graphicData uri="http://schemas.microsoft.com/office/word/2010/wordprocessingGroup">
                    <wpg:wgp>
                      <wpg:cNvGrpSpPr/>
                      <wpg:grpSpPr>
                        <a:xfrm>
                          <a:off x="0" y="0"/>
                          <a:ext cx="4492625" cy="1912620"/>
                          <a:chOff x="0" y="19573"/>
                          <a:chExt cx="3505525" cy="1317915"/>
                        </a:xfrm>
                      </wpg:grpSpPr>
                      <wpg:grpSp>
                        <wpg:cNvPr id="1794985128" name="Grupo 26"/>
                        <wpg:cNvGrpSpPr/>
                        <wpg:grpSpPr>
                          <a:xfrm>
                            <a:off x="0" y="19573"/>
                            <a:ext cx="3505525" cy="1317915"/>
                            <a:chOff x="0" y="19573"/>
                            <a:chExt cx="3505525" cy="1317915"/>
                          </a:xfrm>
                        </wpg:grpSpPr>
                        <wps:wsp>
                          <wps:cNvPr id="718296108" name="Cuadro de texto 13"/>
                          <wps:cNvSpPr txBox="1"/>
                          <wps:spPr>
                            <a:xfrm>
                              <a:off x="0" y="228600"/>
                              <a:ext cx="3248025" cy="1108888"/>
                            </a:xfrm>
                            <a:prstGeom prst="rect">
                              <a:avLst/>
                            </a:prstGeom>
                            <a:solidFill>
                              <a:sysClr val="window" lastClr="FFFFFF"/>
                            </a:solidFill>
                            <a:ln w="6350">
                              <a:solidFill>
                                <a:srgbClr val="0F4761"/>
                              </a:solidFill>
                              <a:prstDash val="dash"/>
                            </a:ln>
                          </wps:spPr>
                          <wps:txbx>
                            <w:txbxContent>
                              <w:p w14:paraId="7E35C690" w14:textId="77777777" w:rsidR="00B15518" w:rsidRPr="00B15518" w:rsidRDefault="00B15518" w:rsidP="00F36447">
                                <w:pPr>
                                  <w:pStyle w:val="ListParagraph"/>
                                  <w:numPr>
                                    <w:ilvl w:val="0"/>
                                    <w:numId w:val="39"/>
                                  </w:numPr>
                                </w:pPr>
                                <w:r w:rsidRPr="00B15518">
                                  <w:rPr>
                                    <w:b/>
                                    <w:bCs/>
                                    <w:color w:val="0F4761"/>
                                  </w:rPr>
                                  <w:t xml:space="preserve">Forcimi i sistemeve dhe shërbimeve shëndetësore të qëndrueshme ndaj klimës </w:t>
                                </w:r>
                              </w:p>
                              <w:p w14:paraId="70291981" w14:textId="77777777" w:rsidR="00B15518" w:rsidRPr="00B15518" w:rsidRDefault="00B15518" w:rsidP="00F36447">
                                <w:pPr>
                                  <w:pStyle w:val="ListParagraph"/>
                                  <w:numPr>
                                    <w:ilvl w:val="0"/>
                                    <w:numId w:val="39"/>
                                  </w:numPr>
                                </w:pPr>
                                <w:r w:rsidRPr="00B15518">
                                  <w:rPr>
                                    <w:b/>
                                    <w:bCs/>
                                    <w:color w:val="0F4761"/>
                                  </w:rPr>
                                  <w:t xml:space="preserve">Përmirësimi i mekanizmave të paralajmërimit të hershëm dhe të reagimit emergjent të bazuar në komunitet </w:t>
                                </w:r>
                              </w:p>
                              <w:p w14:paraId="0E29AC9A" w14:textId="1BF153DC" w:rsidR="007065D4" w:rsidRPr="00EF75BB" w:rsidRDefault="00B15518" w:rsidP="00B15518">
                                <w:pPr>
                                  <w:pStyle w:val="ListParagraph"/>
                                  <w:numPr>
                                    <w:ilvl w:val="0"/>
                                    <w:numId w:val="39"/>
                                  </w:numPr>
                                </w:pPr>
                                <w:r w:rsidRPr="00B15518">
                                  <w:rPr>
                                    <w:b/>
                                    <w:bCs/>
                                    <w:color w:val="0F4761"/>
                                  </w:rPr>
                                  <w:t>Promovimi i masave të mbrojtjes sociale për popullatat e ndjeshme të prekura nga rreziqet klimatike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11554182" name="Imagen 14"/>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089417" y="19573"/>
                              <a:ext cx="416108" cy="416108"/>
                            </a:xfrm>
                            <a:prstGeom prst="rect">
                              <a:avLst/>
                            </a:prstGeom>
                            <a:noFill/>
                          </pic:spPr>
                        </pic:pic>
                      </wpg:grpSp>
                      <pic:pic xmlns:pic="http://schemas.openxmlformats.org/drawingml/2006/picture">
                        <pic:nvPicPr>
                          <pic:cNvPr id="374034209" name="Graphic 2" descr="Heart with pulse outline"/>
                          <pic:cNvPicPr>
                            <a:picLocks noChangeAspect="1"/>
                          </pic:cNvPicPr>
                        </pic:nvPicPr>
                        <pic:blipFill>
                          <a:blip r:embed="rId1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a:off x="3103571" y="83549"/>
                            <a:ext cx="393815" cy="3938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B4345D" id="Grupo 27" o:spid="_x0000_s1071" style="position:absolute;left:0;text-align:left;margin-left:87.65pt;margin-top:17.35pt;width:353.75pt;height:150.6pt;z-index:251749376;mso-position-horizontal-relative:margin;mso-width-relative:margin;mso-height-relative:margin" coordorigin=",195" coordsize="35055,13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">
                <v:group id="Grupo 26" o:spid="_x0000_s1072" style="position:absolute;top:195;width:35055;height:13179" coordorigin=",195" coordsize="35055,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">
                  <v:shape id="_x0000_s1073" type="#_x0000_t202" style="position:absolute;top:2286;width:32480;height:1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" fillcolor="window" strokecolor="#0f4761" strokeweight=".5pt">
                    <v:stroke dashstyle="dash"/>
                    <v:textbox>
                      <w:txbxContent>
                        <w:p w14:paraId="7E35C690" w14:textId="77777777" w:rsidR="00B15518" w:rsidRPr="00B15518" w:rsidRDefault="00B15518" w:rsidP="00F36447">
                          <w:pPr>
                            <w:pStyle w:val="ListParagraph"/>
                            <w:numPr>
                              <w:ilvl w:val="0"/>
                              <w:numId w:val="39"/>
                            </w:numPr>
                          </w:pPr>
                          <w:r w:rsidRPr="00B15518">
                            <w:rPr>
                              <w:b/>
                              <w:bCs/>
                              <w:color w:val="0F4761"/>
                            </w:rPr>
                            <w:t xml:space="preserve">Forcimi i sistemeve dhe shërbimeve shëndetësore të qëndrueshme ndaj klimës </w:t>
                          </w:r>
                        </w:p>
                        <w:p w14:paraId="70291981" w14:textId="77777777" w:rsidR="00B15518" w:rsidRPr="00B15518" w:rsidRDefault="00B15518" w:rsidP="00F36447">
                          <w:pPr>
                            <w:pStyle w:val="ListParagraph"/>
                            <w:numPr>
                              <w:ilvl w:val="0"/>
                              <w:numId w:val="39"/>
                            </w:numPr>
                          </w:pPr>
                          <w:r w:rsidRPr="00B15518">
                            <w:rPr>
                              <w:b/>
                              <w:bCs/>
                              <w:color w:val="0F4761"/>
                            </w:rPr>
                            <w:t xml:space="preserve">Përmirësimi i mekanizmave të paralajmërimit të hershëm dhe të reagimit emergjent të bazuar në komunitet </w:t>
                          </w:r>
                        </w:p>
                        <w:p w14:paraId="0E29AC9A" w14:textId="1BF153DC" w:rsidR="007065D4" w:rsidRPr="00EF75BB" w:rsidRDefault="00B15518" w:rsidP="00B15518">
                          <w:pPr>
                            <w:pStyle w:val="ListParagraph"/>
                            <w:numPr>
                              <w:ilvl w:val="0"/>
                              <w:numId w:val="39"/>
                            </w:numPr>
                          </w:pPr>
                          <w:r w:rsidRPr="00B15518">
                            <w:rPr>
                              <w:b/>
                              <w:bCs/>
                              <w:color w:val="0F4761"/>
                            </w:rPr>
                            <w:t>Promovimi i masave të mbrojtjes sociale për popullatat e ndjeshme të prekura nga rreziqet klimatike</w:t>
                          </w:r>
                        </w:p>
                      </w:txbxContent>
                    </v:textbox>
                  </v:shape>
                  <v:shape id="Imagen 14" o:spid="_x0000_s1074" type="#_x0000_t75" style="position:absolute;left:30894;top:195;width:4161;height:4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">
                    <v:imagedata r:id="rId49" o:title=""/>
                    <v:path arrowok="t"/>
                  </v:shape>
                </v:group>
                <v:shape id="Graphic 2" o:spid="_x0000_s1075" type="#_x0000_t75" alt="Heart with pulse outline" style="position:absolute;left:31035;top:835;width:3938;height:3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">
                  <v:imagedata r:id="rId59" o:title="Heart with pulse outline"/>
                  <v:path arrowok="t"/>
                </v:shape>
                <w10:wrap type="topAndBottom" anchorx="margin"/>
              </v:group>
            </w:pict>
          </mc:Fallback>
        </mc:AlternateContent>
      </w:r>
      <w:r w:rsidR="00C07BC5" w:rsidRPr="001C61AE">
        <w:rPr>
          <w:rFonts w:ascii="Arial" w:hAnsi="Arial" w:cs="Arial"/>
          <w:lang w:val="sq-AL"/>
        </w:rPr>
        <w:t>Tri prioritetet kryesore të përshtatjes për sektorin e shëndetësisë dhe socialit janë si më poshtë:</w:t>
      </w:r>
      <w:r w:rsidR="002464D6" w:rsidRPr="001C61AE">
        <w:rPr>
          <w:rFonts w:ascii="Arial" w:hAnsi="Arial" w:cs="Arial"/>
          <w:lang w:val="sq-AL"/>
        </w:rPr>
        <w:t xml:space="preserve">. </w:t>
      </w:r>
    </w:p>
    <w:p w14:paraId="279B1C0F" w14:textId="77777777" w:rsidR="002464D6" w:rsidRPr="001C61AE" w:rsidRDefault="002464D6" w:rsidP="001D4FA1">
      <w:pPr>
        <w:spacing w:line="240" w:lineRule="auto"/>
        <w:jc w:val="both"/>
        <w:rPr>
          <w:rFonts w:ascii="Arial" w:hAnsi="Arial" w:cs="Arial"/>
          <w:b/>
          <w:bCs/>
          <w:lang w:val="sq-AL"/>
        </w:rPr>
      </w:pPr>
    </w:p>
    <w:p w14:paraId="12772848" w14:textId="142AEC53" w:rsidR="001D4FA1" w:rsidRPr="001C61AE" w:rsidRDefault="0091468A" w:rsidP="00233010">
      <w:pPr>
        <w:pStyle w:val="Heading3"/>
        <w:rPr>
          <w:rFonts w:ascii="Arial" w:hAnsi="Arial" w:cs="Arial"/>
          <w:lang w:val="sq-AL"/>
        </w:rPr>
      </w:pPr>
      <w:bookmarkStart w:id="91" w:name="_Toc211532712"/>
      <w:r w:rsidRPr="001C61AE">
        <w:rPr>
          <w:rFonts w:ascii="Arial" w:hAnsi="Arial" w:cs="Arial"/>
          <w:lang w:val="sq-AL"/>
        </w:rPr>
        <w:t xml:space="preserve">Forcimi </w:t>
      </w:r>
      <w:r w:rsidR="00C07BC5" w:rsidRPr="001C61AE">
        <w:rPr>
          <w:rFonts w:ascii="Arial" w:hAnsi="Arial" w:cs="Arial"/>
          <w:lang w:val="sq-AL"/>
        </w:rPr>
        <w:t xml:space="preserve"> i sistemeve dhe shërbimeve shëndetësore të qëndrueshme ndaj </w:t>
      </w:r>
      <w:r w:rsidRPr="001C61AE">
        <w:rPr>
          <w:rFonts w:ascii="Arial" w:hAnsi="Arial" w:cs="Arial"/>
          <w:lang w:val="sq-AL"/>
        </w:rPr>
        <w:t>klimës</w:t>
      </w:r>
      <w:bookmarkEnd w:id="91"/>
    </w:p>
    <w:p w14:paraId="00511825" w14:textId="27FF4462" w:rsidR="001D4FA1" w:rsidRPr="001C61AE" w:rsidRDefault="00403494" w:rsidP="001D4FA1">
      <w:pPr>
        <w:jc w:val="both"/>
        <w:rPr>
          <w:rFonts w:ascii="Arial" w:hAnsi="Arial" w:cs="Arial"/>
          <w:lang w:val="sq-AL"/>
        </w:rPr>
      </w:pPr>
      <w:r w:rsidRPr="001C61AE">
        <w:rPr>
          <w:rFonts w:ascii="Arial" w:hAnsi="Arial" w:cs="Arial"/>
          <w:lang w:val="sq-AL"/>
        </w:rPr>
        <w:t>Për të siguruar vazhdimësinë e kujdesit nën stresin ekstrem të motit dhe klimës, do të forco</w:t>
      </w:r>
      <w:r w:rsidR="00F53052" w:rsidRPr="001C61AE">
        <w:rPr>
          <w:rFonts w:ascii="Arial" w:hAnsi="Arial" w:cs="Arial"/>
          <w:lang w:val="sq-AL"/>
        </w:rPr>
        <w:t xml:space="preserve">het </w:t>
      </w:r>
      <w:r w:rsidRPr="001C61AE">
        <w:rPr>
          <w:rFonts w:ascii="Arial" w:hAnsi="Arial" w:cs="Arial"/>
          <w:lang w:val="sq-AL"/>
        </w:rPr>
        <w:t xml:space="preserve"> qëndrueshmëri</w:t>
      </w:r>
      <w:r w:rsidR="00F53052" w:rsidRPr="001C61AE">
        <w:rPr>
          <w:rFonts w:ascii="Arial" w:hAnsi="Arial" w:cs="Arial"/>
          <w:lang w:val="sq-AL"/>
        </w:rPr>
        <w:t>a</w:t>
      </w:r>
      <w:r w:rsidRPr="001C61AE">
        <w:rPr>
          <w:rFonts w:ascii="Arial" w:hAnsi="Arial" w:cs="Arial"/>
          <w:lang w:val="sq-AL"/>
        </w:rPr>
        <w:t xml:space="preserve"> ndaj klimës së infrastrukturës së saj shëndetësore dhe kapaciteteve të fuqisë punëtore. Kjo përfshin përmirësimin e objekteve fizike, zinxhirëve të furnizimit dhe praktikave klinike</w:t>
      </w:r>
      <w:r w:rsidR="00F25436" w:rsidRPr="001C61AE">
        <w:rPr>
          <w:rFonts w:ascii="Arial" w:hAnsi="Arial" w:cs="Arial"/>
          <w:lang w:val="sq-AL"/>
        </w:rPr>
        <w:t>:</w:t>
      </w:r>
    </w:p>
    <w:p w14:paraId="2AC80B59" w14:textId="559B94B5" w:rsidR="00403494" w:rsidRPr="001C61AE" w:rsidRDefault="00403494" w:rsidP="00F36447">
      <w:pPr>
        <w:pStyle w:val="ListParagraph"/>
        <w:numPr>
          <w:ilvl w:val="1"/>
          <w:numId w:val="7"/>
        </w:numPr>
        <w:spacing w:before="0" w:line="278" w:lineRule="auto"/>
        <w:jc w:val="both"/>
        <w:rPr>
          <w:rFonts w:ascii="Arial" w:hAnsi="Arial" w:cs="Arial"/>
          <w:lang w:val="sq-AL"/>
        </w:rPr>
      </w:pPr>
      <w:r w:rsidRPr="001C61AE">
        <w:rPr>
          <w:rFonts w:ascii="Arial" w:hAnsi="Arial" w:cs="Arial"/>
          <w:b/>
          <w:bCs/>
          <w:lang w:val="sq-AL"/>
        </w:rPr>
        <w:t xml:space="preserve">Infrastrukturë </w:t>
      </w:r>
      <w:r w:rsidR="007660E3" w:rsidRPr="001C61AE">
        <w:rPr>
          <w:rFonts w:ascii="Arial" w:hAnsi="Arial" w:cs="Arial"/>
          <w:b/>
          <w:bCs/>
          <w:lang w:val="sq-AL"/>
        </w:rPr>
        <w:t xml:space="preserve">rezistuese </w:t>
      </w:r>
      <w:r w:rsidRPr="001C61AE">
        <w:rPr>
          <w:rFonts w:ascii="Arial" w:hAnsi="Arial" w:cs="Arial"/>
          <w:b/>
          <w:bCs/>
          <w:lang w:val="sq-AL"/>
        </w:rPr>
        <w:t xml:space="preserve">ndaj klimës: </w:t>
      </w:r>
      <w:r w:rsidRPr="001C61AE">
        <w:rPr>
          <w:rFonts w:ascii="Arial" w:hAnsi="Arial" w:cs="Arial"/>
          <w:lang w:val="sq-AL"/>
        </w:rPr>
        <w:t xml:space="preserve">Përmirësimet e synuara të infrastrukturës në spitale dhe qendra shëndetësore janë thelbësore për funksionalitetin e tyre gjatë përmbytjeve, valëve të të nxehtit dhe të ftohtit ekstrem. Objektet do të vlerësohen dhe rinovohen për t’u përshtatur me rreziqet klimatike, si përforcimi i strukturave kundër përmbytjeve, përmirësimi i izolimit dhe sistemeve të ftohjes për të përballuar të nxehtit, dhe rritja e efikasitetit energjetik. Gjeneratorë rezervë dhe sisteme për ruajtjen/pastrimin e ujit do të instalohen për të garantuar furnizim me energji elektrike dhe ujë të sigurt gjatë ndërprerjeve. Këto masa janë në përputhje me prioritetin e Strategjisë Sektoriale të </w:t>
      </w:r>
      <w:r w:rsidRPr="001C61AE">
        <w:rPr>
          <w:rFonts w:ascii="Arial" w:hAnsi="Arial" w:cs="Arial"/>
          <w:lang w:val="sq-AL"/>
        </w:rPr>
        <w:lastRenderedPageBreak/>
        <w:t>Shëndetësisë (SSSH) për modernizimin e infrastrukturës shëndetësore dhe teknologjisë mjekësore. Investimet e reja kapitale (si rinovimet e planifikuara për spitalet rajonale) do të zbatojnë standarde “të gjelbra” ndërtimi dhe dizajn të qëndrueshëm që në fillim, duke siguruar qëndrueshmëri afatgjatë. Deri në vitin 2027, së paku 50% e institucioneve shëndetësore madhore duhet të përmbushin standardet e qëndrueshmërisë klimatike, duke arritur në 100% deri më 2040 (shih Objektivat specifikë).</w:t>
      </w:r>
    </w:p>
    <w:p w14:paraId="4DC4D7C2" w14:textId="44DA80A7" w:rsidR="00403494" w:rsidRPr="001C61AE" w:rsidRDefault="00403494" w:rsidP="00F36447">
      <w:pPr>
        <w:pStyle w:val="ListParagraph"/>
        <w:numPr>
          <w:ilvl w:val="1"/>
          <w:numId w:val="7"/>
        </w:numPr>
        <w:spacing w:before="0" w:line="278" w:lineRule="auto"/>
        <w:jc w:val="both"/>
        <w:rPr>
          <w:rFonts w:ascii="Arial" w:hAnsi="Arial" w:cs="Arial"/>
          <w:lang w:val="sq-AL"/>
        </w:rPr>
      </w:pPr>
      <w:r w:rsidRPr="001C61AE">
        <w:rPr>
          <w:rFonts w:ascii="Arial" w:hAnsi="Arial" w:cs="Arial"/>
          <w:b/>
          <w:bCs/>
          <w:lang w:val="sq-AL"/>
        </w:rPr>
        <w:t xml:space="preserve">Ofrimi i shërbimeve dhe gatishmëria: </w:t>
      </w:r>
      <w:r w:rsidRPr="001C61AE">
        <w:rPr>
          <w:rFonts w:ascii="Arial" w:hAnsi="Arial" w:cs="Arial"/>
          <w:lang w:val="sq-AL"/>
        </w:rPr>
        <w:t>Planet gjithëpërfshirëse të gatishmërisë për emergjenca do të zhvillohen dhe integrohen në menaxhimin e përditshëm të shërbimeve shëndetësore. Rreziqet klimatike (valët e të nxehtit, përmbytjet e papritura, etj.) do të përfshihen në planet e emergjencave spitalore dhe protokollet kombëtare të reagimit. Kjo përfshin mbajtjen e rezervave të mjaftueshme të materialeve mjekësore emergjente (p.sh. lëngje IV, vaksina me zinxhir të ftohtë, kite për trauma) dhe zgjerimin e kapaciteteve të ambulancave dhe sistemeve të referimit për të përballuar rritjen e kërkesës. Përkushtimi i SSSH për përmirësimin e cilësisë dhe sistemet e sigurisë së pacientëve do të zgjerohet për të përfshirë edhe skenarët klimatikë – për shembull, përmes hartimit të procedurave standarde për menaxhimin e rasteve të urgjencës nga i nxehti në klinika, dhe ushtrimeve të rregullta për përgjigje ndaj katastrofave klimatike. Çdo institucion shëndetësor do të caktojë një pikë</w:t>
      </w:r>
      <w:r w:rsidR="00CB73A0" w:rsidRPr="001C61AE">
        <w:rPr>
          <w:rFonts w:ascii="Arial" w:hAnsi="Arial" w:cs="Arial"/>
          <w:lang w:val="sq-AL"/>
        </w:rPr>
        <w:t xml:space="preserve">kontakti </w:t>
      </w:r>
      <w:r w:rsidRPr="001C61AE">
        <w:rPr>
          <w:rFonts w:ascii="Arial" w:hAnsi="Arial" w:cs="Arial"/>
          <w:lang w:val="sq-AL"/>
        </w:rPr>
        <w:t xml:space="preserve"> për klimën që do të koordinojë masat për uljen e rrezikut.</w:t>
      </w:r>
    </w:p>
    <w:p w14:paraId="7E195ACB" w14:textId="1F04588A" w:rsidR="00403494" w:rsidRPr="001C61AE" w:rsidRDefault="00403494" w:rsidP="00F36447">
      <w:pPr>
        <w:pStyle w:val="ListParagraph"/>
        <w:numPr>
          <w:ilvl w:val="1"/>
          <w:numId w:val="7"/>
        </w:numPr>
        <w:spacing w:before="0" w:line="278" w:lineRule="auto"/>
        <w:jc w:val="both"/>
        <w:rPr>
          <w:rFonts w:ascii="Arial" w:hAnsi="Arial" w:cs="Arial"/>
          <w:b/>
          <w:bCs/>
          <w:lang w:val="sq-AL"/>
        </w:rPr>
      </w:pPr>
      <w:r w:rsidRPr="001C61AE">
        <w:rPr>
          <w:rFonts w:ascii="Arial" w:hAnsi="Arial" w:cs="Arial"/>
          <w:b/>
          <w:bCs/>
          <w:lang w:val="sq-AL"/>
        </w:rPr>
        <w:t xml:space="preserve">Zhvillimi i kapaciteteve të fuqisë punëtore: </w:t>
      </w:r>
      <w:r w:rsidRPr="001C61AE">
        <w:rPr>
          <w:rFonts w:ascii="Arial" w:hAnsi="Arial" w:cs="Arial"/>
          <w:lang w:val="sq-AL"/>
        </w:rPr>
        <w:t xml:space="preserve">Një fuqi punëtore e trajnuar mirë është shtylla kurrizore e një sistemi shëndetësor rezistent ndaj klimës. </w:t>
      </w:r>
      <w:r w:rsidR="00F53052" w:rsidRPr="001C61AE">
        <w:rPr>
          <w:rFonts w:ascii="Arial" w:hAnsi="Arial" w:cs="Arial"/>
          <w:lang w:val="sq-AL"/>
        </w:rPr>
        <w:t>P</w:t>
      </w:r>
      <w:r w:rsidRPr="001C61AE">
        <w:rPr>
          <w:rFonts w:ascii="Arial" w:hAnsi="Arial" w:cs="Arial"/>
          <w:lang w:val="sq-AL"/>
        </w:rPr>
        <w:t>rofesionistët shëndetësorë në të gjitha nivelet</w:t>
      </w:r>
      <w:r w:rsidR="00F53052" w:rsidRPr="001C61AE">
        <w:rPr>
          <w:rFonts w:ascii="Arial" w:hAnsi="Arial" w:cs="Arial"/>
          <w:lang w:val="sq-AL"/>
        </w:rPr>
        <w:t>, do të trajnohen</w:t>
      </w:r>
      <w:r w:rsidRPr="001C61AE">
        <w:rPr>
          <w:rFonts w:ascii="Arial" w:hAnsi="Arial" w:cs="Arial"/>
          <w:lang w:val="sq-AL"/>
        </w:rPr>
        <w:t xml:space="preserve"> për lidhjen ndërmjet ndryshimeve klimatike dhe shëndetit. Duke u mbështetur në zhvillimin e burimeve njerëzore të udhëhequr nga SSSH, do të prezantohen kurrikula dhe module të reja trajnimi për mjekë, infermierë dhe punonjës të komunitetit mbi menaxhimin e sëmundjeve të lidhura me të nxehtin, diagnostikimin dhe trajtimin e sëmundjeve të bartura nga uji apo vektorët, mbështetjen për shëndetin mendor pas katastrofave, dhe më shumë. Deri në vitin 2030, kompetencat për lidhjen klimë–shëndet do të jenë pjesë e standardeve të edukimit mjekësor dhe trajnimeve në shërbim. Synohet që së paku 1,000 profesionistë të shëndetit (përfshirë edhe ata në komunitet) të jenë të aftë në zbatimin e protokolleve për klimën dhe shëndetin deri në vitin 2030. Ky përpjekje mbështetet nga plani për burime njerëzore i SSSH, i cili parasheh shtimin e pozicioneve të reja (p.sh. 299 punonjës të rinj në QPS në vitin 2023) dhe forcimin e aftësive profesionale në gjithë sektorin. Strategjitë për mbajtjen e stafit në vend (si përmirësimi i kushteve të punës dhe zhvillimi i karrierës), të parashikuara në SSSH, do të jenë gjithashtu vendimtare.</w:t>
      </w:r>
    </w:p>
    <w:p w14:paraId="1855C945" w14:textId="6AE5EC36" w:rsidR="001D4FA1" w:rsidRPr="001C61AE" w:rsidRDefault="00403494" w:rsidP="00F36447">
      <w:pPr>
        <w:pStyle w:val="ListParagraph"/>
        <w:numPr>
          <w:ilvl w:val="1"/>
          <w:numId w:val="7"/>
        </w:numPr>
        <w:spacing w:before="0" w:line="278" w:lineRule="auto"/>
        <w:jc w:val="both"/>
        <w:rPr>
          <w:rFonts w:ascii="Arial" w:hAnsi="Arial" w:cs="Arial"/>
          <w:lang w:val="sq-AL"/>
        </w:rPr>
      </w:pPr>
      <w:r w:rsidRPr="001C61AE">
        <w:rPr>
          <w:rFonts w:ascii="Arial" w:hAnsi="Arial" w:cs="Arial"/>
          <w:b/>
          <w:bCs/>
          <w:lang w:val="sq-AL"/>
        </w:rPr>
        <w:t xml:space="preserve">Shëndeti publik dhe kërkimi shkencor: </w:t>
      </w:r>
      <w:r w:rsidRPr="001C61AE">
        <w:rPr>
          <w:rFonts w:ascii="Arial" w:hAnsi="Arial" w:cs="Arial"/>
          <w:lang w:val="sq-AL"/>
        </w:rPr>
        <w:t>Shërbimet parandaluese dhe promovuese të shëndetit do të forcohen për të adresuar gjendjet shëndetësore të ndjeshme ndaj klimës. Mbikëqyrja e sëmundjeve të lidhura me klimën (si sëmundjet diarreike, infeksionet nga vektorët, sëmundjet respiratore nga ndotja) do të përmirësohet përmes Sistemit të Informacionit Shëndetësor (HIS). Fushatat për promovimin e shëndetit dhe edukimin publik, të udhëhequra nga SSSH, do të përfshijnë mesazhe për rreziqet klimatike – për shembull, informim për higjienën gjatë përmbytjeve, ushqimin në kushte thatësire, apo njohjen e shenjave të rraskapitjes nga i nxehti. Iniciativa kërkimore të synuara do të inkurajohen në bashkëpunim me universitetet dhe Institutin Kombëtar të Shëndetësisë Publike për të studiuar lidhjet ndërmjet klimës dhe shëndetit (p.sh. si ndikojnë temperaturat ekstreme në sëmundjet kardiovaskulare në Kosovë, apo efektet afatgjata të shëndetit mendor pas zhvendosjeve për shkak të motit ekstrem). Këto evidenca do të informojnë vazhdimisht praktikat e përshtatjes.</w:t>
      </w:r>
    </w:p>
    <w:p w14:paraId="2E171CE1" w14:textId="0FC024CE" w:rsidR="001D4FA1" w:rsidRPr="001C61AE" w:rsidRDefault="00403494" w:rsidP="001D4FA1">
      <w:pPr>
        <w:jc w:val="both"/>
        <w:rPr>
          <w:rFonts w:ascii="Arial" w:hAnsi="Arial" w:cs="Arial"/>
          <w:lang w:val="sq-AL"/>
        </w:rPr>
      </w:pPr>
      <w:r w:rsidRPr="001C61AE">
        <w:rPr>
          <w:rFonts w:ascii="Arial" w:hAnsi="Arial" w:cs="Arial"/>
          <w:lang w:val="sq-AL"/>
        </w:rPr>
        <w:t xml:space="preserve">Duke forcuar infrastrukturën, shërbimet dhe fuqinë punëtore, sistemi shëndetësor i Kosovës do të jetë i pajisur për të ofruar kujdes të besueshëm dhe të sigurt përballë ekstremeve klimatike, duke mbrojtur përfitimet shëndetësore dhe duke siguruar që objektivat e SSSH-së (cilësia, qasja dhe rezultatet e </w:t>
      </w:r>
      <w:r w:rsidRPr="001C61AE">
        <w:rPr>
          <w:rFonts w:ascii="Arial" w:hAnsi="Arial" w:cs="Arial"/>
          <w:lang w:val="sq-AL"/>
        </w:rPr>
        <w:lastRenderedPageBreak/>
        <w:t>përmirësuara) të përmbushen edhe ndërsa ndryshon klima. Ky komponent gjithashtu përforcon qeverisjen institucionale: Komiteti ekzistues i Shëndetit Mjedisor do të ngrihet në një Komision formal të Klimës dhe Shëndetit që koordinon në të gjithë Ministrinë e Shëndetësisë (MSH) dhe Ministrinë e Mjedisit, në përputhje me qasjen "Një Shëndetësi" të mbështetur në SSSH. Ky komision do të ketë një mandat ligjor për të mbikëqyrur zbatimin e masave të përshtatjes shëndetësore dhe për të siguruar që treguesit e klimës të përfshihen në kornizën e monitorimit dhe vlerësimit të sektorit të shëndetësisë</w:t>
      </w:r>
      <w:r w:rsidR="001D4FA1" w:rsidRPr="001C61AE">
        <w:rPr>
          <w:rFonts w:ascii="Arial" w:hAnsi="Arial" w:cs="Arial"/>
          <w:lang w:val="sq-AL"/>
        </w:rPr>
        <w:t>.</w:t>
      </w:r>
    </w:p>
    <w:p w14:paraId="47BBC226" w14:textId="38FAA8B7" w:rsidR="001D4FA1" w:rsidRPr="001C61AE" w:rsidRDefault="006267BD" w:rsidP="00662E42">
      <w:pPr>
        <w:spacing w:line="240" w:lineRule="auto"/>
        <w:rPr>
          <w:rFonts w:ascii="Arial" w:hAnsi="Arial" w:cs="Arial"/>
          <w:b/>
          <w:bCs/>
          <w:color w:val="0F4761"/>
          <w:lang w:val="sq-AL"/>
        </w:rPr>
      </w:pPr>
      <w:r w:rsidRPr="001C61AE">
        <w:rPr>
          <w:rFonts w:ascii="Arial" w:hAnsi="Arial" w:cs="Arial"/>
          <w:b/>
          <w:bCs/>
          <w:color w:val="0F4761"/>
          <w:lang w:val="sq-AL"/>
        </w:rPr>
        <w:t>Objektivat specifikë</w:t>
      </w:r>
      <w:r w:rsidR="001D4FA1" w:rsidRPr="001C61AE">
        <w:rPr>
          <w:rFonts w:ascii="Arial" w:hAnsi="Arial" w:cs="Arial"/>
          <w:b/>
          <w:bCs/>
          <w:color w:val="0F4761"/>
          <w:lang w:val="sq-AL"/>
        </w:rPr>
        <w:t xml:space="preserve"> </w:t>
      </w:r>
    </w:p>
    <w:p w14:paraId="0914008D" w14:textId="27134D68" w:rsidR="001D4FA1" w:rsidRPr="001C61AE" w:rsidRDefault="00862AC4" w:rsidP="008E17FD">
      <w:pPr>
        <w:spacing w:line="240" w:lineRule="auto"/>
        <w:ind w:firstLine="708"/>
        <w:rPr>
          <w:rFonts w:ascii="Arial" w:hAnsi="Arial" w:cs="Arial"/>
          <w:b/>
          <w:bCs/>
          <w:color w:val="0F4761"/>
          <w:lang w:val="sq-AL"/>
        </w:rPr>
      </w:pPr>
      <w:r w:rsidRPr="001C61AE">
        <w:rPr>
          <w:rFonts w:ascii="Arial" w:hAnsi="Arial" w:cs="Arial"/>
          <w:b/>
          <w:bCs/>
          <w:color w:val="0F4761"/>
          <w:lang w:val="sq-AL"/>
        </w:rPr>
        <w:t>IV</w:t>
      </w:r>
      <w:r w:rsidR="00662E42" w:rsidRPr="001C61AE">
        <w:rPr>
          <w:rFonts w:ascii="Arial" w:hAnsi="Arial" w:cs="Arial"/>
          <w:b/>
          <w:bCs/>
          <w:color w:val="0F4761"/>
          <w:lang w:val="sq-AL"/>
        </w:rPr>
        <w:t>.</w:t>
      </w:r>
      <w:r w:rsidR="000A6F64" w:rsidRPr="001C61AE">
        <w:rPr>
          <w:rFonts w:ascii="Arial" w:hAnsi="Arial" w:cs="Arial"/>
          <w:b/>
          <w:bCs/>
          <w:color w:val="0F4761"/>
          <w:lang w:val="sq-AL"/>
        </w:rPr>
        <w:t>40</w:t>
      </w:r>
      <w:r w:rsidR="00662E42" w:rsidRPr="001C61AE">
        <w:rPr>
          <w:rFonts w:ascii="Arial" w:hAnsi="Arial" w:cs="Arial"/>
          <w:b/>
          <w:bCs/>
          <w:color w:val="0F4761"/>
          <w:lang w:val="sq-AL"/>
        </w:rPr>
        <w:t xml:space="preserve"> </w:t>
      </w:r>
      <w:r w:rsidR="00B361F7" w:rsidRPr="001C61AE">
        <w:rPr>
          <w:rFonts w:ascii="Arial" w:hAnsi="Arial" w:cs="Arial"/>
          <w:b/>
          <w:bCs/>
          <w:color w:val="0F4761"/>
          <w:lang w:val="sq-AL"/>
        </w:rPr>
        <w:t>Rinovimi i objekteve shëndetësore për qëndrueshmëri ndaj ndryshimeve klimatike.</w:t>
      </w:r>
    </w:p>
    <w:p w14:paraId="26ADB99A" w14:textId="2779205E" w:rsidR="00403494" w:rsidRPr="001C61AE" w:rsidRDefault="00F53052" w:rsidP="00B361F7">
      <w:pPr>
        <w:spacing w:line="240" w:lineRule="auto"/>
        <w:jc w:val="both"/>
        <w:rPr>
          <w:rFonts w:ascii="Arial" w:hAnsi="Arial" w:cs="Arial"/>
          <w:lang w:val="sq-AL"/>
        </w:rPr>
      </w:pPr>
      <w:r w:rsidRPr="001C61AE">
        <w:rPr>
          <w:rFonts w:ascii="Arial" w:hAnsi="Arial" w:cs="Arial"/>
          <w:lang w:val="sq-AL"/>
        </w:rPr>
        <w:t>N</w:t>
      </w:r>
      <w:r w:rsidR="00B361F7" w:rsidRPr="001C61AE">
        <w:rPr>
          <w:rFonts w:ascii="Arial" w:hAnsi="Arial" w:cs="Arial"/>
          <w:lang w:val="sq-AL"/>
        </w:rPr>
        <w:t xml:space="preserve">jë program </w:t>
      </w:r>
      <w:r w:rsidR="00AA0020" w:rsidRPr="001C61AE">
        <w:rPr>
          <w:rFonts w:ascii="Arial" w:hAnsi="Arial" w:cs="Arial"/>
          <w:lang w:val="sq-AL"/>
        </w:rPr>
        <w:t xml:space="preserve">në </w:t>
      </w:r>
      <w:r w:rsidR="00B361F7" w:rsidRPr="001C61AE">
        <w:rPr>
          <w:rFonts w:ascii="Arial" w:hAnsi="Arial" w:cs="Arial"/>
          <w:lang w:val="sq-AL"/>
        </w:rPr>
        <w:t xml:space="preserve"> faza</w:t>
      </w:r>
      <w:r w:rsidR="00AA0020" w:rsidRPr="001C61AE">
        <w:rPr>
          <w:rFonts w:ascii="Arial" w:hAnsi="Arial" w:cs="Arial"/>
          <w:lang w:val="sq-AL"/>
        </w:rPr>
        <w:t xml:space="preserve"> do të zbatohet</w:t>
      </w:r>
      <w:r w:rsidR="00B361F7" w:rsidRPr="001C61AE">
        <w:rPr>
          <w:rFonts w:ascii="Arial" w:hAnsi="Arial" w:cs="Arial"/>
          <w:lang w:val="sq-AL"/>
        </w:rPr>
        <w:t xml:space="preserve"> për të përmirësuar infrastrukturën shëndetësore për të përmbushur standardet e qëndrueshmërisë ndaj klimës, duke siguruar që objektet të mund të funksionojnë në mënyrë të sigurt dhe efektive gjatë ngjarjeve ekstreme të motit. Kjo përfshin përmirësimin e integritetit strukturor kundër përmbytjeve, përmirësimin e sistemeve të izolimit dhe ftohjes për të menaxhuar valët e të nxehtit dhe sigurimin e aksesit në energji të besueshme dhe ujë të sigurt. Deri në vitin 2027, të paktën 50% e objekteve kryesore shëndetësore do të përmbushin standardet e qëndrueshmërisë në infrastrukturë, </w:t>
      </w:r>
      <w:r w:rsidR="00AF6C69" w:rsidRPr="001C61AE">
        <w:rPr>
          <w:rFonts w:ascii="Arial" w:hAnsi="Arial" w:cs="Arial"/>
          <w:lang w:val="sq-AL"/>
        </w:rPr>
        <w:t>efiçiencë energjetike</w:t>
      </w:r>
      <w:r w:rsidR="00B361F7" w:rsidRPr="001C61AE">
        <w:rPr>
          <w:rFonts w:ascii="Arial" w:hAnsi="Arial" w:cs="Arial"/>
          <w:lang w:val="sq-AL"/>
        </w:rPr>
        <w:t xml:space="preserve"> dhe sistemet WASH (Ujë, Sanitarizim dhe Higjienë), duke përparuar në 100% deri në vitin 2040. Treguesi i përdorur për të matur progresin do të jetë përqindja e objekteve të kujdesit shëndetësor që përputhen me standardet e përcaktuara në nivel kombëtar të qëndrueshmërisë ndaj klimë</w:t>
      </w:r>
      <w:r w:rsidR="00E83EB3" w:rsidRPr="001C61AE">
        <w:rPr>
          <w:rFonts w:ascii="Arial" w:hAnsi="Arial" w:cs="Arial"/>
          <w:lang w:val="sq-AL"/>
        </w:rPr>
        <w:t xml:space="preserve">s. </w:t>
      </w:r>
    </w:p>
    <w:p w14:paraId="120E2EC3" w14:textId="4A3648D4" w:rsidR="00B361F7" w:rsidRPr="001C61AE" w:rsidRDefault="00862AC4" w:rsidP="00B361F7">
      <w:pPr>
        <w:spacing w:line="240" w:lineRule="auto"/>
        <w:ind w:firstLine="708"/>
        <w:rPr>
          <w:rFonts w:ascii="Arial" w:hAnsi="Arial" w:cs="Arial"/>
          <w:b/>
          <w:bCs/>
          <w:color w:val="0F4761"/>
          <w:lang w:val="sq-AL"/>
        </w:rPr>
      </w:pPr>
      <w:r w:rsidRPr="001C61AE">
        <w:rPr>
          <w:rFonts w:ascii="Arial" w:hAnsi="Arial" w:cs="Arial"/>
          <w:b/>
          <w:bCs/>
          <w:color w:val="0F4761"/>
          <w:lang w:val="sq-AL"/>
        </w:rPr>
        <w:t>IV</w:t>
      </w:r>
      <w:r w:rsidR="00662E42" w:rsidRPr="001C61AE">
        <w:rPr>
          <w:rFonts w:ascii="Arial" w:hAnsi="Arial" w:cs="Arial"/>
          <w:b/>
          <w:bCs/>
          <w:color w:val="0F4761"/>
          <w:lang w:val="sq-AL"/>
        </w:rPr>
        <w:t>.</w:t>
      </w:r>
      <w:r w:rsidR="000A6F64" w:rsidRPr="001C61AE">
        <w:rPr>
          <w:rFonts w:ascii="Arial" w:hAnsi="Arial" w:cs="Arial"/>
          <w:b/>
          <w:bCs/>
          <w:color w:val="0F4761"/>
          <w:lang w:val="sq-AL"/>
        </w:rPr>
        <w:t xml:space="preserve">41 </w:t>
      </w:r>
      <w:r w:rsidR="00B361F7" w:rsidRPr="001C61AE">
        <w:rPr>
          <w:rFonts w:ascii="Arial" w:hAnsi="Arial" w:cs="Arial"/>
          <w:b/>
          <w:bCs/>
          <w:color w:val="0F4761"/>
          <w:lang w:val="sq-AL"/>
        </w:rPr>
        <w:t>Trajnimi i personelit shëndetësor mbi protokollet për klimën dhe shëndetin</w:t>
      </w:r>
    </w:p>
    <w:p w14:paraId="56545A87" w14:textId="2CC4B987" w:rsidR="000E1EA3" w:rsidRPr="001C61AE" w:rsidRDefault="00B361F7" w:rsidP="00B361F7">
      <w:pPr>
        <w:spacing w:line="240" w:lineRule="auto"/>
        <w:jc w:val="both"/>
        <w:rPr>
          <w:rFonts w:ascii="Arial" w:hAnsi="Arial" w:cs="Arial"/>
          <w:lang w:val="sq-AL"/>
        </w:rPr>
      </w:pPr>
      <w:r w:rsidRPr="001C61AE">
        <w:rPr>
          <w:rFonts w:ascii="Arial" w:hAnsi="Arial" w:cs="Arial"/>
          <w:lang w:val="sq-AL"/>
        </w:rPr>
        <w:t>Për të forcuar kapacitetin adaptiv shëndetësor të Kosovës, qeveria do të ofrojë trajnime të synuara për profesionistët e kujdesit shëndetësor, përfshirë punonjësit e shëndetit të komunitetit, mbi rreziqet shëndetësore të ndjeshme ndaj klimës dhe përgatitjen për emergjenca. Modulet e trajnimit do të mbulojnë menaxhimin e sëmundjeve që lidhen me nxehtësinë, diagnostikimin e sëmundjeve të ndjeshme ndaj klimës (p.sh., të transmetuara nga vektorët, të transmetuara nga uji), shëndetin mendor gjatë dhe pas fatkeqësive, si dhe procedurat standarde gjatë emergjencave klimatike. Deri në vitin 2030, do të trajnohen të paktën 1,000 profesionistë të kujdesit shëndetësor. Treguesi për të monitoruar progresin do të jetë numri i punonjësve të shëndetësisë të trajnuar në protokollet e shëndetit klimatik dhe reagimin ndaj emergjencave</w:t>
      </w:r>
      <w:r w:rsidR="00E83EB3" w:rsidRPr="001C61AE">
        <w:rPr>
          <w:rFonts w:ascii="Arial" w:hAnsi="Arial" w:cs="Arial"/>
          <w:lang w:val="sq-AL"/>
        </w:rPr>
        <w:t xml:space="preserve">. </w:t>
      </w:r>
    </w:p>
    <w:p w14:paraId="15A8A03F" w14:textId="1F94C4D5" w:rsidR="001D4FA1" w:rsidRPr="001C61AE" w:rsidRDefault="0091468A" w:rsidP="00B14D82">
      <w:pPr>
        <w:pStyle w:val="Heading3"/>
        <w:jc w:val="both"/>
        <w:rPr>
          <w:rFonts w:ascii="Arial" w:hAnsi="Arial" w:cs="Arial"/>
          <w:lang w:val="sq-AL"/>
        </w:rPr>
      </w:pPr>
      <w:bookmarkStart w:id="92" w:name="_Toc211532713"/>
      <w:r w:rsidRPr="001C61AE">
        <w:rPr>
          <w:rFonts w:ascii="Arial" w:hAnsi="Arial" w:cs="Arial"/>
          <w:lang w:val="sq-AL"/>
        </w:rPr>
        <w:t xml:space="preserve">Përmirësimi </w:t>
      </w:r>
      <w:r w:rsidR="00B14D82" w:rsidRPr="001C61AE">
        <w:rPr>
          <w:rFonts w:ascii="Arial" w:hAnsi="Arial" w:cs="Arial"/>
          <w:lang w:val="sq-AL"/>
        </w:rPr>
        <w:t xml:space="preserve"> i mekanizmave të paralajmërimit të hershëm dhe reagimit emergjent të bazuar në komunitet</w:t>
      </w:r>
      <w:bookmarkEnd w:id="92"/>
    </w:p>
    <w:p w14:paraId="01185ED1" w14:textId="68BA8089" w:rsidR="001D4FA1" w:rsidRPr="001C61AE" w:rsidRDefault="00B14D82" w:rsidP="001D4FA1">
      <w:pPr>
        <w:jc w:val="both"/>
        <w:rPr>
          <w:rFonts w:ascii="Arial" w:hAnsi="Arial" w:cs="Arial"/>
          <w:lang w:val="sq-AL"/>
        </w:rPr>
      </w:pPr>
      <w:r w:rsidRPr="001C61AE">
        <w:rPr>
          <w:rFonts w:ascii="Arial" w:hAnsi="Arial" w:cs="Arial"/>
          <w:lang w:val="sq-AL"/>
        </w:rPr>
        <w:t xml:space="preserve">Forcimi i </w:t>
      </w:r>
      <w:r w:rsidRPr="001C61AE">
        <w:rPr>
          <w:rFonts w:ascii="Arial" w:hAnsi="Arial" w:cs="Arial"/>
          <w:b/>
          <w:bCs/>
          <w:lang w:val="sq-AL"/>
        </w:rPr>
        <w:t xml:space="preserve">sistemeve të paralajmërimit të hershëm dhe kapacitetit të reagimit lokal </w:t>
      </w:r>
      <w:r w:rsidRPr="001C61AE">
        <w:rPr>
          <w:rFonts w:ascii="Arial" w:hAnsi="Arial" w:cs="Arial"/>
          <w:lang w:val="sq-AL"/>
        </w:rPr>
        <w:t xml:space="preserve">është thelbësor për të mbrojtur komunitetet nga rreziqet që lidhen me klimën. Ky komponent i përshtatjes përqendrohet në lidhjen e teknologjisë me veprimin në nivel bazë, në përputhje me objektivat e </w:t>
      </w:r>
      <w:r w:rsidR="003D240B" w:rsidRPr="001C61AE">
        <w:rPr>
          <w:rFonts w:ascii="Arial" w:hAnsi="Arial" w:cs="Arial"/>
          <w:lang w:val="sq-AL"/>
        </w:rPr>
        <w:t>SSSH</w:t>
      </w:r>
      <w:r w:rsidRPr="001C61AE">
        <w:rPr>
          <w:rFonts w:ascii="Arial" w:hAnsi="Arial" w:cs="Arial"/>
          <w:lang w:val="sq-AL"/>
        </w:rPr>
        <w:t>-së mbi sistemet e informacionit shëndetësor dhe shtrirjen në terren</w:t>
      </w:r>
      <w:r w:rsidR="001D4FA1" w:rsidRPr="001C61AE">
        <w:rPr>
          <w:rFonts w:ascii="Arial" w:hAnsi="Arial" w:cs="Arial"/>
          <w:lang w:val="sq-AL"/>
        </w:rPr>
        <w:t>:</w:t>
      </w:r>
    </w:p>
    <w:p w14:paraId="4458DC99" w14:textId="68752328" w:rsidR="003D240B" w:rsidRPr="001C61AE" w:rsidRDefault="003D240B" w:rsidP="00F36447">
      <w:pPr>
        <w:numPr>
          <w:ilvl w:val="0"/>
          <w:numId w:val="40"/>
        </w:numPr>
        <w:jc w:val="both"/>
        <w:rPr>
          <w:rFonts w:ascii="Arial" w:hAnsi="Arial" w:cs="Arial"/>
          <w:b/>
          <w:bCs/>
          <w:lang w:val="sq-AL"/>
        </w:rPr>
      </w:pPr>
      <w:r w:rsidRPr="001C61AE">
        <w:rPr>
          <w:rFonts w:ascii="Arial" w:hAnsi="Arial" w:cs="Arial"/>
          <w:b/>
          <w:bCs/>
          <w:lang w:val="sq-AL"/>
        </w:rPr>
        <w:t xml:space="preserve">Sistemet e paralajmërimit të hershëm (EWS): </w:t>
      </w:r>
      <w:r w:rsidR="00AA0020" w:rsidRPr="001C61AE">
        <w:rPr>
          <w:rFonts w:ascii="Arial" w:hAnsi="Arial" w:cs="Arial"/>
          <w:lang w:val="sq-AL"/>
        </w:rPr>
        <w:t>D</w:t>
      </w:r>
      <w:r w:rsidRPr="001C61AE">
        <w:rPr>
          <w:rFonts w:ascii="Arial" w:hAnsi="Arial" w:cs="Arial"/>
          <w:lang w:val="sq-AL"/>
        </w:rPr>
        <w:t>o të krijo</w:t>
      </w:r>
      <w:r w:rsidR="00AA0020" w:rsidRPr="001C61AE">
        <w:rPr>
          <w:rFonts w:ascii="Arial" w:hAnsi="Arial" w:cs="Arial"/>
          <w:lang w:val="sq-AL"/>
        </w:rPr>
        <w:t>hen</w:t>
      </w:r>
      <w:r w:rsidRPr="001C61AE">
        <w:rPr>
          <w:rFonts w:ascii="Arial" w:hAnsi="Arial" w:cs="Arial"/>
          <w:lang w:val="sq-AL"/>
        </w:rPr>
        <w:t xml:space="preserve"> sisteme të lokalizuara të paralajmërimit të hershëm për rreziqe kyçe klimatike dhe shëndetësore – përfshirë valët e të nxehtit, të ftohtit ekstrem, përmbytjet dhe shpërthimet epidemike. Kjo përfshin zhvillimin e një Plani Kombëtar për Veprim në Rast të Të Nxehtit deri në vitin 2025 (si zgjerim i programit të vetëdijesimit për ekspozimin ndaj të nxehtit në kuadër të SSSH), me pragje të përcaktuara të temperaturës që nxisin alarme shëndetësore dhe veprime ndërinstitucionale. Instituti Hidrometeorologjik, IKShP dhe MSh do të bashkëpunojnë për të lëshuar njoftime të hershme për institucionet shëndetësore dhe publikun. Modernizimi i Sistemit të Informacionit Shëndetësor (HIS), sipas SSSH, do të shërbejë si platformë për këtë qëllim: të dhënat klimatike (si temperatura, cilësia e ajrit, reshjet) do të integrohen në HIS ose në panele të lidhura digjitale. Për shembull, të dhënat në kohë reale nga stacionet meteorologjike dhe sensorët e cilësisë së ujit mund të dërgohen në një sistem qendror që njofton automatikisht klinikat për rreziqe të mundshme (si alarme për indeksin e të nxehtit ose ndotje të ujit). Deri në vitin 2027, së paku 80% e komunave duhet të mbulohen nga sisteme funksionale të paralajmërimit të hershëm për klimën dhe shëndetin, me synim mbulimin e plotë </w:t>
      </w:r>
      <w:r w:rsidRPr="001C61AE">
        <w:rPr>
          <w:rFonts w:ascii="Arial" w:hAnsi="Arial" w:cs="Arial"/>
          <w:lang w:val="sq-AL"/>
        </w:rPr>
        <w:lastRenderedPageBreak/>
        <w:t>kombëtar deri më 2030. Kjo do të rrisë ndjeshëm kohën për përgatitje, duke zvogëluar sëmundshmërinë dhe vdekshmërinë.</w:t>
      </w:r>
    </w:p>
    <w:p w14:paraId="2013C050" w14:textId="70D29A75" w:rsidR="003D240B" w:rsidRPr="001C61AE" w:rsidRDefault="003D240B" w:rsidP="00F36447">
      <w:pPr>
        <w:numPr>
          <w:ilvl w:val="0"/>
          <w:numId w:val="40"/>
        </w:numPr>
        <w:jc w:val="both"/>
        <w:rPr>
          <w:rFonts w:ascii="Arial" w:hAnsi="Arial" w:cs="Arial"/>
          <w:b/>
          <w:bCs/>
          <w:lang w:val="sq-AL"/>
        </w:rPr>
      </w:pPr>
      <w:r w:rsidRPr="001C61AE">
        <w:rPr>
          <w:rFonts w:ascii="Arial" w:hAnsi="Arial" w:cs="Arial"/>
          <w:b/>
          <w:bCs/>
          <w:lang w:val="sq-AL"/>
        </w:rPr>
        <w:t xml:space="preserve">Angazhimi i komunitetit dhe komunikimi: </w:t>
      </w:r>
      <w:r w:rsidRPr="001C61AE">
        <w:rPr>
          <w:rFonts w:ascii="Arial" w:hAnsi="Arial" w:cs="Arial"/>
          <w:lang w:val="sq-AL"/>
        </w:rPr>
        <w:t xml:space="preserve">Në nivel komunitar, informacioni i paralajmërimeve duhet të komunikohet në mënyrë efektive dhe të shoqërohet me veprime. </w:t>
      </w:r>
      <w:r w:rsidR="00BE39C7" w:rsidRPr="001C61AE">
        <w:rPr>
          <w:rFonts w:ascii="Arial" w:hAnsi="Arial" w:cs="Arial"/>
          <w:lang w:val="sq-AL"/>
        </w:rPr>
        <w:t>Strategjia</w:t>
      </w:r>
      <w:r w:rsidRPr="001C61AE">
        <w:rPr>
          <w:rFonts w:ascii="Arial" w:hAnsi="Arial" w:cs="Arial"/>
          <w:lang w:val="sq-AL"/>
        </w:rPr>
        <w:t xml:space="preserve"> e përshtatjes do të përdorë një kombinim të kanaleve tradicionale dhe digjitale për t’i informuar qytetarët. Mesazhet përmes telefonisë mobile, transmetimet radiofonike lokale dhe rrjetet sociale do të shpërndajnë paralajmërime dhe udhëzime mbrojtëse në formate të kuptueshme dhe gjuhë të përshtatshme. Punonjësit shëndetësorë të komunitetit dhe ekipet e mjekësisë familjare (me rol të zgjeruar sipas SSSH) do të shërbejnë si lidhje në terren – duke edukuar familjet për veprimet që duhet të ndërmarrin në rast të alarmit për të nxehtë ose përmbytje, duke kujdesur për individët me rrezik të lartë (të moshuar, persona me aftësi të kufizuara, etj.), dhe duke siguruar referim të hershëm në shërbime shëndetësore nëse është e nevojshme. Ushtrime të rregullta të </w:t>
      </w:r>
      <w:r w:rsidR="00CB73A0" w:rsidRPr="001C61AE">
        <w:rPr>
          <w:rFonts w:ascii="Arial" w:hAnsi="Arial" w:cs="Arial"/>
          <w:lang w:val="sq-AL"/>
        </w:rPr>
        <w:t xml:space="preserve">gatishmërisë </w:t>
      </w:r>
      <w:r w:rsidRPr="001C61AE">
        <w:rPr>
          <w:rFonts w:ascii="Arial" w:hAnsi="Arial" w:cs="Arial"/>
          <w:lang w:val="sq-AL"/>
        </w:rPr>
        <w:t>dhe punëtori do të organizohen në bashkëpunim me autoritetet komunale, për të ndërtuar një kulturë të gatishmërisë. Këto përpjekje janë në përputhje me objektivat më të gjera të SSSH për forcimin e promovimit të shëndetit dhe kujdesit parandalues në nivel komuniteti.</w:t>
      </w:r>
    </w:p>
    <w:p w14:paraId="30C571AA" w14:textId="7296796E" w:rsidR="003D240B" w:rsidRPr="001C61AE" w:rsidRDefault="003D240B" w:rsidP="00F36447">
      <w:pPr>
        <w:numPr>
          <w:ilvl w:val="0"/>
          <w:numId w:val="40"/>
        </w:numPr>
        <w:jc w:val="both"/>
        <w:rPr>
          <w:rFonts w:ascii="Arial" w:hAnsi="Arial" w:cs="Arial"/>
          <w:b/>
          <w:bCs/>
          <w:color w:val="FF0000"/>
          <w:lang w:val="sq-AL"/>
        </w:rPr>
      </w:pPr>
      <w:r w:rsidRPr="001C61AE">
        <w:rPr>
          <w:rFonts w:ascii="Arial" w:hAnsi="Arial" w:cs="Arial"/>
          <w:b/>
          <w:bCs/>
          <w:lang w:val="sq-AL"/>
        </w:rPr>
        <w:t xml:space="preserve">Integrimi i reagimit emergjent: </w:t>
      </w:r>
      <w:r w:rsidRPr="001C61AE">
        <w:rPr>
          <w:rFonts w:ascii="Arial" w:hAnsi="Arial" w:cs="Arial"/>
          <w:lang w:val="sq-AL"/>
        </w:rPr>
        <w:t>Kur ndodhin fatkeqësi klimatike,</w:t>
      </w:r>
      <w:r w:rsidR="00711BAF" w:rsidRPr="001C61AE">
        <w:rPr>
          <w:rFonts w:ascii="Arial" w:hAnsi="Arial" w:cs="Arial"/>
          <w:lang w:val="sq-AL"/>
        </w:rPr>
        <w:t>reagimi i</w:t>
      </w:r>
      <w:r w:rsidRPr="001C61AE">
        <w:rPr>
          <w:rFonts w:ascii="Arial" w:hAnsi="Arial" w:cs="Arial"/>
          <w:lang w:val="sq-AL"/>
        </w:rPr>
        <w:t xml:space="preserve"> shpejtë dhe e koordinuar shpëton jetë. </w:t>
      </w:r>
      <w:r w:rsidR="00DF1F32" w:rsidRPr="001C61AE">
        <w:rPr>
          <w:rFonts w:ascii="Arial" w:hAnsi="Arial" w:cs="Arial"/>
          <w:lang w:val="sq-AL"/>
        </w:rPr>
        <w:t>D</w:t>
      </w:r>
      <w:r w:rsidRPr="001C61AE">
        <w:rPr>
          <w:rFonts w:ascii="Arial" w:hAnsi="Arial" w:cs="Arial"/>
          <w:lang w:val="sq-AL"/>
        </w:rPr>
        <w:t>o të forco</w:t>
      </w:r>
      <w:r w:rsidR="00DF1F32" w:rsidRPr="001C61AE">
        <w:rPr>
          <w:rFonts w:ascii="Arial" w:hAnsi="Arial" w:cs="Arial"/>
          <w:lang w:val="sq-AL"/>
        </w:rPr>
        <w:t>hen</w:t>
      </w:r>
      <w:r w:rsidRPr="001C61AE">
        <w:rPr>
          <w:rFonts w:ascii="Arial" w:hAnsi="Arial" w:cs="Arial"/>
          <w:lang w:val="sq-AL"/>
        </w:rPr>
        <w:t xml:space="preserve"> kuadrot e integruara për reagim emergjent që lidhin shërbimet shëndetësore me ato sociale, </w:t>
      </w:r>
      <w:r w:rsidR="00E36B20" w:rsidRPr="001C61AE">
        <w:rPr>
          <w:rFonts w:ascii="Arial" w:hAnsi="Arial" w:cs="Arial"/>
        </w:rPr>
        <w:t>strukturat per mbrojtje, s</w:t>
      </w:r>
      <w:r w:rsidR="004A2D2E" w:rsidRPr="001C61AE">
        <w:rPr>
          <w:rFonts w:ascii="Arial" w:hAnsi="Arial" w:cs="Arial"/>
        </w:rPr>
        <w:t>h</w:t>
      </w:r>
      <w:r w:rsidR="00E36B20" w:rsidRPr="001C61AE">
        <w:rPr>
          <w:rFonts w:ascii="Arial" w:hAnsi="Arial" w:cs="Arial"/>
        </w:rPr>
        <w:t>petim dhe ndihme</w:t>
      </w:r>
      <w:r w:rsidR="00E36B20" w:rsidRPr="001C61AE" w:rsidDel="00E36B20">
        <w:rPr>
          <w:rFonts w:ascii="Arial" w:hAnsi="Arial" w:cs="Arial"/>
          <w:lang w:val="sq-AL"/>
        </w:rPr>
        <w:t xml:space="preserve"> </w:t>
      </w:r>
      <w:r w:rsidRPr="001C61AE">
        <w:rPr>
          <w:rFonts w:ascii="Arial" w:hAnsi="Arial" w:cs="Arial"/>
          <w:lang w:val="sq-AL"/>
        </w:rPr>
        <w:t xml:space="preserve">dhe qeverisjen lokale. Kjo do të thotë që për një ngjarje si përmbytja: qendrat e kujdesit parësor, spitalet, shërbimet e ambulancës dhe njësitë e shëndetit publik do të veprojnë nën një komandë të unifikuar </w:t>
      </w:r>
      <w:r w:rsidR="004A2D2E" w:rsidRPr="001C61AE">
        <w:rPr>
          <w:rFonts w:ascii="Arial" w:hAnsi="Arial" w:cs="Arial"/>
          <w:lang w:val="sq-AL"/>
        </w:rPr>
        <w:t>(sipas Sistemit të Integruar të menaxhimit të Emergjencave – SIME 2010)</w:t>
      </w:r>
      <w:r w:rsidR="00C351C2" w:rsidRPr="001C61AE">
        <w:rPr>
          <w:rFonts w:ascii="Arial" w:hAnsi="Arial" w:cs="Arial"/>
          <w:color w:val="FF0000"/>
          <w:lang w:val="sq-AL"/>
        </w:rPr>
        <w:t xml:space="preserve"> </w:t>
      </w:r>
      <w:r w:rsidRPr="001C61AE">
        <w:rPr>
          <w:rFonts w:ascii="Arial" w:hAnsi="Arial" w:cs="Arial"/>
          <w:lang w:val="sq-AL"/>
        </w:rPr>
        <w:t>me ekipet emergjente komunale dhe departamentet e mirëqenies sociale. Do të përcaktohen qartë rolet dhe protokollet (kush evakuon pacientët e palëvizshëm, ku vendosen klinikat e përkohshme nëse përmbytet ndonjë objekt, si shpërndahen furnizimet mjekësore në strehimore, etj.). Investimet e SSSH në infrastrukturë digjitale (si telemjekësia dhe regjistrat elektronikë shëndetësorë) mund të mbështesin situatat krizë duke mundësuar konsultime në distancë dhe ruajtjen e qasjes në të dhënat shëndetësore në rast zhvendosjeje të pacientëve. Gjithashtu, marrëveshjet e ndihmës rajonale (përmes partneriteteve “</w:t>
      </w:r>
      <w:r w:rsidR="004A2D2E" w:rsidRPr="001C61AE">
        <w:rPr>
          <w:rFonts w:ascii="Arial" w:hAnsi="Arial" w:cs="Arial"/>
          <w:lang w:val="sq-AL"/>
        </w:rPr>
        <w:t>Një Shëndet</w:t>
      </w:r>
      <w:r w:rsidRPr="001C61AE">
        <w:rPr>
          <w:rFonts w:ascii="Arial" w:hAnsi="Arial" w:cs="Arial"/>
          <w:lang w:val="sq-AL"/>
        </w:rPr>
        <w:t>”) mund të ofrojnë mbështetje shtesë – për shembull, shkëmbimin e të dhënave të paralajmërimit të hershëm ose ekipe të kontrollit të vektorëve gjatë shpërthimeve ndërkufitare. Deri në vitin 2030, çdo komunë duhet të ketë një plan funksional për reagim emergjent ndaj rreziqeve klimatike, i cili testohet dhe përditësohet rregullisht.</w:t>
      </w:r>
      <w:r w:rsidR="00C351C2" w:rsidRPr="001C61AE">
        <w:rPr>
          <w:rFonts w:ascii="Arial" w:hAnsi="Arial" w:cs="Arial"/>
          <w:lang w:val="sq-AL"/>
        </w:rPr>
        <w:t xml:space="preserve"> </w:t>
      </w:r>
      <w:r w:rsidR="008D42DC" w:rsidRPr="001C61AE">
        <w:rPr>
          <w:rFonts w:ascii="Arial" w:hAnsi="Arial" w:cs="Arial"/>
          <w:lang w:val="sq-AL"/>
        </w:rPr>
        <w:t>Këto rreziqe klimatike mund të integrohen në Planet ekzistuese të Operative Emergjente Lokale, pa pasur nevojë për plane të veçanta shtesë.</w:t>
      </w:r>
    </w:p>
    <w:p w14:paraId="6047BF23" w14:textId="11BD5E36" w:rsidR="001D4FA1" w:rsidRPr="001C61AE" w:rsidRDefault="003D240B" w:rsidP="001D4FA1">
      <w:pPr>
        <w:jc w:val="both"/>
        <w:rPr>
          <w:rFonts w:ascii="Arial" w:hAnsi="Arial" w:cs="Arial"/>
          <w:lang w:val="sq-AL"/>
        </w:rPr>
      </w:pPr>
      <w:r w:rsidRPr="001C61AE">
        <w:rPr>
          <w:rFonts w:ascii="Arial" w:hAnsi="Arial" w:cs="Arial"/>
          <w:lang w:val="sq-AL"/>
        </w:rPr>
        <w:t xml:space="preserve">Në përgjithësi, ky komponent siguron që paralajmërimet të përkthehen në veprime të hershme në terren. Ai përfiton nga transformimi digjital i sektorit të shëndetësisë në Kosovë dhe nga prania e fuqishme e kujdesit parësor për të mbrojtur komunitetet. Në këtë mënyrë, mbështet objektivat e SSSH duke zvogëluar ndikimin e fatkeqësive në rezultatet shëndetësore dhe duke ruajtur vazhdimësinë e kujdesit. Një sistem funksional paralajmërimi dhe reagimi në nivel komunal do të minimizojë sëmundshmërinë dhe vdekshmërinë e </w:t>
      </w:r>
      <w:r w:rsidR="0078382A" w:rsidRPr="001C61AE">
        <w:rPr>
          <w:rFonts w:ascii="Arial" w:hAnsi="Arial" w:cs="Arial"/>
          <w:lang w:val="sq-AL"/>
        </w:rPr>
        <w:t>pashmangshme</w:t>
      </w:r>
      <w:r w:rsidRPr="001C61AE">
        <w:rPr>
          <w:rFonts w:ascii="Arial" w:hAnsi="Arial" w:cs="Arial"/>
          <w:lang w:val="sq-AL"/>
        </w:rPr>
        <w:t xml:space="preserve"> gjatë ngjarjeve klimatike, duke forcuar agjendën më të gjerë të përshtatjes në sektorin e shëndetësisë në Kosovë</w:t>
      </w:r>
      <w:r w:rsidR="00F25436" w:rsidRPr="001C61AE">
        <w:rPr>
          <w:rFonts w:ascii="Arial" w:hAnsi="Arial" w:cs="Arial"/>
          <w:lang w:val="sq-AL"/>
        </w:rPr>
        <w:t>.</w:t>
      </w:r>
    </w:p>
    <w:p w14:paraId="3B7C9B19" w14:textId="1AE97BD8" w:rsidR="001D4FA1" w:rsidRPr="001C61AE" w:rsidRDefault="006267BD" w:rsidP="001D4FA1">
      <w:pPr>
        <w:spacing w:line="240" w:lineRule="auto"/>
        <w:rPr>
          <w:rFonts w:ascii="Arial" w:hAnsi="Arial" w:cs="Arial"/>
          <w:b/>
          <w:bCs/>
          <w:color w:val="0F4761"/>
          <w:lang w:val="sq-AL"/>
        </w:rPr>
      </w:pPr>
      <w:r w:rsidRPr="001C61AE">
        <w:rPr>
          <w:rFonts w:ascii="Arial" w:hAnsi="Arial" w:cs="Arial"/>
          <w:b/>
          <w:bCs/>
          <w:color w:val="0F4761"/>
          <w:lang w:val="sq-AL"/>
        </w:rPr>
        <w:t>Objektivi specifikë</w:t>
      </w:r>
    </w:p>
    <w:p w14:paraId="3656F1D0" w14:textId="64E38241" w:rsidR="001D4FA1" w:rsidRPr="001C61AE" w:rsidRDefault="00862AC4" w:rsidP="00662E42">
      <w:pPr>
        <w:spacing w:line="240" w:lineRule="auto"/>
        <w:ind w:firstLine="708"/>
        <w:rPr>
          <w:rFonts w:ascii="Arial" w:hAnsi="Arial" w:cs="Arial"/>
          <w:b/>
          <w:bCs/>
          <w:color w:val="0F4761"/>
          <w:lang w:val="sq-AL"/>
        </w:rPr>
      </w:pPr>
      <w:r w:rsidRPr="001C61AE">
        <w:rPr>
          <w:rFonts w:ascii="Arial" w:hAnsi="Arial" w:cs="Arial"/>
          <w:b/>
          <w:bCs/>
          <w:color w:val="0F4761"/>
          <w:lang w:val="sq-AL"/>
        </w:rPr>
        <w:t>IV</w:t>
      </w:r>
      <w:r w:rsidR="00662E42" w:rsidRPr="001C61AE">
        <w:rPr>
          <w:rFonts w:ascii="Arial" w:hAnsi="Arial" w:cs="Arial"/>
          <w:b/>
          <w:bCs/>
          <w:color w:val="0F4761"/>
          <w:lang w:val="sq-AL"/>
        </w:rPr>
        <w:t>.</w:t>
      </w:r>
      <w:r w:rsidR="000A6F64" w:rsidRPr="001C61AE">
        <w:rPr>
          <w:rFonts w:ascii="Arial" w:hAnsi="Arial" w:cs="Arial"/>
          <w:b/>
          <w:bCs/>
          <w:color w:val="0F4761"/>
          <w:lang w:val="sq-AL"/>
        </w:rPr>
        <w:t xml:space="preserve">41 </w:t>
      </w:r>
      <w:r w:rsidR="008D42DC" w:rsidRPr="001C61AE">
        <w:rPr>
          <w:rFonts w:ascii="Arial" w:hAnsi="Arial" w:cs="Arial"/>
          <w:b/>
          <w:bCs/>
          <w:color w:val="0F4761"/>
          <w:lang w:val="sq-AL"/>
        </w:rPr>
        <w:t xml:space="preserve">Vendosja e sistemeve të paralajmërimit të hershëm në nivel lokal- </w:t>
      </w:r>
      <w:r w:rsidR="00330FA8" w:rsidRPr="001C61AE">
        <w:rPr>
          <w:rFonts w:ascii="Arial" w:hAnsi="Arial" w:cs="Arial"/>
          <w:b/>
          <w:bCs/>
          <w:color w:val="0F4761"/>
          <w:lang w:val="sq-AL"/>
        </w:rPr>
        <w:t>k</w:t>
      </w:r>
      <w:r w:rsidR="008D42DC" w:rsidRPr="001C61AE">
        <w:rPr>
          <w:rFonts w:ascii="Arial" w:hAnsi="Arial" w:cs="Arial"/>
          <w:b/>
          <w:bCs/>
          <w:color w:val="0F4761"/>
          <w:lang w:val="sq-AL"/>
        </w:rPr>
        <w:t>omunal</w:t>
      </w:r>
      <w:r w:rsidR="00330FA8" w:rsidRPr="001C61AE">
        <w:rPr>
          <w:rFonts w:ascii="Arial" w:hAnsi="Arial" w:cs="Arial"/>
          <w:b/>
          <w:bCs/>
          <w:color w:val="0F4761"/>
          <w:lang w:val="sq-AL"/>
        </w:rPr>
        <w:t xml:space="preserve"> </w:t>
      </w:r>
    </w:p>
    <w:p w14:paraId="62EB313B" w14:textId="78696009" w:rsidR="000E1EA3" w:rsidRPr="001C61AE" w:rsidRDefault="003D240B" w:rsidP="008E17FD">
      <w:pPr>
        <w:jc w:val="both"/>
        <w:rPr>
          <w:rFonts w:ascii="Arial" w:hAnsi="Arial" w:cs="Arial"/>
          <w:lang w:val="sq-AL"/>
        </w:rPr>
      </w:pPr>
      <w:r w:rsidRPr="001C61AE">
        <w:rPr>
          <w:rFonts w:ascii="Arial" w:hAnsi="Arial" w:cs="Arial"/>
          <w:lang w:val="sq-AL"/>
        </w:rPr>
        <w:t xml:space="preserve">Për të rritur përgatitjen në nivel komuniteti dhe për të zvogëluar rreziqet shëndetësore që lidhen me klimën, do të </w:t>
      </w:r>
      <w:r w:rsidR="00DF1F32" w:rsidRPr="001C61AE">
        <w:rPr>
          <w:rFonts w:ascii="Arial" w:hAnsi="Arial" w:cs="Arial"/>
          <w:lang w:val="sq-AL"/>
        </w:rPr>
        <w:t xml:space="preserve">krijohen </w:t>
      </w:r>
      <w:r w:rsidRPr="001C61AE">
        <w:rPr>
          <w:rFonts w:ascii="Arial" w:hAnsi="Arial" w:cs="Arial"/>
          <w:lang w:val="sq-AL"/>
        </w:rPr>
        <w:t>sisteme operative të paralajmërimit të hershëm për klimën dhe shëndetin në të gjitha komunat deri në vitin 2030. Këto sisteme do të mundësojnë monitorimin dhe shpërndarjen në kohë reale të alarmeve për valët e të nxehtit, përmbytjet, motin e ftohtë dhe shpërthimet e sëmundjeve, duke siguruar përgjigje në kohë</w:t>
      </w:r>
      <w:r w:rsidR="00330FA8" w:rsidRPr="001C61AE">
        <w:rPr>
          <w:rFonts w:ascii="Arial" w:hAnsi="Arial" w:cs="Arial"/>
          <w:lang w:val="sq-AL"/>
        </w:rPr>
        <w:t xml:space="preserve"> reale</w:t>
      </w:r>
      <w:r w:rsidRPr="001C61AE">
        <w:rPr>
          <w:rFonts w:ascii="Arial" w:hAnsi="Arial" w:cs="Arial"/>
          <w:lang w:val="sq-AL"/>
        </w:rPr>
        <w:t xml:space="preserve"> të shëndetit publik. Të integruara me Sistemin Kombëtar të Informacionit </w:t>
      </w:r>
      <w:r w:rsidRPr="001C61AE">
        <w:rPr>
          <w:rFonts w:ascii="Arial" w:hAnsi="Arial" w:cs="Arial"/>
          <w:lang w:val="sq-AL"/>
        </w:rPr>
        <w:lastRenderedPageBreak/>
        <w:t xml:space="preserve">Shëndetësor (SISH), sistemet e paralajmërimit të hershëm do t'u ofrojnë të dhëna të zbatueshme për rrezikun klimatik klinikave lokale, autoriteteve komunale dhe publikut. Mbulimi do të matet si përqindja e komunave me mekanizma funksionalë të paralajmërimit dhe reagimit të hershëm, duke përfshirë protokollet e alarmit, kanalet e komunikimit dhe personelin e trajnuar në vijën e parë. Ky objektiv mbështet qëllimet më të gjera të qëndrueshmërisë së Strategjisë së Sektorit të Shëndetësisë duke minimizuar morbiditetin dhe vdekshmërinë e </w:t>
      </w:r>
      <w:r w:rsidR="00330FA8" w:rsidRPr="001C61AE">
        <w:rPr>
          <w:rFonts w:ascii="Arial" w:hAnsi="Arial" w:cs="Arial"/>
          <w:lang w:val="sq-AL"/>
        </w:rPr>
        <w:t>pa</w:t>
      </w:r>
      <w:r w:rsidRPr="001C61AE">
        <w:rPr>
          <w:rFonts w:ascii="Arial" w:hAnsi="Arial" w:cs="Arial"/>
          <w:lang w:val="sq-AL"/>
        </w:rPr>
        <w:t>shmangshme gjatë ngjarjeve që lidhen me klimën përmes veprimeve paraprake</w:t>
      </w:r>
      <w:r w:rsidR="00BC432A" w:rsidRPr="001C61AE">
        <w:rPr>
          <w:rFonts w:ascii="Arial" w:hAnsi="Arial" w:cs="Arial"/>
          <w:lang w:val="sq-AL"/>
        </w:rPr>
        <w:t>.</w:t>
      </w:r>
    </w:p>
    <w:p w14:paraId="35ED7DFA" w14:textId="7D96204B" w:rsidR="001D4FA1" w:rsidRPr="001C61AE" w:rsidRDefault="003D240B" w:rsidP="00233010">
      <w:pPr>
        <w:pStyle w:val="Heading3"/>
        <w:rPr>
          <w:rFonts w:ascii="Arial" w:hAnsi="Arial" w:cs="Arial"/>
          <w:lang w:val="sq-AL"/>
        </w:rPr>
      </w:pPr>
      <w:bookmarkStart w:id="93" w:name="_Toc211532714"/>
      <w:r w:rsidRPr="001C61AE">
        <w:rPr>
          <w:rFonts w:ascii="Arial" w:hAnsi="Arial" w:cs="Arial"/>
          <w:lang w:val="sq-AL"/>
        </w:rPr>
        <w:t xml:space="preserve">Promovimi i masave të mbrojtjes sociale për popullatat e </w:t>
      </w:r>
      <w:r w:rsidR="0091468A" w:rsidRPr="001C61AE">
        <w:rPr>
          <w:rFonts w:ascii="Arial" w:hAnsi="Arial" w:cs="Arial"/>
          <w:lang w:val="sq-AL"/>
        </w:rPr>
        <w:t xml:space="preserve">ndjeshme </w:t>
      </w:r>
      <w:r w:rsidRPr="001C61AE">
        <w:rPr>
          <w:rFonts w:ascii="Arial" w:hAnsi="Arial" w:cs="Arial"/>
          <w:lang w:val="sq-AL"/>
        </w:rPr>
        <w:t xml:space="preserve"> të prekura nga rreziqet klimatike</w:t>
      </w:r>
      <w:bookmarkEnd w:id="93"/>
    </w:p>
    <w:p w14:paraId="7306A713" w14:textId="6649C4F2" w:rsidR="001D4FA1" w:rsidRPr="001C61AE" w:rsidRDefault="003D240B" w:rsidP="001D4FA1">
      <w:pPr>
        <w:jc w:val="both"/>
        <w:rPr>
          <w:rFonts w:ascii="Arial" w:hAnsi="Arial" w:cs="Arial"/>
          <w:lang w:val="sq-AL"/>
        </w:rPr>
      </w:pPr>
      <w:r w:rsidRPr="001C61AE">
        <w:rPr>
          <w:rFonts w:ascii="Arial" w:hAnsi="Arial" w:cs="Arial"/>
          <w:lang w:val="sq-AL"/>
        </w:rPr>
        <w:t xml:space="preserve">Ndikimet e ndryshimeve klimatike nuk do t'i prekin të gjithë njerëzit në mënyrë të barabartë, ata që janë tashmë vulnerabël në shoqëri përballen me rreziqet më të mëdha. Prandaj, një shtyllë kritike e strategjisë së përshtatjes është forcimi i mbrojtjes sociale dhe mbështetja e synuar për grupet me rrezik të lartë, në përputhje me angazhimin e </w:t>
      </w:r>
      <w:r w:rsidR="00330FA8" w:rsidRPr="001C61AE">
        <w:rPr>
          <w:rFonts w:ascii="Arial" w:hAnsi="Arial" w:cs="Arial"/>
          <w:lang w:val="sq-AL"/>
        </w:rPr>
        <w:t xml:space="preserve">MSH </w:t>
      </w:r>
      <w:r w:rsidRPr="001C61AE">
        <w:rPr>
          <w:rFonts w:ascii="Arial" w:hAnsi="Arial" w:cs="Arial"/>
          <w:lang w:val="sq-AL"/>
        </w:rPr>
        <w:t>për barazi dhe përfshirje. Iniciativat kryesore përfshijnë</w:t>
      </w:r>
      <w:r w:rsidR="001D4FA1" w:rsidRPr="001C61AE">
        <w:rPr>
          <w:rFonts w:ascii="Arial" w:hAnsi="Arial" w:cs="Arial"/>
          <w:lang w:val="sq-AL"/>
        </w:rPr>
        <w:t>:</w:t>
      </w:r>
    </w:p>
    <w:p w14:paraId="4F7716FB" w14:textId="1A7BC853" w:rsidR="00F12BB8" w:rsidRPr="001C61AE" w:rsidRDefault="00F12BB8" w:rsidP="00F36447">
      <w:pPr>
        <w:numPr>
          <w:ilvl w:val="0"/>
          <w:numId w:val="41"/>
        </w:numPr>
        <w:jc w:val="both"/>
        <w:rPr>
          <w:rFonts w:ascii="Arial" w:hAnsi="Arial" w:cs="Arial"/>
          <w:b/>
          <w:bCs/>
          <w:lang w:val="sq-AL"/>
        </w:rPr>
      </w:pPr>
      <w:r w:rsidRPr="001C61AE">
        <w:rPr>
          <w:rFonts w:ascii="Arial" w:hAnsi="Arial" w:cs="Arial"/>
          <w:b/>
          <w:bCs/>
          <w:lang w:val="sq-AL"/>
        </w:rPr>
        <w:t xml:space="preserve">Identifikimi dhe mbështetja e grupeve të cenueshme: </w:t>
      </w:r>
      <w:r w:rsidRPr="001C61AE">
        <w:rPr>
          <w:rFonts w:ascii="Arial" w:hAnsi="Arial" w:cs="Arial"/>
          <w:lang w:val="sq-AL"/>
        </w:rPr>
        <w:t xml:space="preserve">Sektori shëndetësor dhe ai social do të bashkëpunojnë për të hartuar dhe përditësuar vazhdimisht listat e individëve dhe komuniteteve më të cenueshme ndaj goditjeve klimatike që ndikojnë në shëndet. Këto përfshijnë të moshuarit, personat me aftësi të kufizuara, pacientët me sëmundje kronike, gratë shtatzëna dhe fëmijët e vegjël, familjet me kushte të vështira ekonomike dhe komunitetet e izoluara gjeografikisht. </w:t>
      </w:r>
      <w:r w:rsidR="00330FA8" w:rsidRPr="001C61AE">
        <w:rPr>
          <w:rFonts w:ascii="Arial" w:hAnsi="Arial" w:cs="Arial"/>
          <w:lang w:val="sq-AL"/>
        </w:rPr>
        <w:t xml:space="preserve">MSH </w:t>
      </w:r>
      <w:r w:rsidRPr="001C61AE">
        <w:rPr>
          <w:rFonts w:ascii="Arial" w:hAnsi="Arial" w:cs="Arial"/>
          <w:lang w:val="sq-AL"/>
        </w:rPr>
        <w:t>tashmë thekson përfshirjen e personave me aftësi të kufizuara (përmes Planit të Veprimit 2025–2027 për të Drejtat e Personave me Aftësi të Kufizuara) dhe përmirësimin e shërbimeve të shëndetit për nënat dhe fëmijët – këto programe do të shfrytëzohen për të siguruar që cenueshmëria klimatike të vlerësohet dhe të përfshihet në planet e kujdesit. Për shembull, punonjësit socialë të komunitetit mund të koordinohen me mjekët e mjekësisë familjare për të siguruar që një person me aftësi të kufizuara që jeton i vetëm të ketë një plan përballimi për valët e të nxehtit (si një kujdestar i caktuar ose transport për në qendrën e ftohjes).</w:t>
      </w:r>
    </w:p>
    <w:p w14:paraId="26B96A03" w14:textId="182AA4CE" w:rsidR="00F12BB8" w:rsidRPr="001C61AE" w:rsidRDefault="00F12BB8" w:rsidP="00F36447">
      <w:pPr>
        <w:numPr>
          <w:ilvl w:val="0"/>
          <w:numId w:val="41"/>
        </w:numPr>
        <w:jc w:val="both"/>
        <w:rPr>
          <w:rFonts w:ascii="Arial" w:hAnsi="Arial" w:cs="Arial"/>
          <w:b/>
          <w:bCs/>
          <w:lang w:val="sq-AL"/>
        </w:rPr>
      </w:pPr>
      <w:r w:rsidRPr="001C61AE">
        <w:rPr>
          <w:rFonts w:ascii="Arial" w:hAnsi="Arial" w:cs="Arial"/>
          <w:b/>
          <w:bCs/>
          <w:lang w:val="sq-AL"/>
        </w:rPr>
        <w:t xml:space="preserve">Zgjerimi i shërbimeve në terren dhe atyre mobile: </w:t>
      </w:r>
      <w:r w:rsidRPr="001C61AE">
        <w:rPr>
          <w:rFonts w:ascii="Arial" w:hAnsi="Arial" w:cs="Arial"/>
          <w:lang w:val="sq-AL"/>
        </w:rPr>
        <w:t xml:space="preserve">Për të arritur ata që nuk mund të kenë qasje të lehtë në objektet fikse gjatë ekstremeve klimatike, njësitë mobile shëndetësore dhe shërbimet në terren do të zgjerohen. Duke u bazuar në iniciativën e </w:t>
      </w:r>
      <w:r w:rsidR="00330FA8" w:rsidRPr="001C61AE">
        <w:rPr>
          <w:rFonts w:ascii="Arial" w:hAnsi="Arial" w:cs="Arial"/>
          <w:lang w:val="sq-AL"/>
        </w:rPr>
        <w:t>MSH</w:t>
      </w:r>
      <w:r w:rsidRPr="001C61AE">
        <w:rPr>
          <w:rFonts w:ascii="Arial" w:hAnsi="Arial" w:cs="Arial"/>
          <w:lang w:val="sq-AL"/>
        </w:rPr>
        <w:t xml:space="preserve"> që ka siguruar automjete për vizita në shtëpi dhe kujdes paliativ, plani i përshtatjes do të përdorë klinika mobile veçanërisht gjatë emergjencave. Këto njësi mund të ofrojnë ilaçe, trajtime bazë dhe shërbime parandaluese (vaksinime, kontrolle shëndetësore) për zonat e largëta ose të izoluara. Gjatë valëve të të nxehtit, ekipet në terren do të kujdesen për të moshuarit që jetojnë vetëm; gjatë përmbytjeve ose reshjeve të dendura të borës, ato mund të ofrojnë kujdes për komunitetet e bllokuara. Deri në vitin 2030, synohet që çdo komunë të ketë të integruar shërbime të tilla për raste klimatike – për shembull, çdo qendër e kujdesit parësor të ketë një ekip të caktuar për vizita në shtëpi gjatë ngjarjeve ekstreme.</w:t>
      </w:r>
    </w:p>
    <w:p w14:paraId="3224ABDD" w14:textId="457EB3A3" w:rsidR="00F12BB8" w:rsidRPr="001C61AE" w:rsidRDefault="00F12BB8" w:rsidP="00F36447">
      <w:pPr>
        <w:numPr>
          <w:ilvl w:val="0"/>
          <w:numId w:val="41"/>
        </w:numPr>
        <w:jc w:val="both"/>
        <w:rPr>
          <w:rFonts w:ascii="Arial" w:hAnsi="Arial" w:cs="Arial"/>
          <w:b/>
          <w:bCs/>
          <w:lang w:val="sq-AL"/>
        </w:rPr>
      </w:pPr>
      <w:r w:rsidRPr="001C61AE">
        <w:rPr>
          <w:rFonts w:ascii="Arial" w:hAnsi="Arial" w:cs="Arial"/>
          <w:b/>
          <w:bCs/>
          <w:lang w:val="sq-AL"/>
        </w:rPr>
        <w:t xml:space="preserve">Strehimore dhe hapësira komunitare të përshtatura për klimën: </w:t>
      </w:r>
      <w:r w:rsidRPr="001C61AE">
        <w:rPr>
          <w:rFonts w:ascii="Arial" w:hAnsi="Arial" w:cs="Arial"/>
          <w:lang w:val="sq-AL"/>
        </w:rPr>
        <w:t xml:space="preserve">Në zonat urbane, do të krijohen qendra të përkohshme ftohjeje për emergjenca gjatë të nxehtit, që ofrojnë hapësira të freskëta dhe të sigurta ku personat vulnerabël mund të strehohen. Këto mund të vendosen në ndërtesa publike (shkolla, salla komunitare) në bashkëpunim me autoritetet lokale. Po ashtu, do të caktohen strehimore të ngrohta për periudha të ftohta ekstreme. Çdo qendër do të jetë e pajisur me ndihmë të parë, ujë të pijshëm dhe përkrahje mjekësore bazë (me staf ose vullnetarë të trajnuar për të monitoruar rastet e goditjes nga të nxehtit, dehidratimit, hipotermisë, etj.). Do të ndërmerren fushata ndërgjegjësuese për t’i informuar qytetarët për lokacionin dhe shërbimet e këtyre qendrave. Koncepti i </w:t>
      </w:r>
      <w:r w:rsidR="000D6B4A" w:rsidRPr="001C61AE">
        <w:rPr>
          <w:rFonts w:ascii="Arial" w:hAnsi="Arial" w:cs="Arial"/>
          <w:lang w:val="sq-AL"/>
        </w:rPr>
        <w:t xml:space="preserve"> Qendrave të </w:t>
      </w:r>
      <w:r w:rsidR="007464B3" w:rsidRPr="001C61AE">
        <w:rPr>
          <w:rFonts w:ascii="Arial" w:hAnsi="Arial" w:cs="Arial"/>
          <w:lang w:val="sq-AL"/>
        </w:rPr>
        <w:t>Reziliencës</w:t>
      </w:r>
      <w:r w:rsidRPr="001C61AE">
        <w:rPr>
          <w:rFonts w:ascii="Arial" w:hAnsi="Arial" w:cs="Arial"/>
          <w:lang w:val="sq-AL"/>
        </w:rPr>
        <w:t>) mund të prezantohet – qendra shumëfunksionale komunitare që shërbejnë si strehimore për të nxehtit, si vendstrehime në raste fatkeqësish, dhe si pika shpërndarjeje ndihmash kur është e nevojshme</w:t>
      </w:r>
      <w:r w:rsidRPr="001C61AE">
        <w:rPr>
          <w:rFonts w:ascii="Arial" w:hAnsi="Arial" w:cs="Arial"/>
          <w:b/>
          <w:bCs/>
          <w:lang w:val="sq-AL"/>
        </w:rPr>
        <w:t>.</w:t>
      </w:r>
    </w:p>
    <w:p w14:paraId="43E20EA8" w14:textId="76C8E3B4" w:rsidR="00F12BB8" w:rsidRPr="001C61AE" w:rsidRDefault="00F12BB8" w:rsidP="00F36447">
      <w:pPr>
        <w:numPr>
          <w:ilvl w:val="0"/>
          <w:numId w:val="41"/>
        </w:numPr>
        <w:jc w:val="both"/>
        <w:rPr>
          <w:rFonts w:ascii="Arial" w:hAnsi="Arial" w:cs="Arial"/>
          <w:b/>
          <w:bCs/>
          <w:lang w:val="sq-AL"/>
        </w:rPr>
      </w:pPr>
      <w:r w:rsidRPr="001C61AE">
        <w:rPr>
          <w:rFonts w:ascii="Arial" w:hAnsi="Arial" w:cs="Arial"/>
          <w:b/>
          <w:bCs/>
          <w:lang w:val="sq-AL"/>
        </w:rPr>
        <w:lastRenderedPageBreak/>
        <w:t xml:space="preserve">Mbështetje për ushqim dhe mjete të jetesës: </w:t>
      </w:r>
      <w:r w:rsidRPr="001C61AE">
        <w:rPr>
          <w:rFonts w:ascii="Arial" w:hAnsi="Arial" w:cs="Arial"/>
          <w:lang w:val="sq-AL"/>
        </w:rPr>
        <w:t xml:space="preserve">Ndryshimet klimatike mund të rrezikojnë sigurinë ushqimore dhe mjetet e jetesës, duke ndikuar drejtpërdrejt në shëndet. Në rajonet e prekura nga thatësirat ose dështimet e të lashtave për shkak të përmbytjeve, programet për ushqim të shëndetshëm do të forcohen. Sektori shëndetësor, përmes IKShP-së dhe programeve komunitare, do të monitorojë shenjat e kequshqyerjes, veçanërisht te fëmijët dhe gratë shtatzëna pas ngjarjeve klimatike. Mund të ofrohen suplemente vitaminash, pako ushqimore ose ndihma me para për blerjen e ushqimit në bashkëpunim me Ministrinë e Bujqësisë dhe partnerët humanitarë. Kjo është në përputhje me përpjekjet e </w:t>
      </w:r>
      <w:r w:rsidR="000D6B4A" w:rsidRPr="001C61AE">
        <w:rPr>
          <w:rFonts w:ascii="Arial" w:hAnsi="Arial" w:cs="Arial"/>
          <w:lang w:val="sq-AL"/>
        </w:rPr>
        <w:t xml:space="preserve">MSH </w:t>
      </w:r>
      <w:r w:rsidRPr="001C61AE">
        <w:rPr>
          <w:rFonts w:ascii="Arial" w:hAnsi="Arial" w:cs="Arial"/>
          <w:lang w:val="sq-AL"/>
        </w:rPr>
        <w:t xml:space="preserve"> për promovimin e shëndetit dhe uljen e faktorëve të rrezikut për sëmundje. Gjithashtu, skemat e mbrojtjes sociale (të udhëhequra nga Ministria e Financave, Punës dhe Transfereve), si ndihma për papunësi ose grantet emergjente në para, mund të ndihmojnë familjet e prekura nga fatkeqësitë klimatike, duke parandaluar strategjitë negative të përballimit që dëmtojnë shëndetin (p.sh. heqja dorë nga ilaçet për shkak të humbjes së të ardhurave).</w:t>
      </w:r>
    </w:p>
    <w:p w14:paraId="525926E9" w14:textId="1A9FA18F" w:rsidR="00F12BB8" w:rsidRPr="001C61AE" w:rsidRDefault="00F12BB8" w:rsidP="00F36447">
      <w:pPr>
        <w:numPr>
          <w:ilvl w:val="0"/>
          <w:numId w:val="41"/>
        </w:numPr>
        <w:jc w:val="both"/>
        <w:rPr>
          <w:rFonts w:ascii="Arial" w:hAnsi="Arial" w:cs="Arial"/>
          <w:b/>
          <w:bCs/>
          <w:lang w:val="sq-AL"/>
        </w:rPr>
      </w:pPr>
      <w:r w:rsidRPr="001C61AE">
        <w:rPr>
          <w:rFonts w:ascii="Arial" w:hAnsi="Arial" w:cs="Arial"/>
          <w:b/>
          <w:bCs/>
          <w:lang w:val="sq-AL"/>
        </w:rPr>
        <w:t xml:space="preserve">Mbrojtje nga rreziku financiar: </w:t>
      </w:r>
      <w:r w:rsidRPr="001C61AE">
        <w:rPr>
          <w:rFonts w:ascii="Arial" w:hAnsi="Arial" w:cs="Arial"/>
          <w:lang w:val="sq-AL"/>
        </w:rPr>
        <w:t xml:space="preserve">Një shtyllë e rëndësishme si për </w:t>
      </w:r>
      <w:r w:rsidR="000D6B4A" w:rsidRPr="001C61AE">
        <w:rPr>
          <w:rFonts w:ascii="Arial" w:hAnsi="Arial" w:cs="Arial"/>
          <w:lang w:val="sq-AL"/>
        </w:rPr>
        <w:t>MSH</w:t>
      </w:r>
      <w:r w:rsidR="000D6B4A" w:rsidRPr="001C61AE" w:rsidDel="000D6B4A">
        <w:rPr>
          <w:rFonts w:ascii="Arial" w:hAnsi="Arial" w:cs="Arial"/>
          <w:lang w:val="sq-AL"/>
        </w:rPr>
        <w:t xml:space="preserve"> </w:t>
      </w:r>
      <w:r w:rsidRPr="001C61AE">
        <w:rPr>
          <w:rFonts w:ascii="Arial" w:hAnsi="Arial" w:cs="Arial"/>
          <w:lang w:val="sq-AL"/>
        </w:rPr>
        <w:t xml:space="preserve">ashtu edhe për përshtatjen ndaj klimës është mbrojtja e familjeve nga shpenzimet katastrofike për kujdes shëndetësor. Me fillimin e sigurimit të detyrueshëm shëndetësor dhe reformave të financimit për të arritur mbulim universal, këto mekanizma do të ndihmojnë ndjeshëm përshtatjen ndaj klimës duke shpërndarë rrezikun. Për shembull, nëse një fatkeqësi klimatike shkakton lëndime ose sëmundje, personat e siguruar mund të marrin trajtim pa shpenzime të papërballueshme, duke siguruar kujdes në kohë. Objektivi i </w:t>
      </w:r>
      <w:r w:rsidR="000D6B4A" w:rsidRPr="001C61AE">
        <w:rPr>
          <w:rFonts w:ascii="Arial" w:hAnsi="Arial" w:cs="Arial"/>
          <w:lang w:val="sq-AL"/>
        </w:rPr>
        <w:t xml:space="preserve">MSH </w:t>
      </w:r>
      <w:r w:rsidRPr="001C61AE">
        <w:rPr>
          <w:rFonts w:ascii="Arial" w:hAnsi="Arial" w:cs="Arial"/>
          <w:lang w:val="sq-AL"/>
        </w:rPr>
        <w:t xml:space="preserve"> për të mbledhur 100% të kontributeve të sigurimit dhe për të ulur pagesat nga xhepi në 30% do të përmirësojë qëndrueshmërinë e familjeve të cenueshme, të cilat përndryshe mund të shmangin kujdesin ose të zhyten në varfëri për shkak të faturave mjekësore. Në të njëjtën kohë, mund të eksplorohen skema inovative të sigurimit apo mikro-sigurimit për humbjet klimatike (në shëndet dhe pasuri), për të rritur edhe më shumë qëndrueshmërinë financiare në nivel komuniteti.</w:t>
      </w:r>
    </w:p>
    <w:p w14:paraId="5049022E" w14:textId="1BB31341" w:rsidR="001D4FA1" w:rsidRPr="001C61AE" w:rsidRDefault="00F12BB8" w:rsidP="001D4FA1">
      <w:pPr>
        <w:jc w:val="both"/>
        <w:rPr>
          <w:rFonts w:ascii="Arial" w:hAnsi="Arial" w:cs="Arial"/>
          <w:lang w:val="sq-AL"/>
        </w:rPr>
      </w:pPr>
      <w:r w:rsidRPr="001C61AE">
        <w:rPr>
          <w:rFonts w:ascii="Arial" w:hAnsi="Arial" w:cs="Arial"/>
          <w:lang w:val="sq-AL"/>
        </w:rPr>
        <w:t xml:space="preserve">Përmes këtyre masave, popullatat më të cenueshme do të mbrohen më mirë nga tronditjet klimatike dhe pasojat e tyre shëndetësore. Kjo qasje sociale ndaj përshtatjes siguron që qëndrueshmëria klimatike të jetë gjithëpërfshirëse dhe e përqendruar në barazi – një pasqyrim i drejtpërdrejtë i parimeve të </w:t>
      </w:r>
      <w:r w:rsidR="000D6B4A" w:rsidRPr="001C61AE">
        <w:rPr>
          <w:rFonts w:ascii="Arial" w:hAnsi="Arial" w:cs="Arial"/>
          <w:lang w:val="sq-AL"/>
        </w:rPr>
        <w:t>MSH</w:t>
      </w:r>
      <w:r w:rsidR="000D6B4A" w:rsidRPr="001C61AE" w:rsidDel="000D6B4A">
        <w:rPr>
          <w:rFonts w:ascii="Arial" w:hAnsi="Arial" w:cs="Arial"/>
          <w:lang w:val="sq-AL"/>
        </w:rPr>
        <w:t xml:space="preserve"> </w:t>
      </w:r>
      <w:r w:rsidRPr="001C61AE">
        <w:rPr>
          <w:rFonts w:ascii="Arial" w:hAnsi="Arial" w:cs="Arial"/>
          <w:lang w:val="sq-AL"/>
        </w:rPr>
        <w:t>për qasje të barabartë dhe kujdes për të gjithë. Deri në vitin 2030, të paktën 5,000 individë në rrezik të lartë (në mënyrë kumulative) duhet të përfitojnë nga ndërhyrjet e synuara të mbrojtjes shëndetësore-sociale (p.sh. vizita në shtëpi, përdorim të qendrave të ftohjes, apo përfitim të subvencioneve emergjente), ndërsa deri më 2040, mbështetje të tilla duhet të jenë pjesë e standardizuar dhe e institucionalizuar e sistemit shëndetësor. Në fund, forcimi i rrjeteve të sigurisë sociale në kontekstin e ndryshimeve klimatike do të zvogëlojë vdekshmërinë dhe sëmundshmërinë e parandalueshme te grupet më të cenueshme të Kosovës</w:t>
      </w:r>
      <w:r w:rsidR="001D4FA1" w:rsidRPr="001C61AE">
        <w:rPr>
          <w:rFonts w:ascii="Arial" w:hAnsi="Arial" w:cs="Arial"/>
          <w:lang w:val="sq-AL"/>
        </w:rPr>
        <w:t>.</w:t>
      </w:r>
    </w:p>
    <w:p w14:paraId="1BE59028" w14:textId="709B9C91" w:rsidR="001D4FA1" w:rsidRPr="001C61AE" w:rsidRDefault="006267BD" w:rsidP="008E17FD">
      <w:pPr>
        <w:keepNext/>
        <w:spacing w:line="240" w:lineRule="auto"/>
        <w:rPr>
          <w:rFonts w:ascii="Arial" w:hAnsi="Arial" w:cs="Arial"/>
          <w:b/>
          <w:bCs/>
          <w:color w:val="0F4761"/>
          <w:lang w:val="sq-AL"/>
        </w:rPr>
      </w:pPr>
      <w:r w:rsidRPr="001C61AE">
        <w:rPr>
          <w:rFonts w:ascii="Arial" w:hAnsi="Arial" w:cs="Arial"/>
          <w:b/>
          <w:bCs/>
          <w:color w:val="0F4761"/>
          <w:lang w:val="sq-AL"/>
        </w:rPr>
        <w:t>Objektivi specifikë</w:t>
      </w:r>
    </w:p>
    <w:p w14:paraId="50D80228" w14:textId="7D0F94A3" w:rsidR="001D4FA1" w:rsidRPr="001C61AE" w:rsidRDefault="00862AC4" w:rsidP="008E17FD">
      <w:pPr>
        <w:spacing w:line="240" w:lineRule="auto"/>
        <w:ind w:firstLine="708"/>
        <w:rPr>
          <w:rFonts w:ascii="Arial" w:hAnsi="Arial" w:cs="Arial"/>
          <w:b/>
          <w:bCs/>
          <w:color w:val="0F4761"/>
          <w:lang w:val="sq-AL"/>
        </w:rPr>
      </w:pPr>
      <w:r w:rsidRPr="001C61AE">
        <w:rPr>
          <w:rFonts w:ascii="Arial" w:hAnsi="Arial" w:cs="Arial"/>
          <w:b/>
          <w:bCs/>
          <w:color w:val="0F4761"/>
          <w:lang w:val="sq-AL"/>
        </w:rPr>
        <w:t>IV</w:t>
      </w:r>
      <w:r w:rsidR="00662E42" w:rsidRPr="001C61AE">
        <w:rPr>
          <w:rFonts w:ascii="Arial" w:hAnsi="Arial" w:cs="Arial"/>
          <w:b/>
          <w:bCs/>
          <w:color w:val="0F4761"/>
          <w:lang w:val="sq-AL"/>
        </w:rPr>
        <w:t>.</w:t>
      </w:r>
      <w:r w:rsidR="000A6F64" w:rsidRPr="001C61AE">
        <w:rPr>
          <w:rFonts w:ascii="Arial" w:hAnsi="Arial" w:cs="Arial"/>
          <w:b/>
          <w:bCs/>
          <w:color w:val="0F4761"/>
          <w:lang w:val="sq-AL"/>
        </w:rPr>
        <w:t>42</w:t>
      </w:r>
      <w:r w:rsidR="003D240B" w:rsidRPr="001C61AE">
        <w:rPr>
          <w:rFonts w:ascii="Arial" w:hAnsi="Arial" w:cs="Arial"/>
          <w:b/>
          <w:bCs/>
          <w:color w:val="0F4761"/>
          <w:lang w:val="sq-AL"/>
        </w:rPr>
        <w:t>Ofrimi i mbrojtjes sociale për grupet e cenueshme ndaj ndryshimeve klimatike.</w:t>
      </w:r>
    </w:p>
    <w:p w14:paraId="41A79874" w14:textId="01D3B739" w:rsidR="00094020" w:rsidRPr="001C61AE" w:rsidRDefault="003D240B" w:rsidP="008E17FD">
      <w:pPr>
        <w:spacing w:before="0" w:line="278" w:lineRule="auto"/>
        <w:jc w:val="both"/>
        <w:rPr>
          <w:rFonts w:ascii="Arial" w:hAnsi="Arial" w:cs="Arial"/>
          <w:lang w:val="sq-AL"/>
        </w:rPr>
      </w:pPr>
      <w:r w:rsidRPr="001C61AE">
        <w:rPr>
          <w:rFonts w:ascii="Arial" w:hAnsi="Arial" w:cs="Arial"/>
          <w:lang w:val="sq-AL"/>
        </w:rPr>
        <w:t>Për të zvogëluar ndikimet shëndetësore të lidhura me klimën në grupet me rrezik të lartë, do të zbato</w:t>
      </w:r>
      <w:r w:rsidR="002C6EC9" w:rsidRPr="001C61AE">
        <w:rPr>
          <w:rFonts w:ascii="Arial" w:hAnsi="Arial" w:cs="Arial"/>
          <w:lang w:val="sq-AL"/>
        </w:rPr>
        <w:t xml:space="preserve">hen </w:t>
      </w:r>
      <w:r w:rsidRPr="001C61AE">
        <w:rPr>
          <w:rFonts w:ascii="Arial" w:hAnsi="Arial" w:cs="Arial"/>
          <w:lang w:val="sq-AL"/>
        </w:rPr>
        <w:t xml:space="preserve"> masa adaptive të mbrojtjes sociale të përshtatura për nevojat e popullatave </w:t>
      </w:r>
      <w:r w:rsidR="000940CE" w:rsidRPr="001C61AE">
        <w:rPr>
          <w:rFonts w:ascii="Arial" w:hAnsi="Arial" w:cs="Arial"/>
          <w:lang w:val="sq-AL"/>
        </w:rPr>
        <w:t>cënueshëm</w:t>
      </w:r>
      <w:r w:rsidRPr="001C61AE">
        <w:rPr>
          <w:rFonts w:ascii="Arial" w:hAnsi="Arial" w:cs="Arial"/>
          <w:lang w:val="sq-AL"/>
        </w:rPr>
        <w:t xml:space="preserve">. Kjo përfshin shtrirje të koordinuar shëndetësore dhe sociale, ofrimin e kujdesit mobil, strehimore që i përgjigjen klimës dhe mbështetje financiare për familjet e prekura. Përfituesit do të përfshijnë persona të moshuar, individë me aftësi të kufizuara, fëmijë, gra shtatzëna, pacientë me sëmundje kronike dhe komunitete me të ardhura të ulëta ose të izoluara gjeografikisht. Efektiviteti i këtij objektivi do të matet nga numri i individëve të arritur përmes këtyre masave - siç janë ata që marrin vizita në shtëpi gjatë ngjarjeve klimatike, duke përdorur qendra ftohjeje ose duke marrë mbështetje emergjente për ushqim dhe para në dorë. Kjo qasje siguron që përshtatja ndaj klimës të jetë gjithëpërfshirëse, e fokusuar në barazi dhe e integruar plotësisht në </w:t>
      </w:r>
      <w:r w:rsidRPr="001C61AE">
        <w:rPr>
          <w:rFonts w:ascii="Arial" w:hAnsi="Arial" w:cs="Arial"/>
          <w:lang w:val="sq-AL"/>
        </w:rPr>
        <w:lastRenderedPageBreak/>
        <w:t xml:space="preserve">objektivat e Strategjisë së Sektorit të Shëndetësisë të Kosovës për akses universal dhe mbrojtje </w:t>
      </w:r>
      <w:r w:rsidR="00FB1067" w:rsidRPr="001C61AE">
        <w:rPr>
          <w:rFonts w:ascii="Arial" w:hAnsi="Arial" w:cs="Arial"/>
          <w:noProof/>
        </w:rPr>
        <mc:AlternateContent>
          <mc:Choice Requires="wps">
            <w:drawing>
              <wp:anchor distT="0" distB="0" distL="114300" distR="114300" simplePos="0" relativeHeight="251766784" behindDoc="0" locked="0" layoutInCell="1" allowOverlap="1" wp14:anchorId="761145C5" wp14:editId="3228BB22">
                <wp:simplePos x="0" y="0"/>
                <wp:positionH relativeFrom="margin">
                  <wp:align>center</wp:align>
                </wp:positionH>
                <wp:positionV relativeFrom="paragraph">
                  <wp:posOffset>479425</wp:posOffset>
                </wp:positionV>
                <wp:extent cx="6467475" cy="600075"/>
                <wp:effectExtent l="0" t="0" r="28575" b="28575"/>
                <wp:wrapTopAndBottom/>
                <wp:docPr id="977309865" name="Cuadro de texto 13"/>
                <wp:cNvGraphicFramePr/>
                <a:graphic xmlns:a="http://schemas.openxmlformats.org/drawingml/2006/main">
                  <a:graphicData uri="http://schemas.microsoft.com/office/word/2010/wordprocessingShape">
                    <wps:wsp>
                      <wps:cNvSpPr txBox="1"/>
                      <wps:spPr>
                        <a:xfrm>
                          <a:off x="0" y="0"/>
                          <a:ext cx="6467475" cy="600075"/>
                        </a:xfrm>
                        <a:prstGeom prst="rect">
                          <a:avLst/>
                        </a:prstGeom>
                        <a:solidFill>
                          <a:sysClr val="window" lastClr="FFFFFF"/>
                        </a:solidFill>
                        <a:ln w="12700">
                          <a:solidFill>
                            <a:srgbClr val="156082"/>
                          </a:solidFill>
                          <a:prstDash val="dash"/>
                        </a:ln>
                      </wps:spPr>
                      <wps:txbx>
                        <w:txbxContent>
                          <w:p w14:paraId="40DA45A4" w14:textId="47B4347E" w:rsidR="007065D4" w:rsidRDefault="007065D4" w:rsidP="00D440E1">
                            <w:r w:rsidRPr="00F12BB8">
                              <w:rPr>
                                <w:b/>
                                <w:bCs/>
                              </w:rPr>
                              <w:t>Plani i Veprimit</w:t>
                            </w:r>
                            <w:r w:rsidRPr="00F12BB8">
                              <w:t xml:space="preserve"> që specifikon objektivat kryesore të përzgjedhura për zbatim nga viti 2026 deri në vitin 2028, është dhënë në </w:t>
                            </w:r>
                            <w:hyperlink w:anchor="_Annex_IV:_Health" w:history="1">
                              <w:r w:rsidRPr="00F12BB8">
                                <w:rPr>
                                  <w:rStyle w:val="Hyperlink"/>
                                </w:rPr>
                                <w:t xml:space="preserve">Shtojcën </w:t>
                              </w:r>
                              <w:r w:rsidRPr="00D440E1">
                                <w:rPr>
                                  <w:rStyle w:val="Hyperlink"/>
                                </w:rPr>
                                <w:t>IV.</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1145C5" id="_x0000_s1076" type="#_x0000_t202" style="position:absolute;left:0;text-align:left;margin-left:0;margin-top:37.75pt;width:509.25pt;height:47.25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" fillcolor="window" strokecolor="#156082" strokeweight="1pt">
                <v:stroke dashstyle="dash"/>
                <v:textbox>
                  <w:txbxContent>
                    <w:p w14:paraId="40DA45A4" w14:textId="47B4347E" w:rsidR="007065D4" w:rsidRDefault="007065D4" w:rsidP="00D440E1">
                      <w:r w:rsidRPr="00F12BB8">
                        <w:rPr>
                          <w:b/>
                          <w:bCs/>
                        </w:rPr>
                        <w:t>Plani i Veprimit</w:t>
                      </w:r>
                      <w:r w:rsidRPr="00F12BB8">
                        <w:t xml:space="preserve"> që specifikon objektivat kryesore të përzgjedhura për zbatim nga viti 2026 deri në vitin 2028, është dhënë në </w:t>
                      </w:r>
                      <w:hyperlink w:anchor="_Annex_IV:_Health" w:history="1">
                        <w:r w:rsidRPr="00F12BB8">
                          <w:rPr>
                            <w:rStyle w:val="Hyperlink"/>
                          </w:rPr>
                          <w:t xml:space="preserve">Shtojcën </w:t>
                        </w:r>
                        <w:r w:rsidRPr="00D440E1">
                          <w:rPr>
                            <w:rStyle w:val="Hyperlink"/>
                          </w:rPr>
                          <w:t>IV.</w:t>
                        </w:r>
                      </w:hyperlink>
                    </w:p>
                  </w:txbxContent>
                </v:textbox>
                <w10:wrap type="topAndBottom" anchorx="margin"/>
              </v:shape>
            </w:pict>
          </mc:Fallback>
        </mc:AlternateContent>
      </w:r>
      <w:r w:rsidRPr="001C61AE">
        <w:rPr>
          <w:rFonts w:ascii="Arial" w:hAnsi="Arial" w:cs="Arial"/>
          <w:lang w:val="sq-AL"/>
        </w:rPr>
        <w:t>shëndetësore për të gjithë.</w:t>
      </w:r>
    </w:p>
    <w:p w14:paraId="7235760B" w14:textId="71A4D7C8" w:rsidR="009E0311" w:rsidRPr="001C61AE" w:rsidRDefault="009E0311" w:rsidP="008E17FD">
      <w:pPr>
        <w:spacing w:before="0" w:line="278" w:lineRule="auto"/>
        <w:jc w:val="both"/>
        <w:rPr>
          <w:rFonts w:ascii="Arial" w:hAnsi="Arial" w:cs="Arial"/>
          <w:lang w:val="sq-AL"/>
        </w:rPr>
      </w:pPr>
      <w:r w:rsidRPr="001C61AE">
        <w:rPr>
          <w:rFonts w:ascii="Arial" w:hAnsi="Arial" w:cs="Arial"/>
          <w:lang w:val="sq-AL"/>
        </w:rPr>
        <w:br w:type="page"/>
      </w:r>
    </w:p>
    <w:p w14:paraId="07FE6F13" w14:textId="133B23C9" w:rsidR="001D4FA1" w:rsidRPr="001C61AE" w:rsidRDefault="001D4FA1" w:rsidP="006E2FA8">
      <w:pPr>
        <w:pStyle w:val="Heading1"/>
        <w:rPr>
          <w:rFonts w:ascii="Arial" w:hAnsi="Arial" w:cs="Arial"/>
          <w:b/>
          <w:bCs/>
          <w:color w:val="22635D"/>
          <w:lang w:val="sq-AL"/>
        </w:rPr>
      </w:pPr>
      <w:bookmarkStart w:id="94" w:name="_Toc211532715"/>
      <w:r w:rsidRPr="001C61AE">
        <w:rPr>
          <w:rFonts w:ascii="Arial" w:hAnsi="Arial" w:cs="Arial"/>
          <w:b/>
          <w:bCs/>
          <w:color w:val="22635D"/>
          <w:lang w:val="sq-AL"/>
        </w:rPr>
        <w:lastRenderedPageBreak/>
        <w:t xml:space="preserve">VI. </w:t>
      </w:r>
      <w:r w:rsidR="006E2FA8" w:rsidRPr="001C61AE">
        <w:rPr>
          <w:rFonts w:ascii="Arial" w:hAnsi="Arial" w:cs="Arial"/>
          <w:b/>
          <w:bCs/>
          <w:color w:val="22635D"/>
          <w:lang w:val="sq-AL"/>
        </w:rPr>
        <w:t>RREGULLAT E ZBATIMIT, MONITORIMIT DHE RAPORTIMIT</w:t>
      </w:r>
      <w:bookmarkEnd w:id="94"/>
    </w:p>
    <w:p w14:paraId="297A622F" w14:textId="77777777" w:rsidR="006E2FA8" w:rsidRPr="001C61AE" w:rsidRDefault="006E2FA8" w:rsidP="006E2FA8">
      <w:pPr>
        <w:spacing w:line="240" w:lineRule="auto"/>
        <w:jc w:val="both"/>
        <w:rPr>
          <w:rFonts w:ascii="Arial" w:hAnsi="Arial" w:cs="Arial"/>
          <w:lang w:val="sq-AL"/>
        </w:rPr>
      </w:pPr>
      <w:r w:rsidRPr="001C61AE">
        <w:rPr>
          <w:rFonts w:ascii="Arial" w:hAnsi="Arial" w:cs="Arial"/>
          <w:lang w:val="sq-AL"/>
        </w:rPr>
        <w:t>Ofrimi efektiv i përshtatjes ndaj klimës në të gjithë sektorët kërkon rregullime të qarta institucionale, ndjekje të fuqishme të performancës dhe komunikim transparent të progresit. Për të siguruar koherencë dhe llogaridhënie, zbatimi është strukturuar rreth tre komponentëve të ndërlidhur: përgjegjësitë e zbatimit, kornizat e monitorimit dhe mekanizmat e raportimit.</w:t>
      </w:r>
    </w:p>
    <w:p w14:paraId="2E2E30CD" w14:textId="48F67550" w:rsidR="00B931E4" w:rsidRPr="001C61AE" w:rsidRDefault="006E2FA8" w:rsidP="00982FBC">
      <w:pPr>
        <w:spacing w:line="240" w:lineRule="auto"/>
        <w:jc w:val="both"/>
        <w:rPr>
          <w:rFonts w:ascii="Arial" w:hAnsi="Arial" w:cs="Arial"/>
          <w:lang w:val="sq-AL"/>
        </w:rPr>
      </w:pPr>
      <w:r w:rsidRPr="001C61AE">
        <w:rPr>
          <w:rFonts w:ascii="Arial" w:hAnsi="Arial" w:cs="Arial"/>
          <w:noProof/>
        </w:rPr>
        <mc:AlternateContent>
          <mc:Choice Requires="wps">
            <w:drawing>
              <wp:anchor distT="0" distB="0" distL="114300" distR="114300" simplePos="0" relativeHeight="251754496" behindDoc="0" locked="0" layoutInCell="1" allowOverlap="1" wp14:anchorId="5F67EACC" wp14:editId="321C03F6">
                <wp:simplePos x="0" y="0"/>
                <wp:positionH relativeFrom="margin">
                  <wp:align>left</wp:align>
                </wp:positionH>
                <wp:positionV relativeFrom="paragraph">
                  <wp:posOffset>206998</wp:posOffset>
                </wp:positionV>
                <wp:extent cx="6538595" cy="946785"/>
                <wp:effectExtent l="0" t="0" r="14605" b="24765"/>
                <wp:wrapTopAndBottom/>
                <wp:docPr id="819252434" name="Cuadro de texto 17"/>
                <wp:cNvGraphicFramePr/>
                <a:graphic xmlns:a="http://schemas.openxmlformats.org/drawingml/2006/main">
                  <a:graphicData uri="http://schemas.microsoft.com/office/word/2010/wordprocessingShape">
                    <wps:wsp>
                      <wps:cNvSpPr txBox="1"/>
                      <wps:spPr>
                        <a:xfrm>
                          <a:off x="0" y="0"/>
                          <a:ext cx="6538595" cy="947057"/>
                        </a:xfrm>
                        <a:prstGeom prst="rect">
                          <a:avLst/>
                        </a:prstGeom>
                        <a:solidFill>
                          <a:srgbClr val="1D3C5A"/>
                        </a:solidFill>
                        <a:ln w="6350">
                          <a:solidFill>
                            <a:prstClr val="black"/>
                          </a:solidFill>
                        </a:ln>
                      </wps:spPr>
                      <wps:txbx>
                        <w:txbxContent>
                          <w:p w14:paraId="7052D594" w14:textId="0DA2708E" w:rsidR="007065D4" w:rsidRPr="008E17FD" w:rsidRDefault="007065D4" w:rsidP="008E17FD">
                            <w:pPr>
                              <w:jc w:val="center"/>
                              <w:rPr>
                                <w:i/>
                                <w:iCs/>
                              </w:rPr>
                            </w:pPr>
                            <w:r w:rsidRPr="006E2FA8">
                              <w:rPr>
                                <w:i/>
                                <w:iCs/>
                              </w:rPr>
                              <w:t xml:space="preserve">Zbatimi efektiv varet nga qartësia institucionale dhe veprimi i koordinuar; monitorimi siguron që objektivat e përshtatjes po ndiqen në mënyrë </w:t>
                            </w:r>
                            <w:r w:rsidR="00AF6C69">
                              <w:rPr>
                                <w:i/>
                                <w:iCs/>
                              </w:rPr>
                              <w:t>efiçiente</w:t>
                            </w:r>
                            <w:r w:rsidRPr="006E2FA8">
                              <w:rPr>
                                <w:i/>
                                <w:iCs/>
                              </w:rPr>
                              <w:t>dhe po prodhojnë rezultate të matshme; dhe raportimi i shndërron të dhënat në njohuri të zbatueshme, duke nxitur transparencën dhe duke mundësuar të nxënit strategjik.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67EACC" id="Cuadro de texto 17" o:spid="_x0000_s1077" type="#_x0000_t202" style="position:absolute;left:0;text-align:left;margin-left:0;margin-top:16.3pt;width:514.85pt;height:74.55pt;z-index:2517544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" fillcolor="#1d3c5a" strokeweight=".5pt">
                <v:textbox>
                  <w:txbxContent>
                    <w:p w14:paraId="7052D594" w14:textId="0DA2708E" w:rsidR="007065D4" w:rsidRPr="008E17FD" w:rsidRDefault="007065D4" w:rsidP="008E17FD">
                      <w:pPr>
                        <w:jc w:val="center"/>
                        <w:rPr>
                          <w:i/>
                          <w:iCs/>
                        </w:rPr>
                      </w:pPr>
                      <w:r w:rsidRPr="006E2FA8">
                        <w:rPr>
                          <w:i/>
                          <w:iCs/>
                        </w:rPr>
                        <w:t xml:space="preserve">Zbatimi efektiv varet nga qartësia institucionale dhe veprimi i koordinuar; monitorimi siguron që objektivat e përshtatjes po ndiqen në mënyrë </w:t>
                      </w:r>
                      <w:r w:rsidR="00AF6C69">
                        <w:rPr>
                          <w:i/>
                          <w:iCs/>
                        </w:rPr>
                        <w:t>efiçiente</w:t>
                      </w:r>
                      <w:r w:rsidRPr="006E2FA8">
                        <w:rPr>
                          <w:i/>
                          <w:iCs/>
                        </w:rPr>
                        <w:t>dhe po prodhojnë rezultate të matshme; dhe raportimi i shndërron të dhënat në njohuri të zbatueshme, duke nxitur transparencën dhe duke mundësuar të nxënit strategjik.</w:t>
                      </w:r>
                    </w:p>
                  </w:txbxContent>
                </v:textbox>
                <w10:wrap type="topAndBottom" anchorx="margin"/>
              </v:shape>
            </w:pict>
          </mc:Fallback>
        </mc:AlternateContent>
      </w:r>
      <w:r w:rsidRPr="001C61AE">
        <w:rPr>
          <w:rFonts w:ascii="Arial" w:hAnsi="Arial" w:cs="Arial"/>
          <w:lang w:val="sq-AL"/>
        </w:rPr>
        <w:t>Këta komponentë përforcohen reciprokisht:</w:t>
      </w:r>
    </w:p>
    <w:p w14:paraId="49EECC91" w14:textId="01554526" w:rsidR="00982FBC" w:rsidRPr="001C61AE" w:rsidRDefault="006E2FA8" w:rsidP="008E17FD">
      <w:pPr>
        <w:spacing w:before="160" w:after="0" w:line="240" w:lineRule="auto"/>
        <w:jc w:val="both"/>
        <w:rPr>
          <w:rFonts w:ascii="Arial" w:hAnsi="Arial" w:cs="Arial"/>
          <w:lang w:val="sq-AL"/>
        </w:rPr>
      </w:pPr>
      <w:r w:rsidRPr="001C61AE">
        <w:rPr>
          <w:rFonts w:ascii="Arial" w:hAnsi="Arial" w:cs="Arial"/>
          <w:lang w:val="sq-AL"/>
        </w:rPr>
        <w:t>Së bashku, ato mbështesin menaxhimin adaptiv, duke i mundësuar institucioneve t'u përgjigjen sfidave të reja, të harmonizojnë veprimet sektoriale me qëllimet kombëtare dhe të përmbushin detyrimet si vendase ashtu edhe ndërkombëtare. Krijimi i kësaj strukture të integruar është thelbësor për të siguruar që përpjekjet e adaptimit të Kosovës të jenë të bazuara në prova, pjesëmarrëse dhe elastike me kalimin e kohës</w:t>
      </w:r>
      <w:r w:rsidR="00982FBC" w:rsidRPr="001C61AE">
        <w:rPr>
          <w:rFonts w:ascii="Arial" w:hAnsi="Arial" w:cs="Arial"/>
          <w:lang w:val="sq-AL"/>
        </w:rPr>
        <w:t>.</w:t>
      </w:r>
    </w:p>
    <w:p w14:paraId="5C42296F" w14:textId="65DF709B" w:rsidR="00982FBC" w:rsidRPr="001C61AE" w:rsidRDefault="000D6B4A" w:rsidP="001C61AE">
      <w:pPr>
        <w:pStyle w:val="Heading2"/>
        <w:rPr>
          <w:rFonts w:ascii="Arial" w:hAnsi="Arial" w:cs="Arial"/>
          <w:lang w:val="sq-AL"/>
        </w:rPr>
      </w:pPr>
      <w:bookmarkStart w:id="95" w:name="_Toc211532716"/>
      <w:bookmarkStart w:id="96" w:name="_Hlk201588390"/>
      <w:r w:rsidRPr="001C61AE">
        <w:rPr>
          <w:rFonts w:ascii="Arial" w:hAnsi="Arial" w:cs="Arial"/>
          <w:lang w:val="sq-AL"/>
        </w:rPr>
        <w:t>Zbatimi</w:t>
      </w:r>
      <w:bookmarkEnd w:id="95"/>
    </w:p>
    <w:p w14:paraId="64207EDC" w14:textId="6CC2CC61" w:rsidR="00EA5E5E" w:rsidRPr="001C61AE" w:rsidRDefault="00EA5E5E" w:rsidP="00EA5E5E">
      <w:pPr>
        <w:spacing w:line="240" w:lineRule="auto"/>
        <w:jc w:val="both"/>
        <w:rPr>
          <w:rFonts w:ascii="Arial" w:hAnsi="Arial" w:cs="Arial"/>
          <w:lang w:val="sq-AL"/>
        </w:rPr>
      </w:pPr>
      <w:r w:rsidRPr="001C61AE">
        <w:rPr>
          <w:rFonts w:ascii="Arial" w:hAnsi="Arial" w:cs="Arial"/>
          <w:lang w:val="sq-AL"/>
        </w:rPr>
        <w:t>Sigurimi i zbatimit efektiv të Strategjisë kërkon një strukturë të qartë qeverisëse. Zbatimi nuk ka të bëjë vetëm me ndarjen e përgjegjësive, por kërkon koordinim funksional ndërinstitucional, i mbështetur nga mekanizma të fuqishëm monitorimi dhe raportimi, për të garantuar llogaridhënie, koherencë dhe ndikim.</w:t>
      </w:r>
    </w:p>
    <w:p w14:paraId="4DAFA27A" w14:textId="08278500" w:rsidR="00EA5E5E" w:rsidRPr="001C61AE" w:rsidRDefault="00EA5E5E" w:rsidP="00EA5E5E">
      <w:pPr>
        <w:spacing w:line="240" w:lineRule="auto"/>
        <w:jc w:val="both"/>
        <w:rPr>
          <w:rFonts w:ascii="Arial" w:hAnsi="Arial" w:cs="Arial"/>
          <w:lang w:val="sq-AL"/>
        </w:rPr>
      </w:pPr>
      <w:r w:rsidRPr="001C61AE">
        <w:rPr>
          <w:rFonts w:ascii="Arial" w:hAnsi="Arial" w:cs="Arial"/>
          <w:lang w:val="sq-AL"/>
        </w:rPr>
        <w:t>Në përputhje me Udhëzuesin për Planifikimin, Hartimin dhe Monitorimin e Dokumenteve Strategjike dhe Planeve të tyre të Veprimit</w:t>
      </w:r>
      <w:r w:rsidR="00311473" w:rsidRPr="001C61AE">
        <w:rPr>
          <w:rStyle w:val="FootnoteReference"/>
          <w:rFonts w:ascii="Arial" w:hAnsi="Arial" w:cs="Arial"/>
          <w:lang w:val="sq-AL"/>
        </w:rPr>
        <w:footnoteReference w:id="83"/>
      </w:r>
      <w:r w:rsidRPr="001C61AE">
        <w:rPr>
          <w:rFonts w:ascii="Arial" w:hAnsi="Arial" w:cs="Arial"/>
          <w:lang w:val="sq-AL"/>
        </w:rPr>
        <w:t xml:space="preserve">, Ministria e Mjedisit, Planifikimit Hapësinor dhe Infrastrukturës (MMPHI) do të veprojë si ministria udhëheqëse për </w:t>
      </w:r>
      <w:r w:rsidR="00020C31" w:rsidRPr="001C61AE">
        <w:rPr>
          <w:rFonts w:ascii="Arial" w:hAnsi="Arial" w:cs="Arial"/>
          <w:lang w:val="sq-AL"/>
        </w:rPr>
        <w:t>Strategjinë</w:t>
      </w:r>
      <w:r w:rsidRPr="001C61AE">
        <w:rPr>
          <w:rFonts w:ascii="Arial" w:hAnsi="Arial" w:cs="Arial"/>
          <w:lang w:val="sq-AL"/>
        </w:rPr>
        <w:t>. Si e tillë, MMPHI do të jetë përgjegjëse për koordinimin e përgjithshëm, monitorimin dhe raportimin e strategjisë dhe planit të saj të veprimit. Detyrat kryesore të saj përfshijnë:</w:t>
      </w:r>
    </w:p>
    <w:p w14:paraId="65F8F304" w14:textId="77777777" w:rsidR="00EA5E5E" w:rsidRPr="001C61AE" w:rsidRDefault="00EA5E5E" w:rsidP="00F36447">
      <w:pPr>
        <w:numPr>
          <w:ilvl w:val="0"/>
          <w:numId w:val="42"/>
        </w:numPr>
        <w:spacing w:line="240" w:lineRule="auto"/>
        <w:jc w:val="both"/>
        <w:rPr>
          <w:rFonts w:ascii="Arial" w:hAnsi="Arial" w:cs="Arial"/>
          <w:lang w:val="sq-AL"/>
        </w:rPr>
      </w:pPr>
      <w:r w:rsidRPr="001C61AE">
        <w:rPr>
          <w:rFonts w:ascii="Arial" w:hAnsi="Arial" w:cs="Arial"/>
          <w:lang w:val="sq-AL"/>
        </w:rPr>
        <w:t>Krijimin dhe menaxhimin e një sistemi efektiv të monitorimit dhe raportimit, në përputhje me standardet kombëtare;</w:t>
      </w:r>
    </w:p>
    <w:p w14:paraId="1A8FD259" w14:textId="77777777" w:rsidR="00EA5E5E" w:rsidRPr="001C61AE" w:rsidRDefault="00EA5E5E" w:rsidP="00F36447">
      <w:pPr>
        <w:numPr>
          <w:ilvl w:val="0"/>
          <w:numId w:val="42"/>
        </w:numPr>
        <w:spacing w:line="240" w:lineRule="auto"/>
        <w:jc w:val="both"/>
        <w:rPr>
          <w:rFonts w:ascii="Arial" w:hAnsi="Arial" w:cs="Arial"/>
          <w:lang w:val="sq-AL"/>
        </w:rPr>
      </w:pPr>
      <w:r w:rsidRPr="001C61AE">
        <w:rPr>
          <w:rFonts w:ascii="Arial" w:hAnsi="Arial" w:cs="Arial"/>
          <w:lang w:val="sq-AL"/>
        </w:rPr>
        <w:t>Mbledhjen e të dhënave nga institucionet zbatuese dhe sigurimin e përputhshmërisë së tyre;</w:t>
      </w:r>
    </w:p>
    <w:p w14:paraId="1A855768" w14:textId="77777777" w:rsidR="00EA5E5E" w:rsidRPr="001C61AE" w:rsidRDefault="00EA5E5E" w:rsidP="00F36447">
      <w:pPr>
        <w:numPr>
          <w:ilvl w:val="0"/>
          <w:numId w:val="42"/>
        </w:numPr>
        <w:spacing w:line="240" w:lineRule="auto"/>
        <w:jc w:val="both"/>
        <w:rPr>
          <w:rFonts w:ascii="Arial" w:hAnsi="Arial" w:cs="Arial"/>
          <w:lang w:val="sq-AL"/>
        </w:rPr>
      </w:pPr>
      <w:r w:rsidRPr="001C61AE">
        <w:rPr>
          <w:rFonts w:ascii="Arial" w:hAnsi="Arial" w:cs="Arial"/>
          <w:lang w:val="sq-AL"/>
        </w:rPr>
        <w:t>Përgatitjen e raporteve vjetore të progresit për zbatimin e strategjisë dhe raporteve gjashtëmujore për planin e veprimit;</w:t>
      </w:r>
    </w:p>
    <w:p w14:paraId="0876F7AB" w14:textId="77777777" w:rsidR="00EA5E5E" w:rsidRPr="001C61AE" w:rsidRDefault="00EA5E5E" w:rsidP="00F36447">
      <w:pPr>
        <w:numPr>
          <w:ilvl w:val="0"/>
          <w:numId w:val="42"/>
        </w:numPr>
        <w:spacing w:line="240" w:lineRule="auto"/>
        <w:jc w:val="both"/>
        <w:rPr>
          <w:rFonts w:ascii="Arial" w:hAnsi="Arial" w:cs="Arial"/>
          <w:lang w:val="sq-AL"/>
        </w:rPr>
      </w:pPr>
      <w:r w:rsidRPr="001C61AE">
        <w:rPr>
          <w:rFonts w:ascii="Arial" w:hAnsi="Arial" w:cs="Arial"/>
          <w:lang w:val="sq-AL"/>
        </w:rPr>
        <w:t>Lehtësimin e koordinimit me strukturat ekzistuese institucionale për qeverisjen klimatike;</w:t>
      </w:r>
    </w:p>
    <w:p w14:paraId="57080827" w14:textId="77777777" w:rsidR="00EA5E5E" w:rsidRPr="001C61AE" w:rsidRDefault="00EA5E5E" w:rsidP="00F36447">
      <w:pPr>
        <w:numPr>
          <w:ilvl w:val="0"/>
          <w:numId w:val="42"/>
        </w:numPr>
        <w:spacing w:line="240" w:lineRule="auto"/>
        <w:jc w:val="both"/>
        <w:rPr>
          <w:rFonts w:ascii="Arial" w:hAnsi="Arial" w:cs="Arial"/>
          <w:lang w:val="sq-AL"/>
        </w:rPr>
      </w:pPr>
      <w:r w:rsidRPr="001C61AE">
        <w:rPr>
          <w:rFonts w:ascii="Arial" w:hAnsi="Arial" w:cs="Arial"/>
          <w:lang w:val="sq-AL"/>
        </w:rPr>
        <w:t>Publikimin e raporteve zyrtare dhe inicimin e diskutimeve në rast të sfidave të zbatimit.</w:t>
      </w:r>
    </w:p>
    <w:p w14:paraId="6A2DA060" w14:textId="6F261542" w:rsidR="00EA5E5E" w:rsidRPr="001C61AE" w:rsidRDefault="00EA5E5E" w:rsidP="00EA5E5E">
      <w:pPr>
        <w:spacing w:line="240" w:lineRule="auto"/>
        <w:jc w:val="both"/>
        <w:rPr>
          <w:rFonts w:ascii="Arial" w:hAnsi="Arial" w:cs="Arial"/>
          <w:lang w:val="sq-AL"/>
        </w:rPr>
      </w:pPr>
      <w:r w:rsidRPr="001C61AE">
        <w:rPr>
          <w:rFonts w:ascii="Arial" w:hAnsi="Arial" w:cs="Arial"/>
          <w:lang w:val="sq-AL"/>
        </w:rPr>
        <w:t>Për të siguruar koordinim institucional, MMPHI do të veprojë përmes Këshillit Kombëtar për Ndryshimet Klimatike dhe Sekretariatit të tij, siç është paraparë me Ligjin</w:t>
      </w:r>
      <w:r w:rsidR="00444A63" w:rsidRPr="001C61AE">
        <w:rPr>
          <w:rFonts w:ascii="Arial" w:hAnsi="Arial" w:cs="Arial"/>
          <w:lang w:val="sq-AL"/>
        </w:rPr>
        <w:t xml:space="preserve"> e Klimës</w:t>
      </w:r>
      <w:r w:rsidRPr="001C61AE">
        <w:rPr>
          <w:rFonts w:ascii="Arial" w:hAnsi="Arial" w:cs="Arial"/>
          <w:lang w:val="sq-AL"/>
        </w:rPr>
        <w:t>, i cili ka për detyrë koordinimin dhe monitorimin e masave për zbutjen dhe përshtatjen ndaj ndryshimeve klimatike në të gjitha sektorët.</w:t>
      </w:r>
    </w:p>
    <w:p w14:paraId="736E6567" w14:textId="77777777" w:rsidR="00EA5E5E" w:rsidRPr="001C61AE" w:rsidRDefault="00EA5E5E" w:rsidP="00EA5E5E">
      <w:pPr>
        <w:spacing w:line="240" w:lineRule="auto"/>
        <w:jc w:val="both"/>
        <w:rPr>
          <w:rFonts w:ascii="Arial" w:hAnsi="Arial" w:cs="Arial"/>
          <w:lang w:val="sq-AL"/>
        </w:rPr>
      </w:pPr>
      <w:r w:rsidRPr="001C61AE">
        <w:rPr>
          <w:rFonts w:ascii="Arial" w:hAnsi="Arial" w:cs="Arial"/>
          <w:lang w:val="sq-AL"/>
        </w:rPr>
        <w:t>Për më tepër, Zyra për Planifikim Strategjik do të ofrojë mbikëqyrje teknike, udhëzime metodologjike dhe mbështetje për ministritë në monitorim dhe raportim. Ajo gjithashtu do të:</w:t>
      </w:r>
    </w:p>
    <w:p w14:paraId="6D351B26" w14:textId="77777777" w:rsidR="00EA5E5E" w:rsidRPr="001C61AE" w:rsidRDefault="00EA5E5E" w:rsidP="00F36447">
      <w:pPr>
        <w:numPr>
          <w:ilvl w:val="0"/>
          <w:numId w:val="43"/>
        </w:numPr>
        <w:spacing w:line="240" w:lineRule="auto"/>
        <w:jc w:val="both"/>
        <w:rPr>
          <w:rFonts w:ascii="Arial" w:hAnsi="Arial" w:cs="Arial"/>
          <w:lang w:val="sq-AL"/>
        </w:rPr>
      </w:pPr>
      <w:r w:rsidRPr="001C61AE">
        <w:rPr>
          <w:rFonts w:ascii="Arial" w:hAnsi="Arial" w:cs="Arial"/>
          <w:lang w:val="sq-AL"/>
        </w:rPr>
        <w:t>Rishikojë dhe konsolidojë raportet e progresit të dokumenteve strategjike;</w:t>
      </w:r>
    </w:p>
    <w:p w14:paraId="295F6F07" w14:textId="77777777" w:rsidR="00EA5E5E" w:rsidRPr="001C61AE" w:rsidRDefault="00EA5E5E" w:rsidP="00F36447">
      <w:pPr>
        <w:numPr>
          <w:ilvl w:val="0"/>
          <w:numId w:val="43"/>
        </w:numPr>
        <w:spacing w:line="240" w:lineRule="auto"/>
        <w:jc w:val="both"/>
        <w:rPr>
          <w:rFonts w:ascii="Arial" w:hAnsi="Arial" w:cs="Arial"/>
          <w:lang w:val="sq-AL"/>
        </w:rPr>
      </w:pPr>
      <w:r w:rsidRPr="001C61AE">
        <w:rPr>
          <w:rFonts w:ascii="Arial" w:hAnsi="Arial" w:cs="Arial"/>
          <w:lang w:val="sq-AL"/>
        </w:rPr>
        <w:t>Analizojë sfidat dhe rreziqet ndërsektoriale të zbatimit;</w:t>
      </w:r>
    </w:p>
    <w:p w14:paraId="4D331A83" w14:textId="77777777" w:rsidR="00EA5E5E" w:rsidRPr="001C61AE" w:rsidRDefault="00EA5E5E" w:rsidP="00F36447">
      <w:pPr>
        <w:numPr>
          <w:ilvl w:val="0"/>
          <w:numId w:val="43"/>
        </w:numPr>
        <w:spacing w:line="240" w:lineRule="auto"/>
        <w:jc w:val="both"/>
        <w:rPr>
          <w:rFonts w:ascii="Arial" w:hAnsi="Arial" w:cs="Arial"/>
          <w:lang w:val="sq-AL"/>
        </w:rPr>
      </w:pPr>
      <w:r w:rsidRPr="001C61AE">
        <w:rPr>
          <w:rFonts w:ascii="Arial" w:hAnsi="Arial" w:cs="Arial"/>
          <w:lang w:val="sq-AL"/>
        </w:rPr>
        <w:t>Përfshijë dokumentet strategjike në Planin Vjetor të Dokumenteve Strategjike (SDAP), Planin Vjetor të Punës së Qeverisë (GAWP) dhe Programin Kombëtar për Integrim (NIP/NPAA);</w:t>
      </w:r>
    </w:p>
    <w:p w14:paraId="3C8CEB8E" w14:textId="77777777" w:rsidR="00EA5E5E" w:rsidRPr="001C61AE" w:rsidRDefault="00EA5E5E" w:rsidP="00F36447">
      <w:pPr>
        <w:numPr>
          <w:ilvl w:val="0"/>
          <w:numId w:val="43"/>
        </w:numPr>
        <w:spacing w:line="240" w:lineRule="auto"/>
        <w:jc w:val="both"/>
        <w:rPr>
          <w:rFonts w:ascii="Arial" w:hAnsi="Arial" w:cs="Arial"/>
          <w:lang w:val="sq-AL"/>
        </w:rPr>
      </w:pPr>
      <w:r w:rsidRPr="001C61AE">
        <w:rPr>
          <w:rFonts w:ascii="Arial" w:hAnsi="Arial" w:cs="Arial"/>
          <w:lang w:val="sq-AL"/>
        </w:rPr>
        <w:lastRenderedPageBreak/>
        <w:t>Përgatisë një raport sintezë vjetor për të gjitha dokumentet strategjike për dorëzim në Komitetin për Planifikim Strategjik (SPC).</w:t>
      </w:r>
    </w:p>
    <w:p w14:paraId="053589DF" w14:textId="77777777" w:rsidR="00EA5E5E" w:rsidRPr="001C61AE" w:rsidRDefault="00EA5E5E" w:rsidP="00EA5E5E">
      <w:pPr>
        <w:spacing w:line="240" w:lineRule="auto"/>
        <w:jc w:val="both"/>
        <w:rPr>
          <w:rFonts w:ascii="Arial" w:hAnsi="Arial" w:cs="Arial"/>
          <w:lang w:val="sq-AL"/>
        </w:rPr>
      </w:pPr>
      <w:r w:rsidRPr="001C61AE">
        <w:rPr>
          <w:rFonts w:ascii="Arial" w:hAnsi="Arial" w:cs="Arial"/>
          <w:lang w:val="sq-AL"/>
        </w:rPr>
        <w:t>Komiteti për Planifikim Strategjik (SPC) do të shërbejë si mekanizëm udhëheqës në nivel të lartë dhe do të ketë këto funksione:</w:t>
      </w:r>
    </w:p>
    <w:p w14:paraId="71F6D6F9" w14:textId="77777777" w:rsidR="00EA5E5E" w:rsidRPr="001C61AE" w:rsidRDefault="00EA5E5E" w:rsidP="00F36447">
      <w:pPr>
        <w:numPr>
          <w:ilvl w:val="0"/>
          <w:numId w:val="44"/>
        </w:numPr>
        <w:spacing w:line="240" w:lineRule="auto"/>
        <w:jc w:val="both"/>
        <w:rPr>
          <w:rFonts w:ascii="Arial" w:hAnsi="Arial" w:cs="Arial"/>
          <w:lang w:val="sq-AL"/>
        </w:rPr>
      </w:pPr>
      <w:r w:rsidRPr="001C61AE">
        <w:rPr>
          <w:rFonts w:ascii="Arial" w:hAnsi="Arial" w:cs="Arial"/>
          <w:lang w:val="sq-AL"/>
        </w:rPr>
        <w:t>Rishikimi dhe miratimi i raporteve vjetore dhe gjashtëmujore;</w:t>
      </w:r>
    </w:p>
    <w:p w14:paraId="25A1F9AE" w14:textId="77777777" w:rsidR="00EA5E5E" w:rsidRPr="001C61AE" w:rsidRDefault="00EA5E5E" w:rsidP="00F36447">
      <w:pPr>
        <w:numPr>
          <w:ilvl w:val="0"/>
          <w:numId w:val="44"/>
        </w:numPr>
        <w:spacing w:line="240" w:lineRule="auto"/>
        <w:jc w:val="both"/>
        <w:rPr>
          <w:rFonts w:ascii="Arial" w:hAnsi="Arial" w:cs="Arial"/>
          <w:lang w:val="sq-AL"/>
        </w:rPr>
      </w:pPr>
      <w:r w:rsidRPr="001C61AE">
        <w:rPr>
          <w:rFonts w:ascii="Arial" w:hAnsi="Arial" w:cs="Arial"/>
          <w:lang w:val="sq-AL"/>
        </w:rPr>
        <w:t>Zgjidhja e mosmarrëveshjeve institucionale dhe pengesave të zbatimit që nuk zgjidhen në nivele më të ulëta;</w:t>
      </w:r>
    </w:p>
    <w:p w14:paraId="51F45F5A" w14:textId="77777777" w:rsidR="00EA5E5E" w:rsidRPr="001C61AE" w:rsidRDefault="00EA5E5E" w:rsidP="00F36447">
      <w:pPr>
        <w:numPr>
          <w:ilvl w:val="0"/>
          <w:numId w:val="44"/>
        </w:numPr>
        <w:spacing w:line="240" w:lineRule="auto"/>
        <w:jc w:val="both"/>
        <w:rPr>
          <w:rFonts w:ascii="Arial" w:hAnsi="Arial" w:cs="Arial"/>
          <w:lang w:val="sq-AL"/>
        </w:rPr>
      </w:pPr>
      <w:r w:rsidRPr="001C61AE">
        <w:rPr>
          <w:rFonts w:ascii="Arial" w:hAnsi="Arial" w:cs="Arial"/>
          <w:lang w:val="sq-AL"/>
        </w:rPr>
        <w:t>Rekomandimi i masave korrigjuese për të siguruar arritjen e objektivave strategjike.</w:t>
      </w:r>
    </w:p>
    <w:p w14:paraId="26FAE30D" w14:textId="77777777" w:rsidR="00EA5E5E" w:rsidRPr="001C61AE" w:rsidRDefault="00EA5E5E" w:rsidP="00EA5E5E">
      <w:pPr>
        <w:spacing w:line="240" w:lineRule="auto"/>
        <w:jc w:val="both"/>
        <w:rPr>
          <w:rFonts w:ascii="Arial" w:hAnsi="Arial" w:cs="Arial"/>
          <w:lang w:val="sq-AL"/>
        </w:rPr>
      </w:pPr>
      <w:r w:rsidRPr="001C61AE">
        <w:rPr>
          <w:rFonts w:ascii="Arial" w:hAnsi="Arial" w:cs="Arial"/>
          <w:lang w:val="sq-AL"/>
        </w:rPr>
        <w:t xml:space="preserve">Qeveria e Kosovës, si autoriteti më i lartë vendimmarrës, mban </w:t>
      </w:r>
      <w:r w:rsidRPr="001C61AE">
        <w:rPr>
          <w:rFonts w:ascii="Arial" w:hAnsi="Arial" w:cs="Arial"/>
          <w:b/>
          <w:bCs/>
          <w:lang w:val="sq-AL"/>
        </w:rPr>
        <w:t xml:space="preserve">përgjegjësinë përfundimtare </w:t>
      </w:r>
      <w:r w:rsidRPr="001C61AE">
        <w:rPr>
          <w:rFonts w:ascii="Arial" w:hAnsi="Arial" w:cs="Arial"/>
          <w:lang w:val="sq-AL"/>
        </w:rPr>
        <w:t>për zbatimin e strategjisë për përshtatje klimatike.</w:t>
      </w:r>
    </w:p>
    <w:p w14:paraId="01E53E05" w14:textId="77777777" w:rsidR="00EA5E5E" w:rsidRPr="001C61AE" w:rsidRDefault="00EA5E5E" w:rsidP="00EA5E5E">
      <w:pPr>
        <w:spacing w:line="240" w:lineRule="auto"/>
        <w:jc w:val="both"/>
        <w:rPr>
          <w:rFonts w:ascii="Arial" w:hAnsi="Arial" w:cs="Arial"/>
          <w:lang w:val="sq-AL"/>
        </w:rPr>
      </w:pPr>
      <w:r w:rsidRPr="001C61AE">
        <w:rPr>
          <w:rFonts w:ascii="Arial" w:hAnsi="Arial" w:cs="Arial"/>
          <w:lang w:val="sq-AL"/>
        </w:rPr>
        <w:t xml:space="preserve">Ndërsa struktura institucionale ofron qeverisje strategjike të përgjithshme, zbatimi i objektivave të përshtatjes në nivel sektorial do të udhëhiqet nga pikëkontakti sektorialë të caktuar (p.sh. organet komunale përgjegjëse) të integruar në ministritë ose </w:t>
      </w:r>
      <w:r w:rsidRPr="001C61AE">
        <w:rPr>
          <w:rFonts w:ascii="Arial" w:hAnsi="Arial" w:cs="Arial"/>
          <w:b/>
          <w:bCs/>
          <w:lang w:val="sq-AL"/>
        </w:rPr>
        <w:t>agjencitë përkatëse</w:t>
      </w:r>
      <w:r w:rsidRPr="001C61AE">
        <w:rPr>
          <w:rFonts w:ascii="Arial" w:hAnsi="Arial" w:cs="Arial"/>
          <w:lang w:val="sq-AL"/>
        </w:rPr>
        <w:t>. Këta pikëkontakti do të:</w:t>
      </w:r>
    </w:p>
    <w:p w14:paraId="5289068E" w14:textId="77777777" w:rsidR="00EA5E5E" w:rsidRPr="001C61AE" w:rsidRDefault="00EA5E5E" w:rsidP="00F36447">
      <w:pPr>
        <w:numPr>
          <w:ilvl w:val="0"/>
          <w:numId w:val="45"/>
        </w:numPr>
        <w:spacing w:line="240" w:lineRule="auto"/>
        <w:jc w:val="both"/>
        <w:rPr>
          <w:rFonts w:ascii="Arial" w:hAnsi="Arial" w:cs="Arial"/>
          <w:lang w:val="sq-AL"/>
        </w:rPr>
      </w:pPr>
      <w:r w:rsidRPr="001C61AE">
        <w:rPr>
          <w:rFonts w:ascii="Arial" w:hAnsi="Arial" w:cs="Arial"/>
          <w:lang w:val="sq-AL"/>
        </w:rPr>
        <w:t>Udhëheqin operacionalizimin e objektivave sektoriale të përshtatjes;</w:t>
      </w:r>
    </w:p>
    <w:p w14:paraId="6DCD4D07" w14:textId="77777777" w:rsidR="00EA5E5E" w:rsidRPr="001C61AE" w:rsidRDefault="00EA5E5E" w:rsidP="00F36447">
      <w:pPr>
        <w:numPr>
          <w:ilvl w:val="0"/>
          <w:numId w:val="45"/>
        </w:numPr>
        <w:spacing w:line="240" w:lineRule="auto"/>
        <w:jc w:val="both"/>
        <w:rPr>
          <w:rFonts w:ascii="Arial" w:hAnsi="Arial" w:cs="Arial"/>
          <w:lang w:val="sq-AL"/>
        </w:rPr>
      </w:pPr>
      <w:r w:rsidRPr="001C61AE">
        <w:rPr>
          <w:rFonts w:ascii="Arial" w:hAnsi="Arial" w:cs="Arial"/>
          <w:lang w:val="sq-AL"/>
        </w:rPr>
        <w:t>Monitorojnë progresin përmes indikatorëve dhe kontribuojnë në raportimin kombëtar;</w:t>
      </w:r>
    </w:p>
    <w:p w14:paraId="7810F568" w14:textId="77777777" w:rsidR="00EA5E5E" w:rsidRPr="001C61AE" w:rsidRDefault="00EA5E5E" w:rsidP="00F36447">
      <w:pPr>
        <w:numPr>
          <w:ilvl w:val="0"/>
          <w:numId w:val="45"/>
        </w:numPr>
        <w:spacing w:line="240" w:lineRule="auto"/>
        <w:jc w:val="both"/>
        <w:rPr>
          <w:rFonts w:ascii="Arial" w:hAnsi="Arial" w:cs="Arial"/>
          <w:lang w:val="sq-AL"/>
        </w:rPr>
      </w:pPr>
      <w:r w:rsidRPr="001C61AE">
        <w:rPr>
          <w:rFonts w:ascii="Arial" w:hAnsi="Arial" w:cs="Arial"/>
          <w:lang w:val="sq-AL"/>
        </w:rPr>
        <w:t>Koordinojnë me komunat, shoqërinë civile, akademinë dhe partnerët zhvillimorë për të siguruar planifikim dhe zbatim gjithëpërfshirës dhe koherent;</w:t>
      </w:r>
    </w:p>
    <w:p w14:paraId="3DA39E54" w14:textId="77777777" w:rsidR="00EA5E5E" w:rsidRPr="001C61AE" w:rsidRDefault="00EA5E5E" w:rsidP="00F36447">
      <w:pPr>
        <w:numPr>
          <w:ilvl w:val="0"/>
          <w:numId w:val="45"/>
        </w:numPr>
        <w:spacing w:line="240" w:lineRule="auto"/>
        <w:jc w:val="both"/>
        <w:rPr>
          <w:rFonts w:ascii="Arial" w:hAnsi="Arial" w:cs="Arial"/>
          <w:lang w:val="sq-AL"/>
        </w:rPr>
      </w:pPr>
      <w:r w:rsidRPr="001C61AE">
        <w:rPr>
          <w:rFonts w:ascii="Arial" w:hAnsi="Arial" w:cs="Arial"/>
          <w:lang w:val="sq-AL"/>
        </w:rPr>
        <w:t>Raportojnë mbi gjendjen e zbatimit të objektivave të strategjisë.</w:t>
      </w:r>
    </w:p>
    <w:p w14:paraId="5F528ADE" w14:textId="1D60283D" w:rsidR="00D37C8F" w:rsidRPr="001C61AE" w:rsidRDefault="00EA5E5E" w:rsidP="00D37C8F">
      <w:pPr>
        <w:spacing w:line="240" w:lineRule="auto"/>
        <w:jc w:val="both"/>
        <w:rPr>
          <w:rFonts w:ascii="Arial" w:hAnsi="Arial" w:cs="Arial"/>
          <w:lang w:val="sq-AL"/>
        </w:rPr>
      </w:pPr>
      <w:r w:rsidRPr="001C61AE">
        <w:rPr>
          <w:rFonts w:ascii="Arial" w:hAnsi="Arial" w:cs="Arial"/>
          <w:lang w:val="sq-AL"/>
        </w:rPr>
        <w:t>Përpjekjet e tyre do të mbështeten nga një gamë e gjerë akterësh mbështetës, përfshirë institute teknike, organizata donatore, OJQ, OSHC, sektorin privat dhe partnerë rajonalë ose ndërkombëtarë. Këta akterë do të ofrojnë të dhëna, ekspertizë teknike, ndërtim kapacitetesh dhe, në disa raste, burime financiare të domosdoshme për zbatim të suksesshëm</w:t>
      </w:r>
      <w:r w:rsidR="00D37C8F" w:rsidRPr="001C61AE">
        <w:rPr>
          <w:rFonts w:ascii="Arial" w:hAnsi="Arial" w:cs="Arial"/>
          <w:lang w:val="sq-AL"/>
        </w:rPr>
        <w:t>.</w:t>
      </w:r>
    </w:p>
    <w:p w14:paraId="7CA6480D" w14:textId="629ECA52" w:rsidR="00D37C8F" w:rsidRPr="001C61AE" w:rsidRDefault="006E2FA8" w:rsidP="00D37C8F">
      <w:pPr>
        <w:spacing w:line="240" w:lineRule="auto"/>
        <w:jc w:val="both"/>
        <w:rPr>
          <w:rFonts w:ascii="Arial" w:hAnsi="Arial" w:cs="Arial"/>
          <w:lang w:val="sq-AL"/>
        </w:rPr>
      </w:pPr>
      <w:r w:rsidRPr="001C61AE">
        <w:rPr>
          <w:rFonts w:ascii="Arial" w:hAnsi="Arial" w:cs="Arial"/>
          <w:lang w:val="sq-AL"/>
        </w:rPr>
        <w:t xml:space="preserve">Tabela e mëposhtme përmbledh përgjegjësitë institucionale për secilin sektor të </w:t>
      </w:r>
      <w:r w:rsidR="000D7628" w:rsidRPr="001C61AE">
        <w:rPr>
          <w:rFonts w:ascii="Arial" w:hAnsi="Arial" w:cs="Arial"/>
          <w:lang w:val="sq-AL"/>
        </w:rPr>
        <w:t>Strategjisë</w:t>
      </w:r>
      <w:r w:rsidRPr="001C61AE">
        <w:rPr>
          <w:rFonts w:ascii="Arial" w:hAnsi="Arial" w:cs="Arial"/>
          <w:lang w:val="sq-AL"/>
        </w:rPr>
        <w:t>:</w:t>
      </w:r>
      <w:r w:rsidR="00D37C8F" w:rsidRPr="001C61AE">
        <w:rPr>
          <w:rFonts w:ascii="Arial" w:hAnsi="Arial" w:cs="Arial"/>
          <w:lang w:val="sq-AL"/>
        </w:rPr>
        <w:t>:</w:t>
      </w:r>
    </w:p>
    <w:tbl>
      <w:tblPr>
        <w:tblStyle w:val="TableGrid"/>
        <w:tblW w:w="5000" w:type="pct"/>
        <w:tblLook w:val="04A0" w:firstRow="1" w:lastRow="0" w:firstColumn="1" w:lastColumn="0" w:noHBand="0" w:noVBand="1"/>
      </w:tblPr>
      <w:tblGrid>
        <w:gridCol w:w="1980"/>
        <w:gridCol w:w="2551"/>
        <w:gridCol w:w="5665"/>
      </w:tblGrid>
      <w:tr w:rsidR="00D37C8F" w:rsidRPr="001C61AE" w14:paraId="59DCA1E9" w14:textId="77777777" w:rsidTr="00D37C8F">
        <w:trPr>
          <w:tblHeader/>
        </w:trPr>
        <w:tc>
          <w:tcPr>
            <w:tcW w:w="971" w:type="pct"/>
            <w:shd w:val="clear" w:color="auto" w:fill="1D3C5A"/>
            <w:vAlign w:val="center"/>
          </w:tcPr>
          <w:p w14:paraId="12272006" w14:textId="064922EF" w:rsidR="00D37C8F" w:rsidRPr="001C61AE" w:rsidRDefault="00EA5E5E" w:rsidP="00D37C8F">
            <w:pPr>
              <w:spacing w:line="240" w:lineRule="auto"/>
              <w:jc w:val="center"/>
              <w:rPr>
                <w:rFonts w:ascii="Arial" w:hAnsi="Arial" w:cs="Arial"/>
                <w:b/>
                <w:bCs/>
                <w:sz w:val="20"/>
                <w:szCs w:val="20"/>
                <w:lang w:val="sq-AL"/>
              </w:rPr>
            </w:pPr>
            <w:r w:rsidRPr="001C61AE">
              <w:rPr>
                <w:rFonts w:ascii="Arial" w:hAnsi="Arial" w:cs="Arial"/>
                <w:b/>
                <w:bCs/>
                <w:sz w:val="20"/>
                <w:szCs w:val="20"/>
                <w:lang w:val="sq-AL"/>
              </w:rPr>
              <w:t>Sektori</w:t>
            </w:r>
          </w:p>
        </w:tc>
        <w:tc>
          <w:tcPr>
            <w:tcW w:w="1251" w:type="pct"/>
            <w:shd w:val="clear" w:color="auto" w:fill="1D3C5A"/>
            <w:vAlign w:val="center"/>
          </w:tcPr>
          <w:p w14:paraId="02043F0E" w14:textId="7FCCDEDD" w:rsidR="00D37C8F" w:rsidRPr="001C61AE" w:rsidRDefault="00EA5E5E" w:rsidP="00D37C8F">
            <w:pPr>
              <w:spacing w:line="240" w:lineRule="auto"/>
              <w:jc w:val="center"/>
              <w:rPr>
                <w:rFonts w:ascii="Arial" w:hAnsi="Arial" w:cs="Arial"/>
                <w:b/>
                <w:bCs/>
                <w:sz w:val="20"/>
                <w:szCs w:val="20"/>
                <w:lang w:val="sq-AL"/>
              </w:rPr>
            </w:pPr>
            <w:r w:rsidRPr="001C61AE">
              <w:rPr>
                <w:rFonts w:ascii="Arial" w:hAnsi="Arial" w:cs="Arial"/>
                <w:b/>
                <w:bCs/>
                <w:sz w:val="20"/>
                <w:szCs w:val="20"/>
                <w:lang w:val="sq-AL"/>
              </w:rPr>
              <w:t>Njësia udhëheqëse për zbatimin, monitorimin dhe raportimin</w:t>
            </w:r>
          </w:p>
        </w:tc>
        <w:tc>
          <w:tcPr>
            <w:tcW w:w="2778" w:type="pct"/>
            <w:shd w:val="clear" w:color="auto" w:fill="1D3C5A"/>
            <w:vAlign w:val="center"/>
          </w:tcPr>
          <w:p w14:paraId="77F3AA63" w14:textId="2557C66E" w:rsidR="00D37C8F" w:rsidRPr="001C61AE" w:rsidRDefault="00EA5E5E" w:rsidP="00D37C8F">
            <w:pPr>
              <w:spacing w:line="240" w:lineRule="auto"/>
              <w:jc w:val="center"/>
              <w:rPr>
                <w:rFonts w:ascii="Arial" w:hAnsi="Arial" w:cs="Arial"/>
                <w:b/>
                <w:bCs/>
                <w:sz w:val="20"/>
                <w:szCs w:val="20"/>
                <w:lang w:val="sq-AL"/>
              </w:rPr>
            </w:pPr>
            <w:r w:rsidRPr="001C61AE">
              <w:rPr>
                <w:rFonts w:ascii="Arial" w:hAnsi="Arial" w:cs="Arial"/>
                <w:b/>
                <w:bCs/>
                <w:sz w:val="20"/>
                <w:szCs w:val="20"/>
                <w:lang w:val="sq-AL"/>
              </w:rPr>
              <w:t>Përgjegjësitë kryesore</w:t>
            </w:r>
          </w:p>
        </w:tc>
      </w:tr>
      <w:tr w:rsidR="00D37C8F" w:rsidRPr="001C61AE" w14:paraId="08530FD0" w14:textId="77777777" w:rsidTr="00D37C8F">
        <w:trPr>
          <w:trHeight w:val="657"/>
        </w:trPr>
        <w:tc>
          <w:tcPr>
            <w:tcW w:w="971" w:type="pct"/>
            <w:vAlign w:val="center"/>
          </w:tcPr>
          <w:p w14:paraId="003C417D" w14:textId="75288ED1" w:rsidR="00D37C8F" w:rsidRPr="001C61AE" w:rsidRDefault="00EA5E5E" w:rsidP="00A70686">
            <w:pPr>
              <w:spacing w:line="240" w:lineRule="auto"/>
              <w:jc w:val="center"/>
              <w:rPr>
                <w:rFonts w:ascii="Arial" w:hAnsi="Arial" w:cs="Arial"/>
                <w:b/>
                <w:bCs/>
                <w:color w:val="22635D"/>
                <w:sz w:val="24"/>
                <w:szCs w:val="24"/>
                <w:lang w:val="sq-AL"/>
              </w:rPr>
            </w:pPr>
            <w:r w:rsidRPr="001C61AE">
              <w:rPr>
                <w:rFonts w:ascii="Arial" w:hAnsi="Arial" w:cs="Arial"/>
                <w:b/>
                <w:bCs/>
                <w:color w:val="22635D"/>
                <w:sz w:val="24"/>
                <w:szCs w:val="24"/>
                <w:lang w:val="sq-AL"/>
              </w:rPr>
              <w:t>Menaxhimi i resurseve ujore</w:t>
            </w:r>
          </w:p>
        </w:tc>
        <w:tc>
          <w:tcPr>
            <w:tcW w:w="1251" w:type="pct"/>
            <w:vAlign w:val="center"/>
          </w:tcPr>
          <w:p w14:paraId="22A903B9" w14:textId="5E62ED06" w:rsidR="00D37C8F" w:rsidRPr="001C61AE" w:rsidRDefault="00EA5E5E" w:rsidP="00A70686">
            <w:pPr>
              <w:spacing w:line="240" w:lineRule="auto"/>
              <w:jc w:val="center"/>
              <w:rPr>
                <w:rFonts w:ascii="Arial" w:hAnsi="Arial" w:cs="Arial"/>
                <w:sz w:val="20"/>
                <w:szCs w:val="20"/>
                <w:lang w:val="sq-AL"/>
              </w:rPr>
            </w:pPr>
            <w:r w:rsidRPr="001C61AE">
              <w:rPr>
                <w:rFonts w:ascii="Arial" w:hAnsi="Arial" w:cs="Arial"/>
                <w:sz w:val="20"/>
                <w:szCs w:val="20"/>
                <w:lang w:val="sq-AL"/>
              </w:rPr>
              <w:t>ARPL (Autoriteti Rajonal I Pellgjeve të Lumenjve – RBDA)</w:t>
            </w:r>
          </w:p>
        </w:tc>
        <w:tc>
          <w:tcPr>
            <w:tcW w:w="2778" w:type="pct"/>
            <w:vAlign w:val="center"/>
          </w:tcPr>
          <w:p w14:paraId="5E9585AB" w14:textId="77777777" w:rsidR="00EA5E5E" w:rsidRPr="001C61AE" w:rsidRDefault="00EA5E5E" w:rsidP="00F36447">
            <w:pPr>
              <w:pStyle w:val="ListParagraph"/>
              <w:numPr>
                <w:ilvl w:val="0"/>
                <w:numId w:val="22"/>
              </w:numPr>
              <w:spacing w:line="240" w:lineRule="auto"/>
              <w:rPr>
                <w:rFonts w:ascii="Arial" w:hAnsi="Arial" w:cs="Arial"/>
                <w:sz w:val="20"/>
                <w:szCs w:val="20"/>
                <w:lang w:val="sq-AL"/>
              </w:rPr>
            </w:pPr>
            <w:r w:rsidRPr="001C61AE">
              <w:rPr>
                <w:rFonts w:ascii="Arial" w:hAnsi="Arial" w:cs="Arial"/>
                <w:sz w:val="20"/>
                <w:szCs w:val="20"/>
                <w:lang w:val="sq-AL"/>
              </w:rPr>
              <w:t xml:space="preserve">Integrimi i parashikimeve të ndryshimeve klimatike në planet e menaxhimit të pellgjeve të lumenjve. Zbatimi i masave strukturore dhe jo-strukturore për menaxhimin e rrezikut nga përmbytjet dhe thatësirat. </w:t>
            </w:r>
          </w:p>
          <w:p w14:paraId="3DD94610" w14:textId="31E5F930" w:rsidR="00EA5E5E" w:rsidRPr="001C61AE" w:rsidRDefault="00EA5E5E" w:rsidP="00F36447">
            <w:pPr>
              <w:pStyle w:val="ListParagraph"/>
              <w:numPr>
                <w:ilvl w:val="0"/>
                <w:numId w:val="22"/>
              </w:numPr>
              <w:spacing w:line="240" w:lineRule="auto"/>
              <w:rPr>
                <w:rFonts w:ascii="Arial" w:hAnsi="Arial" w:cs="Arial"/>
                <w:sz w:val="20"/>
                <w:szCs w:val="20"/>
                <w:lang w:val="sq-AL"/>
              </w:rPr>
            </w:pPr>
            <w:r w:rsidRPr="001C61AE">
              <w:rPr>
                <w:rFonts w:ascii="Arial" w:hAnsi="Arial" w:cs="Arial"/>
                <w:sz w:val="20"/>
                <w:szCs w:val="20"/>
                <w:lang w:val="sq-AL"/>
              </w:rPr>
              <w:t>Promovimi i teknologjive dhe praktikave të kursimit të ujit në të gjithë sektorët.</w:t>
            </w:r>
          </w:p>
          <w:p w14:paraId="621C1A2F" w14:textId="170CF31E" w:rsidR="00EA5E5E" w:rsidRPr="001C61AE" w:rsidRDefault="00EA5E5E" w:rsidP="00F36447">
            <w:pPr>
              <w:pStyle w:val="ListParagraph"/>
              <w:numPr>
                <w:ilvl w:val="0"/>
                <w:numId w:val="22"/>
              </w:numPr>
              <w:spacing w:line="240" w:lineRule="auto"/>
              <w:rPr>
                <w:rFonts w:ascii="Arial" w:hAnsi="Arial" w:cs="Arial"/>
                <w:sz w:val="20"/>
                <w:szCs w:val="20"/>
                <w:lang w:val="sq-AL"/>
              </w:rPr>
            </w:pPr>
            <w:r w:rsidRPr="001C61AE">
              <w:rPr>
                <w:rFonts w:ascii="Arial" w:hAnsi="Arial" w:cs="Arial"/>
                <w:sz w:val="20"/>
                <w:szCs w:val="20"/>
                <w:lang w:val="sq-AL"/>
              </w:rPr>
              <w:t>Monitorimi i ndikimit të ndryshimeve klimatike në sasinë dhe cilësinë e ujit përmes institutit kombëtar hidrologjik dhe meteorologjik.</w:t>
            </w:r>
          </w:p>
          <w:p w14:paraId="1F86901B" w14:textId="15ABDC58" w:rsidR="00D37C8F" w:rsidRPr="001C61AE" w:rsidRDefault="00EA5E5E" w:rsidP="00F36447">
            <w:pPr>
              <w:pStyle w:val="ListParagraph"/>
              <w:numPr>
                <w:ilvl w:val="0"/>
                <w:numId w:val="22"/>
              </w:numPr>
              <w:spacing w:line="240" w:lineRule="auto"/>
              <w:rPr>
                <w:rFonts w:ascii="Arial" w:hAnsi="Arial" w:cs="Arial"/>
                <w:sz w:val="20"/>
                <w:szCs w:val="20"/>
                <w:lang w:val="sq-AL"/>
              </w:rPr>
            </w:pPr>
            <w:r w:rsidRPr="001C61AE">
              <w:rPr>
                <w:rFonts w:ascii="Arial" w:hAnsi="Arial" w:cs="Arial"/>
                <w:sz w:val="20"/>
                <w:szCs w:val="20"/>
                <w:lang w:val="sq-AL"/>
              </w:rPr>
              <w:t>Përgatitja dhe paraqitja e raporteve të rregullta të progresit mbi zbatimin e masave të përshtatjes ndaj ujit në Këshillin Kombëtar për Ndryshimet Klimatike, duke siguruar që të dhënat nga sistemet e monitorimit të jenë të arritshme publikisht përmes Sistemit të Informacionit Mjedisor (EIS)</w:t>
            </w:r>
            <w:r w:rsidR="00D37C8F" w:rsidRPr="001C61AE">
              <w:rPr>
                <w:rFonts w:ascii="Arial" w:hAnsi="Arial" w:cs="Arial"/>
                <w:sz w:val="20"/>
                <w:szCs w:val="20"/>
                <w:lang w:val="sq-AL"/>
              </w:rPr>
              <w:t>.</w:t>
            </w:r>
          </w:p>
        </w:tc>
      </w:tr>
      <w:tr w:rsidR="00D37C8F" w:rsidRPr="001C61AE" w14:paraId="72DED745" w14:textId="77777777" w:rsidTr="00D37C8F">
        <w:trPr>
          <w:trHeight w:val="657"/>
        </w:trPr>
        <w:tc>
          <w:tcPr>
            <w:tcW w:w="971" w:type="pct"/>
            <w:vAlign w:val="center"/>
          </w:tcPr>
          <w:p w14:paraId="75925448" w14:textId="2D200235" w:rsidR="00D37C8F" w:rsidRPr="001C61AE" w:rsidRDefault="00EA5E5E" w:rsidP="00A70686">
            <w:pPr>
              <w:spacing w:line="240" w:lineRule="auto"/>
              <w:jc w:val="center"/>
              <w:rPr>
                <w:rFonts w:ascii="Arial" w:hAnsi="Arial" w:cs="Arial"/>
                <w:b/>
                <w:bCs/>
                <w:color w:val="22635D"/>
                <w:sz w:val="24"/>
                <w:szCs w:val="24"/>
                <w:lang w:val="sq-AL"/>
              </w:rPr>
            </w:pPr>
            <w:r w:rsidRPr="001C61AE">
              <w:rPr>
                <w:rFonts w:ascii="Arial" w:hAnsi="Arial" w:cs="Arial"/>
                <w:b/>
                <w:bCs/>
                <w:color w:val="22635D"/>
                <w:sz w:val="24"/>
                <w:szCs w:val="24"/>
                <w:lang w:val="sq-AL"/>
              </w:rPr>
              <w:t>Sektori i Energjisë</w:t>
            </w:r>
          </w:p>
        </w:tc>
        <w:tc>
          <w:tcPr>
            <w:tcW w:w="1251" w:type="pct"/>
            <w:vAlign w:val="center"/>
          </w:tcPr>
          <w:p w14:paraId="09B8576E" w14:textId="0558EC85" w:rsidR="00D37C8F" w:rsidRPr="001C61AE" w:rsidRDefault="00EA5E5E" w:rsidP="00A70686">
            <w:pPr>
              <w:spacing w:line="240" w:lineRule="auto"/>
              <w:jc w:val="center"/>
              <w:rPr>
                <w:rFonts w:ascii="Arial" w:hAnsi="Arial" w:cs="Arial"/>
                <w:sz w:val="20"/>
                <w:szCs w:val="20"/>
                <w:lang w:val="sq-AL"/>
              </w:rPr>
            </w:pPr>
            <w:r w:rsidRPr="001C61AE">
              <w:rPr>
                <w:rFonts w:ascii="Arial" w:hAnsi="Arial" w:cs="Arial"/>
                <w:sz w:val="20"/>
                <w:szCs w:val="20"/>
                <w:lang w:val="sq-AL"/>
              </w:rPr>
              <w:t>Ministria e Ekonomisë</w:t>
            </w:r>
          </w:p>
        </w:tc>
        <w:tc>
          <w:tcPr>
            <w:tcW w:w="2778" w:type="pct"/>
            <w:vAlign w:val="center"/>
          </w:tcPr>
          <w:p w14:paraId="12DC6595" w14:textId="77777777" w:rsidR="00EA5E5E" w:rsidRPr="001C61AE" w:rsidRDefault="00EA5E5E" w:rsidP="00F36447">
            <w:pPr>
              <w:pStyle w:val="ListParagraph"/>
              <w:numPr>
                <w:ilvl w:val="0"/>
                <w:numId w:val="23"/>
              </w:numPr>
              <w:spacing w:line="240" w:lineRule="auto"/>
              <w:rPr>
                <w:rFonts w:ascii="Arial" w:hAnsi="Arial" w:cs="Arial"/>
                <w:sz w:val="20"/>
                <w:szCs w:val="20"/>
                <w:lang w:val="sq-AL"/>
              </w:rPr>
            </w:pPr>
            <w:r w:rsidRPr="001C61AE">
              <w:rPr>
                <w:rFonts w:ascii="Arial" w:hAnsi="Arial" w:cs="Arial"/>
                <w:sz w:val="20"/>
                <w:szCs w:val="20"/>
                <w:lang w:val="sq-AL"/>
              </w:rPr>
              <w:t xml:space="preserve">Integrimi i masave të përshtatjes ndaj klimës në Planin Kombëtar të Energjisë dhe Klimës (NECP) dhe politika të tjera kyçe të energjisë. </w:t>
            </w:r>
          </w:p>
          <w:p w14:paraId="3432D250" w14:textId="4E5E4DD3" w:rsidR="00EA5E5E" w:rsidRPr="001C61AE" w:rsidRDefault="00EA5E5E" w:rsidP="00F36447">
            <w:pPr>
              <w:pStyle w:val="ListParagraph"/>
              <w:numPr>
                <w:ilvl w:val="0"/>
                <w:numId w:val="23"/>
              </w:numPr>
              <w:spacing w:line="240" w:lineRule="auto"/>
              <w:rPr>
                <w:rFonts w:ascii="Arial" w:hAnsi="Arial" w:cs="Arial"/>
                <w:sz w:val="20"/>
                <w:szCs w:val="20"/>
                <w:lang w:val="sq-AL"/>
              </w:rPr>
            </w:pPr>
            <w:r w:rsidRPr="001C61AE">
              <w:rPr>
                <w:rFonts w:ascii="Arial" w:hAnsi="Arial" w:cs="Arial"/>
                <w:sz w:val="20"/>
                <w:szCs w:val="20"/>
                <w:lang w:val="sq-AL"/>
              </w:rPr>
              <w:t>Promovimi i projekteve të efikasitetit të energjisë dhe energjisë së rinovueshme që rrisin rezistencën e sistemit.</w:t>
            </w:r>
          </w:p>
          <w:p w14:paraId="1CBB2074" w14:textId="762476E4" w:rsidR="00EA5E5E" w:rsidRPr="001C61AE" w:rsidRDefault="00EA5E5E" w:rsidP="00F36447">
            <w:pPr>
              <w:pStyle w:val="ListParagraph"/>
              <w:numPr>
                <w:ilvl w:val="0"/>
                <w:numId w:val="23"/>
              </w:numPr>
              <w:spacing w:line="240" w:lineRule="auto"/>
              <w:rPr>
                <w:rFonts w:ascii="Arial" w:hAnsi="Arial" w:cs="Arial"/>
                <w:sz w:val="20"/>
                <w:szCs w:val="20"/>
                <w:lang w:val="sq-AL"/>
              </w:rPr>
            </w:pPr>
            <w:r w:rsidRPr="001C61AE">
              <w:rPr>
                <w:rFonts w:ascii="Arial" w:hAnsi="Arial" w:cs="Arial"/>
                <w:sz w:val="20"/>
                <w:szCs w:val="20"/>
                <w:lang w:val="sq-AL"/>
              </w:rPr>
              <w:t>Monitorimi i performancës së sistemit të energjisë nën stresin klimatik, duke ndjekur tregues të tillë si ndërprerjet e lidhura me motin dhe ndikimet në kapacitetin e prodhimit.</w:t>
            </w:r>
          </w:p>
          <w:p w14:paraId="78E48C14" w14:textId="345F7D7F" w:rsidR="00D37C8F" w:rsidRPr="001C61AE" w:rsidRDefault="00EA5E5E" w:rsidP="00F36447">
            <w:pPr>
              <w:pStyle w:val="ListParagraph"/>
              <w:numPr>
                <w:ilvl w:val="0"/>
                <w:numId w:val="23"/>
              </w:numPr>
              <w:spacing w:line="240" w:lineRule="auto"/>
              <w:rPr>
                <w:rFonts w:ascii="Arial" w:hAnsi="Arial" w:cs="Arial"/>
                <w:sz w:val="20"/>
                <w:szCs w:val="20"/>
                <w:lang w:val="sq-AL"/>
              </w:rPr>
            </w:pPr>
            <w:r w:rsidRPr="001C61AE">
              <w:rPr>
                <w:rFonts w:ascii="Arial" w:hAnsi="Arial" w:cs="Arial"/>
                <w:sz w:val="20"/>
                <w:szCs w:val="20"/>
                <w:lang w:val="sq-AL"/>
              </w:rPr>
              <w:lastRenderedPageBreak/>
              <w:t>Raportimi vjetor në Këshillin Kombëtar mbi progresin e zbatimit të masave brenda sektorit të energjisë, siç përshkruhet në NECP dhe Strategjinë e Energjisë.</w:t>
            </w:r>
          </w:p>
        </w:tc>
      </w:tr>
      <w:tr w:rsidR="00D37C8F" w:rsidRPr="001C61AE" w14:paraId="7DBD0896" w14:textId="77777777" w:rsidTr="00D37C8F">
        <w:trPr>
          <w:trHeight w:val="657"/>
        </w:trPr>
        <w:tc>
          <w:tcPr>
            <w:tcW w:w="971" w:type="pct"/>
            <w:vAlign w:val="center"/>
          </w:tcPr>
          <w:p w14:paraId="69F56395" w14:textId="7111A82B" w:rsidR="00D37C8F" w:rsidRPr="001C61AE" w:rsidRDefault="00EA5E5E" w:rsidP="00A70686">
            <w:pPr>
              <w:spacing w:line="240" w:lineRule="auto"/>
              <w:jc w:val="center"/>
              <w:rPr>
                <w:rFonts w:ascii="Arial" w:hAnsi="Arial" w:cs="Arial"/>
                <w:b/>
                <w:bCs/>
                <w:color w:val="22635D"/>
                <w:sz w:val="24"/>
                <w:szCs w:val="24"/>
                <w:lang w:val="sq-AL"/>
              </w:rPr>
            </w:pPr>
            <w:r w:rsidRPr="001C61AE">
              <w:rPr>
                <w:rFonts w:ascii="Arial" w:hAnsi="Arial" w:cs="Arial"/>
                <w:b/>
                <w:bCs/>
                <w:color w:val="22635D"/>
                <w:sz w:val="24"/>
                <w:szCs w:val="24"/>
                <w:lang w:val="sq-AL"/>
              </w:rPr>
              <w:lastRenderedPageBreak/>
              <w:t>Përshtatja e Sektorit të Bujqësisë dhe Pylltarisë</w:t>
            </w:r>
          </w:p>
        </w:tc>
        <w:tc>
          <w:tcPr>
            <w:tcW w:w="1251" w:type="pct"/>
            <w:vAlign w:val="center"/>
          </w:tcPr>
          <w:p w14:paraId="05FA2C2A" w14:textId="51E1F534" w:rsidR="00D37C8F" w:rsidRPr="001C61AE" w:rsidRDefault="00EA5E5E" w:rsidP="00A70686">
            <w:pPr>
              <w:spacing w:line="240" w:lineRule="auto"/>
              <w:jc w:val="center"/>
              <w:rPr>
                <w:rFonts w:ascii="Arial" w:hAnsi="Arial" w:cs="Arial"/>
                <w:sz w:val="20"/>
                <w:szCs w:val="20"/>
                <w:lang w:val="sq-AL"/>
              </w:rPr>
            </w:pPr>
            <w:r w:rsidRPr="001C61AE">
              <w:rPr>
                <w:rFonts w:ascii="Arial" w:hAnsi="Arial" w:cs="Arial"/>
                <w:sz w:val="20"/>
                <w:szCs w:val="20"/>
                <w:lang w:val="sq-AL"/>
              </w:rPr>
              <w:t>Ministria e Bujqësisë dhe Zhvillimit Rural</w:t>
            </w:r>
          </w:p>
        </w:tc>
        <w:tc>
          <w:tcPr>
            <w:tcW w:w="2778" w:type="pct"/>
            <w:vAlign w:val="center"/>
          </w:tcPr>
          <w:p w14:paraId="5FB1FFAC" w14:textId="514F1CCA" w:rsidR="00DB5FA2" w:rsidRPr="001C61AE" w:rsidRDefault="00DB5FA2" w:rsidP="00F36447">
            <w:pPr>
              <w:pStyle w:val="ListParagraph"/>
              <w:numPr>
                <w:ilvl w:val="0"/>
                <w:numId w:val="23"/>
              </w:numPr>
              <w:rPr>
                <w:rFonts w:ascii="Arial" w:hAnsi="Arial" w:cs="Arial"/>
                <w:sz w:val="20"/>
                <w:szCs w:val="20"/>
                <w:lang w:val="sq-AL"/>
              </w:rPr>
            </w:pPr>
            <w:r w:rsidRPr="001C61AE">
              <w:rPr>
                <w:rFonts w:ascii="Arial" w:hAnsi="Arial" w:cs="Arial"/>
                <w:sz w:val="20"/>
                <w:szCs w:val="20"/>
                <w:lang w:val="sq-AL"/>
              </w:rPr>
              <w:t xml:space="preserve">Promovon praktika bujqësore të qëndrueshme dhe të përshtatshme për ndryshimet klimatike (p.sh. kultura rezistente ndaj thatësirës, sisteme </w:t>
            </w:r>
            <w:r w:rsidR="00AF6C69" w:rsidRPr="001C61AE">
              <w:rPr>
                <w:rFonts w:ascii="Arial" w:hAnsi="Arial" w:cs="Arial"/>
                <w:sz w:val="20"/>
                <w:szCs w:val="20"/>
                <w:lang w:val="sq-AL"/>
              </w:rPr>
              <w:t>efiçiente</w:t>
            </w:r>
            <w:r w:rsidRPr="001C61AE">
              <w:rPr>
                <w:rFonts w:ascii="Arial" w:hAnsi="Arial" w:cs="Arial"/>
                <w:sz w:val="20"/>
                <w:szCs w:val="20"/>
                <w:lang w:val="sq-AL"/>
              </w:rPr>
              <w:t>të ujitjes).</w:t>
            </w:r>
          </w:p>
          <w:p w14:paraId="4AAA53E2" w14:textId="16C77972" w:rsidR="00DB5FA2" w:rsidRPr="001C61AE" w:rsidRDefault="00DB5FA2" w:rsidP="00F36447">
            <w:pPr>
              <w:pStyle w:val="ListParagraph"/>
              <w:numPr>
                <w:ilvl w:val="0"/>
                <w:numId w:val="23"/>
              </w:numPr>
              <w:rPr>
                <w:rFonts w:ascii="Arial" w:hAnsi="Arial" w:cs="Arial"/>
                <w:sz w:val="20"/>
                <w:szCs w:val="20"/>
                <w:lang w:val="sq-AL"/>
              </w:rPr>
            </w:pPr>
            <w:r w:rsidRPr="001C61AE">
              <w:rPr>
                <w:rFonts w:ascii="Arial" w:hAnsi="Arial" w:cs="Arial"/>
                <w:sz w:val="20"/>
                <w:szCs w:val="20"/>
                <w:lang w:val="sq-AL"/>
              </w:rPr>
              <w:t>Zbaton programe kombëtare për menaxhimin e qëndrueshëm të tokës, pyllëzimin dhe parandalimin e zjarreve në pyje.</w:t>
            </w:r>
          </w:p>
          <w:p w14:paraId="0360DC3F" w14:textId="20B9A9B0" w:rsidR="00DB5FA2" w:rsidRPr="001C61AE" w:rsidRDefault="00DB5FA2" w:rsidP="00F36447">
            <w:pPr>
              <w:pStyle w:val="ListParagraph"/>
              <w:numPr>
                <w:ilvl w:val="0"/>
                <w:numId w:val="23"/>
              </w:numPr>
              <w:rPr>
                <w:rFonts w:ascii="Arial" w:hAnsi="Arial" w:cs="Arial"/>
                <w:sz w:val="20"/>
                <w:szCs w:val="20"/>
                <w:lang w:val="sq-AL"/>
              </w:rPr>
            </w:pPr>
            <w:r w:rsidRPr="001C61AE">
              <w:rPr>
                <w:rFonts w:ascii="Arial" w:hAnsi="Arial" w:cs="Arial"/>
                <w:sz w:val="20"/>
                <w:szCs w:val="20"/>
                <w:lang w:val="sq-AL"/>
              </w:rPr>
              <w:t>Menaxhon sisteme për monitorimin e rreziqeve kryesore të lidhura me klimën, si erozioni i tokës, rreziku nga sëmundjet, dhe incidentet me zjarre në pyje. Gjithashtu ndjek shkallën e përvetësimit të praktikave të përshtatshme për klimën nga fermerët.</w:t>
            </w:r>
          </w:p>
          <w:p w14:paraId="35F7C7E9" w14:textId="20D0196E" w:rsidR="00D37C8F" w:rsidRPr="001C61AE" w:rsidRDefault="00DB5FA2" w:rsidP="00F36447">
            <w:pPr>
              <w:pStyle w:val="ListParagraph"/>
              <w:numPr>
                <w:ilvl w:val="0"/>
                <w:numId w:val="23"/>
              </w:numPr>
              <w:rPr>
                <w:rFonts w:ascii="Arial" w:hAnsi="Arial" w:cs="Arial"/>
                <w:sz w:val="20"/>
                <w:szCs w:val="20"/>
                <w:lang w:val="sq-AL"/>
              </w:rPr>
            </w:pPr>
            <w:r w:rsidRPr="001C61AE">
              <w:rPr>
                <w:rFonts w:ascii="Arial" w:hAnsi="Arial" w:cs="Arial"/>
                <w:sz w:val="20"/>
                <w:szCs w:val="20"/>
                <w:lang w:val="sq-AL"/>
              </w:rPr>
              <w:t xml:space="preserve"> Mbledh dhe analizon të dhëna mbi ndikimet klimatike në sektor dhe raporton përparimin lidhur me indikatorët e përshtatjes në Këshillin Kombëtar</w:t>
            </w:r>
            <w:r w:rsidR="00D37C8F" w:rsidRPr="001C61AE">
              <w:rPr>
                <w:rFonts w:ascii="Arial" w:hAnsi="Arial" w:cs="Arial"/>
                <w:sz w:val="20"/>
                <w:szCs w:val="20"/>
                <w:lang w:val="sq-AL"/>
              </w:rPr>
              <w:t>.</w:t>
            </w:r>
          </w:p>
        </w:tc>
      </w:tr>
      <w:tr w:rsidR="00D37C8F" w:rsidRPr="001C61AE" w14:paraId="19A3BFAB" w14:textId="77777777" w:rsidTr="00D37C8F">
        <w:trPr>
          <w:trHeight w:val="657"/>
        </w:trPr>
        <w:tc>
          <w:tcPr>
            <w:tcW w:w="971" w:type="pct"/>
            <w:vAlign w:val="center"/>
          </w:tcPr>
          <w:p w14:paraId="57FF659E" w14:textId="3863FC12" w:rsidR="00D37C8F" w:rsidRPr="001C61AE" w:rsidRDefault="00EA5E5E" w:rsidP="00A70686">
            <w:pPr>
              <w:spacing w:line="240" w:lineRule="auto"/>
              <w:jc w:val="center"/>
              <w:rPr>
                <w:rFonts w:ascii="Arial" w:hAnsi="Arial" w:cs="Arial"/>
                <w:b/>
                <w:bCs/>
                <w:color w:val="22635D"/>
                <w:sz w:val="24"/>
                <w:szCs w:val="24"/>
                <w:lang w:val="sq-AL"/>
              </w:rPr>
            </w:pPr>
            <w:r w:rsidRPr="001C61AE">
              <w:rPr>
                <w:rFonts w:ascii="Arial" w:hAnsi="Arial" w:cs="Arial"/>
                <w:b/>
                <w:bCs/>
                <w:color w:val="22635D"/>
                <w:sz w:val="24"/>
                <w:szCs w:val="24"/>
                <w:lang w:val="sq-AL"/>
              </w:rPr>
              <w:t>Përshtatja e Sektorit të Shëndetësisë dhe Social</w:t>
            </w:r>
          </w:p>
        </w:tc>
        <w:tc>
          <w:tcPr>
            <w:tcW w:w="1251" w:type="pct"/>
            <w:vAlign w:val="center"/>
          </w:tcPr>
          <w:p w14:paraId="05D6FDB8" w14:textId="77777777" w:rsidR="00FE1773" w:rsidRPr="001C61AE" w:rsidRDefault="00EA5E5E" w:rsidP="00A70686">
            <w:pPr>
              <w:spacing w:line="240" w:lineRule="auto"/>
              <w:jc w:val="center"/>
              <w:rPr>
                <w:rFonts w:ascii="Arial" w:hAnsi="Arial" w:cs="Arial"/>
                <w:sz w:val="20"/>
                <w:szCs w:val="20"/>
                <w:lang w:val="sq-AL"/>
              </w:rPr>
            </w:pPr>
            <w:r w:rsidRPr="001C61AE">
              <w:rPr>
                <w:rFonts w:ascii="Arial" w:hAnsi="Arial" w:cs="Arial"/>
                <w:sz w:val="20"/>
                <w:szCs w:val="20"/>
                <w:lang w:val="sq-AL"/>
              </w:rPr>
              <w:t>Ministria e Shëndetësisë</w:t>
            </w:r>
          </w:p>
          <w:p w14:paraId="7BEA3370" w14:textId="49182090" w:rsidR="00D37C8F" w:rsidRPr="001C61AE" w:rsidRDefault="004E5F15" w:rsidP="00A70686">
            <w:pPr>
              <w:spacing w:line="240" w:lineRule="auto"/>
              <w:jc w:val="center"/>
              <w:rPr>
                <w:rFonts w:ascii="Arial" w:hAnsi="Arial" w:cs="Arial"/>
                <w:color w:val="FF0000"/>
                <w:sz w:val="20"/>
                <w:szCs w:val="20"/>
                <w:lang w:val="sq-AL"/>
              </w:rPr>
            </w:pPr>
            <w:r w:rsidRPr="001C61AE">
              <w:rPr>
                <w:rFonts w:ascii="Arial" w:hAnsi="Arial" w:cs="Arial"/>
                <w:sz w:val="20"/>
                <w:szCs w:val="20"/>
                <w:lang w:val="sq-AL"/>
              </w:rPr>
              <w:t>Ministria e Financave, Pun</w:t>
            </w:r>
            <w:r w:rsidR="0041538B" w:rsidRPr="001C61AE">
              <w:rPr>
                <w:rFonts w:ascii="Arial" w:hAnsi="Arial" w:cs="Arial"/>
                <w:sz w:val="20"/>
                <w:szCs w:val="20"/>
                <w:lang w:val="sq-AL"/>
              </w:rPr>
              <w:t>ë</w:t>
            </w:r>
            <w:r w:rsidRPr="001C61AE">
              <w:rPr>
                <w:rFonts w:ascii="Arial" w:hAnsi="Arial" w:cs="Arial"/>
                <w:sz w:val="20"/>
                <w:szCs w:val="20"/>
                <w:lang w:val="sq-AL"/>
              </w:rPr>
              <w:t>s dhe Transfereve</w:t>
            </w:r>
            <w:r w:rsidR="00AB6E2D" w:rsidRPr="001C61AE">
              <w:rPr>
                <w:rFonts w:ascii="Arial" w:hAnsi="Arial" w:cs="Arial"/>
                <w:sz w:val="20"/>
                <w:szCs w:val="20"/>
                <w:lang w:val="sq-AL"/>
              </w:rPr>
              <w:t xml:space="preserve"> </w:t>
            </w:r>
          </w:p>
        </w:tc>
        <w:tc>
          <w:tcPr>
            <w:tcW w:w="2778" w:type="pct"/>
            <w:vAlign w:val="center"/>
          </w:tcPr>
          <w:p w14:paraId="40B26326" w14:textId="6013EFB5" w:rsidR="00DB5FA2" w:rsidRPr="001C61AE" w:rsidRDefault="00DB5FA2" w:rsidP="00F36447">
            <w:pPr>
              <w:pStyle w:val="ListParagraph"/>
              <w:numPr>
                <w:ilvl w:val="0"/>
                <w:numId w:val="24"/>
              </w:numPr>
              <w:rPr>
                <w:rFonts w:ascii="Arial" w:hAnsi="Arial" w:cs="Arial"/>
                <w:sz w:val="20"/>
                <w:szCs w:val="20"/>
                <w:lang w:val="sq-AL"/>
              </w:rPr>
            </w:pPr>
            <w:r w:rsidRPr="001C61AE">
              <w:rPr>
                <w:rFonts w:ascii="Arial" w:hAnsi="Arial" w:cs="Arial"/>
                <w:sz w:val="20"/>
                <w:szCs w:val="20"/>
                <w:lang w:val="sq-AL"/>
              </w:rPr>
              <w:t>Zbaton Planin Kombëtar të Veprimit për Përshtatjen në Shëndetësi. Forcon sistemet e paralajmërimit të hershëm për rreziqe shëndetësore të ndjeshme ndaj klimës, si valët e të nxehtit, përmbytjet dhe sëmundjet që transmetohen nga vektorët.</w:t>
            </w:r>
          </w:p>
          <w:p w14:paraId="169288AE" w14:textId="03332BDF" w:rsidR="00DB5FA2" w:rsidRPr="001C61AE" w:rsidRDefault="00DB5FA2" w:rsidP="00F36447">
            <w:pPr>
              <w:pStyle w:val="ListParagraph"/>
              <w:numPr>
                <w:ilvl w:val="0"/>
                <w:numId w:val="24"/>
              </w:numPr>
              <w:rPr>
                <w:rFonts w:ascii="Arial" w:hAnsi="Arial" w:cs="Arial"/>
                <w:sz w:val="20"/>
                <w:szCs w:val="20"/>
                <w:lang w:val="sq-AL"/>
              </w:rPr>
            </w:pPr>
            <w:r w:rsidRPr="001C61AE">
              <w:rPr>
                <w:rFonts w:ascii="Arial" w:hAnsi="Arial" w:cs="Arial"/>
                <w:sz w:val="20"/>
                <w:szCs w:val="20"/>
                <w:lang w:val="sq-AL"/>
              </w:rPr>
              <w:t>Kryen mbikëqyrje dhe monitoron incidencën e sëmundjeve të ndjeshme ndaj klimës dhe ndikimet shëndetësore nga ngjarjet ekstreme klimatike. Vlerëson efektivitetin e ndërhyrjeve të shëndetit publik dhe sistemeve të paralajmërimit të hershëm.</w:t>
            </w:r>
          </w:p>
          <w:p w14:paraId="20E8AF8F" w14:textId="52EC5820" w:rsidR="00D37C8F" w:rsidRPr="001C61AE" w:rsidRDefault="00DB5FA2" w:rsidP="00F36447">
            <w:pPr>
              <w:pStyle w:val="ListParagraph"/>
              <w:numPr>
                <w:ilvl w:val="0"/>
                <w:numId w:val="24"/>
              </w:numPr>
              <w:rPr>
                <w:rFonts w:ascii="Arial" w:hAnsi="Arial" w:cs="Arial"/>
                <w:sz w:val="20"/>
                <w:szCs w:val="20"/>
                <w:lang w:val="sq-AL"/>
              </w:rPr>
            </w:pPr>
            <w:r w:rsidRPr="001C61AE">
              <w:rPr>
                <w:rFonts w:ascii="Arial" w:hAnsi="Arial" w:cs="Arial"/>
                <w:sz w:val="20"/>
                <w:szCs w:val="20"/>
                <w:lang w:val="sq-AL"/>
              </w:rPr>
              <w:t>Përgatit raporte periodike për Këshillin Kombëtar mbi situatën e rreziqeve klimatike në shëndetësi dhe përparimin në zbatimin e masave të përshtatjes në këtë sektor.</w:t>
            </w:r>
          </w:p>
        </w:tc>
      </w:tr>
    </w:tbl>
    <w:p w14:paraId="3BA96F5B" w14:textId="06DE93B6" w:rsidR="00982FBC" w:rsidRPr="001C61AE" w:rsidRDefault="00883FFD" w:rsidP="001C61AE">
      <w:pPr>
        <w:pStyle w:val="Heading2"/>
        <w:rPr>
          <w:rFonts w:ascii="Arial" w:hAnsi="Arial" w:cs="Arial"/>
          <w:lang w:val="sq-AL"/>
        </w:rPr>
      </w:pPr>
      <w:bookmarkStart w:id="97" w:name="_Toc211532717"/>
      <w:bookmarkEnd w:id="96"/>
      <w:r w:rsidRPr="001C61AE">
        <w:rPr>
          <w:rFonts w:ascii="Arial" w:hAnsi="Arial" w:cs="Arial"/>
          <w:lang w:val="sq-AL"/>
        </w:rPr>
        <w:t>M</w:t>
      </w:r>
      <w:r w:rsidR="00982FBC" w:rsidRPr="001C61AE">
        <w:rPr>
          <w:rFonts w:ascii="Arial" w:hAnsi="Arial" w:cs="Arial"/>
          <w:lang w:val="sq-AL"/>
        </w:rPr>
        <w:t>onitori</w:t>
      </w:r>
      <w:r w:rsidR="00DB5FA2" w:rsidRPr="001C61AE">
        <w:rPr>
          <w:rFonts w:ascii="Arial" w:hAnsi="Arial" w:cs="Arial"/>
          <w:lang w:val="sq-AL"/>
        </w:rPr>
        <w:t>mi dhe raportimi</w:t>
      </w:r>
      <w:bookmarkEnd w:id="97"/>
    </w:p>
    <w:p w14:paraId="72BF0C95" w14:textId="1EB9DD3D" w:rsidR="00335320" w:rsidRPr="001C61AE" w:rsidRDefault="00335320" w:rsidP="00335320">
      <w:pPr>
        <w:spacing w:before="0" w:line="278" w:lineRule="auto"/>
        <w:jc w:val="both"/>
        <w:rPr>
          <w:rFonts w:ascii="Arial" w:hAnsi="Arial" w:cs="Arial"/>
          <w:lang w:val="sq-AL"/>
        </w:rPr>
      </w:pPr>
      <w:r w:rsidRPr="001C61AE">
        <w:rPr>
          <w:rFonts w:ascii="Arial" w:hAnsi="Arial" w:cs="Arial"/>
          <w:lang w:val="sq-AL"/>
        </w:rPr>
        <w:t>Për të siguruar zbatimin efektiv të Strategjisë, kërkohet jo vetëm përcaktimi i qartë i roleve institucionale, por edhe një sistem i fortë për monitorimin e përparimit dhe raportimin mbi arritjet. Siç është theksuar në seksionin paraprak, ministritë udhëheqëse të përcaktuara për secilin sektor mbajnë përgjegjësinë kryesore për mbikëqyrjen e zbatimit, monitorimit dhe raportimit të veprimeve për përshtatje klimatike. Këto njësi duhet të koordinohen ngushtë me agjencitë mbështetëse, ministritë sektoriale dhe palët e interesit për të gjeneruar, verifikuar dhe shpërndarë informacion të kohës dhe të rëndësishëm për vendimmarrje.</w:t>
      </w:r>
    </w:p>
    <w:p w14:paraId="26529728" w14:textId="77777777" w:rsidR="00335320" w:rsidRPr="001C61AE" w:rsidRDefault="00335320" w:rsidP="00335320">
      <w:pPr>
        <w:spacing w:before="0" w:line="278" w:lineRule="auto"/>
        <w:jc w:val="both"/>
        <w:rPr>
          <w:rFonts w:ascii="Arial" w:hAnsi="Arial" w:cs="Arial"/>
          <w:lang w:val="sq-AL"/>
        </w:rPr>
      </w:pPr>
      <w:r w:rsidRPr="001C61AE">
        <w:rPr>
          <w:rFonts w:ascii="Arial" w:hAnsi="Arial" w:cs="Arial"/>
          <w:lang w:val="sq-AL"/>
        </w:rPr>
        <w:t>Një kornizë e fuqishme monitorimi është thelbësore për të vlerësuar nëse objektivat e përshtatjes janë duke u përmbushur, për të mbështetur vendimmarrjen e bazuar në prova dhe për të mundësuar përshtatje në kohë ndaj rreziqeve klimatike që janë në zhvillim. Monitorimi u mundëson institucioneve të verifikojnë zbatimin efektiv të veprimeve të planifikuara, të matin përparimin drejt rezultateve sektoriale dhe kombëtare, dhe të identifikojnë fushat që kërkojnë mbështetje shtesë ose masa korrigjuese – veçanërisht të rëndësishme në kontekstin e ndryshimeve klimatike, ku ndikimet janë dinamike.</w:t>
      </w:r>
    </w:p>
    <w:p w14:paraId="497DAA14" w14:textId="77777777" w:rsidR="00335320" w:rsidRPr="001C61AE" w:rsidRDefault="00335320" w:rsidP="00335320">
      <w:pPr>
        <w:spacing w:before="0" w:line="278" w:lineRule="auto"/>
        <w:jc w:val="both"/>
        <w:rPr>
          <w:rFonts w:ascii="Arial" w:hAnsi="Arial" w:cs="Arial"/>
          <w:lang w:val="sq-AL"/>
        </w:rPr>
      </w:pPr>
      <w:r w:rsidRPr="001C61AE">
        <w:rPr>
          <w:rFonts w:ascii="Arial" w:hAnsi="Arial" w:cs="Arial"/>
          <w:lang w:val="sq-AL"/>
        </w:rPr>
        <w:t xml:space="preserve">Po aq kritik është edhe krijimi i </w:t>
      </w:r>
      <w:r w:rsidRPr="001C61AE">
        <w:rPr>
          <w:rFonts w:ascii="Arial" w:hAnsi="Arial" w:cs="Arial"/>
          <w:b/>
          <w:bCs/>
          <w:lang w:val="sq-AL"/>
        </w:rPr>
        <w:t>mekanizmave transparentë dhe të qëndrueshëm të raportimit,</w:t>
      </w:r>
      <w:r w:rsidRPr="001C61AE">
        <w:rPr>
          <w:rFonts w:ascii="Arial" w:hAnsi="Arial" w:cs="Arial"/>
          <w:lang w:val="sq-AL"/>
        </w:rPr>
        <w:t xml:space="preserve"> që konsolidojnë informacionin nga proceset e zbatimit dhe monitorimit dhe sigurojnë komunikimin e tij tek </w:t>
      </w:r>
      <w:r w:rsidRPr="001C61AE">
        <w:rPr>
          <w:rFonts w:ascii="Arial" w:hAnsi="Arial" w:cs="Arial"/>
          <w:lang w:val="sq-AL"/>
        </w:rPr>
        <w:lastRenderedPageBreak/>
        <w:t>institucionet përkatëse, vendimmarrësit dhe publiku. Raportimi mbështet jo vetëm qeverisjen klimatike vendore të Kosovës, por edhe angazhimet ndërkombëtare të saj.</w:t>
      </w:r>
    </w:p>
    <w:p w14:paraId="74F2A538" w14:textId="6E34FAEE" w:rsidR="00335320" w:rsidRPr="001C61AE" w:rsidRDefault="00335320" w:rsidP="00335320">
      <w:pPr>
        <w:spacing w:before="0" w:line="278" w:lineRule="auto"/>
        <w:jc w:val="both"/>
        <w:rPr>
          <w:rFonts w:ascii="Arial" w:hAnsi="Arial" w:cs="Arial"/>
          <w:lang w:val="sq-AL"/>
        </w:rPr>
      </w:pPr>
      <w:r w:rsidRPr="001C61AE">
        <w:rPr>
          <w:rFonts w:ascii="Arial" w:hAnsi="Arial" w:cs="Arial"/>
          <w:lang w:val="sq-AL"/>
        </w:rPr>
        <w:t>Në përputhje me nenin 16 të Udhëzimit Administrativ për dokumentet strategjike</w:t>
      </w:r>
      <w:bookmarkStart w:id="98" w:name="_Ref207894868"/>
      <w:r w:rsidR="00483203" w:rsidRPr="001C61AE">
        <w:rPr>
          <w:rStyle w:val="FootnoteReference"/>
          <w:rFonts w:ascii="Arial" w:hAnsi="Arial" w:cs="Arial"/>
          <w:lang w:val="sq-AL"/>
        </w:rPr>
        <w:footnoteReference w:id="84"/>
      </w:r>
      <w:bookmarkEnd w:id="98"/>
      <w:r w:rsidRPr="001C61AE">
        <w:rPr>
          <w:rFonts w:ascii="Arial" w:hAnsi="Arial" w:cs="Arial"/>
          <w:lang w:val="sq-AL"/>
        </w:rPr>
        <w:t xml:space="preserve">, procesi i monitorimit dhe raportimit për </w:t>
      </w:r>
      <w:r w:rsidR="00020C31" w:rsidRPr="001C61AE">
        <w:rPr>
          <w:rFonts w:ascii="Arial" w:hAnsi="Arial" w:cs="Arial"/>
          <w:lang w:val="sq-AL"/>
        </w:rPr>
        <w:t xml:space="preserve">Strategjinë </w:t>
      </w:r>
      <w:r w:rsidRPr="001C61AE">
        <w:rPr>
          <w:rFonts w:ascii="Arial" w:hAnsi="Arial" w:cs="Arial"/>
          <w:lang w:val="sq-AL"/>
        </w:rPr>
        <w:t>do të ndjekë protokollin kombëtar, përfshirë:</w:t>
      </w:r>
    </w:p>
    <w:p w14:paraId="1BB93B06" w14:textId="77777777" w:rsidR="00335320" w:rsidRPr="001C61AE" w:rsidRDefault="00335320" w:rsidP="00F36447">
      <w:pPr>
        <w:numPr>
          <w:ilvl w:val="0"/>
          <w:numId w:val="46"/>
        </w:numPr>
        <w:spacing w:before="0" w:line="278" w:lineRule="auto"/>
        <w:jc w:val="both"/>
        <w:rPr>
          <w:rFonts w:ascii="Arial" w:hAnsi="Arial" w:cs="Arial"/>
          <w:lang w:val="sq-AL"/>
        </w:rPr>
      </w:pPr>
      <w:r w:rsidRPr="001C61AE">
        <w:rPr>
          <w:rFonts w:ascii="Arial" w:hAnsi="Arial" w:cs="Arial"/>
          <w:b/>
          <w:bCs/>
          <w:lang w:val="sq-AL"/>
        </w:rPr>
        <w:t>Raportet vjetore për Planin e Veprimit</w:t>
      </w:r>
      <w:r w:rsidRPr="001C61AE">
        <w:rPr>
          <w:rFonts w:ascii="Arial" w:hAnsi="Arial" w:cs="Arial"/>
          <w:lang w:val="sq-AL"/>
        </w:rPr>
        <w:t>, të fokusuara në statusin e zbatimit të masave të përshtatjes, identifikimin e vonesave ose pengesave, dhe hapat korrigjues. Këto përgatiten në fund të çdo viti nga ministria udhëheqëse, bazuar në kontributet nga institucionet zbatuese, dhe dorëzohen tek trupi ndërministror për koordinim dhe miratohen nga Sekretari i Përgjithshëm i ministrisë udhëheqëse.</w:t>
      </w:r>
    </w:p>
    <w:p w14:paraId="2C1A1B64" w14:textId="77777777" w:rsidR="00335320" w:rsidRPr="001C61AE" w:rsidRDefault="00335320" w:rsidP="00F36447">
      <w:pPr>
        <w:numPr>
          <w:ilvl w:val="0"/>
          <w:numId w:val="46"/>
        </w:numPr>
        <w:spacing w:before="0" w:line="278" w:lineRule="auto"/>
        <w:jc w:val="both"/>
        <w:rPr>
          <w:rFonts w:ascii="Arial" w:hAnsi="Arial" w:cs="Arial"/>
          <w:lang w:val="sq-AL"/>
        </w:rPr>
      </w:pPr>
      <w:r w:rsidRPr="001C61AE">
        <w:rPr>
          <w:rFonts w:ascii="Arial" w:hAnsi="Arial" w:cs="Arial"/>
          <w:b/>
          <w:bCs/>
          <w:lang w:val="sq-AL"/>
        </w:rPr>
        <w:t>Raportet vjetore për Dokumentin Strategjik</w:t>
      </w:r>
      <w:r w:rsidRPr="001C61AE">
        <w:rPr>
          <w:rFonts w:ascii="Arial" w:hAnsi="Arial" w:cs="Arial"/>
          <w:lang w:val="sq-AL"/>
        </w:rPr>
        <w:t>, përgatiten nga ministria udhëheqëse dhe dorëzohen deri në fund të tremujorit të parë të vitit pasardhës. Këto raporte vlerësojnë përparimin drejt objektivave strategjike dhe treguesve, ecurinë e aktiviteteve, realizimin financiar, sfidat e zbatimit dhe japin rekomandime për masa korrigjuese. Pas miratimit nga trupi ndërministror për koordinim, raporti dorëzohet në Komitetin për Planifikim Strategjik (KPS) për shqyrtim dhe vendimmarrje.</w:t>
      </w:r>
    </w:p>
    <w:p w14:paraId="00998660" w14:textId="018B8176" w:rsidR="00335320" w:rsidRPr="001C61AE" w:rsidRDefault="00335320" w:rsidP="00F36447">
      <w:pPr>
        <w:numPr>
          <w:ilvl w:val="0"/>
          <w:numId w:val="46"/>
        </w:numPr>
        <w:spacing w:before="0" w:line="278" w:lineRule="auto"/>
        <w:jc w:val="both"/>
        <w:rPr>
          <w:rFonts w:ascii="Arial" w:hAnsi="Arial" w:cs="Arial"/>
          <w:lang w:val="sq-AL"/>
        </w:rPr>
      </w:pPr>
      <w:r w:rsidRPr="001C61AE">
        <w:rPr>
          <w:rFonts w:ascii="Arial" w:hAnsi="Arial" w:cs="Arial"/>
          <w:b/>
          <w:bCs/>
          <w:lang w:val="sq-AL"/>
        </w:rPr>
        <w:t>Raporti Përfundimtar</w:t>
      </w:r>
      <w:r w:rsidRPr="001C61AE">
        <w:rPr>
          <w:rFonts w:ascii="Arial" w:hAnsi="Arial" w:cs="Arial"/>
          <w:lang w:val="sq-AL"/>
        </w:rPr>
        <w:t xml:space="preserve">, përgatitet brenda tre muajve pas përfundimit të periudhës së zbatimit të </w:t>
      </w:r>
      <w:r w:rsidR="00020C31" w:rsidRPr="001C61AE">
        <w:rPr>
          <w:rFonts w:ascii="Arial" w:hAnsi="Arial" w:cs="Arial"/>
          <w:lang w:val="sq-AL"/>
        </w:rPr>
        <w:t>Strategjisë</w:t>
      </w:r>
      <w:r w:rsidRPr="001C61AE">
        <w:rPr>
          <w:rFonts w:ascii="Arial" w:hAnsi="Arial" w:cs="Arial"/>
          <w:lang w:val="sq-AL"/>
        </w:rPr>
        <w:t>. Ky raport do të ofrojë një vlerësim të plotë të rezultateve të strategjisë, bazuar në realizimin e veprimeve dhe performancën e treguesve, dhe do të përfshijë rekomandime për korniza pasuese ose ndjekëse. Zyra për Planifikim Strategjik (ZPS) do ta shqyrtojë raportin përfundimtar dhe mund të dorëzojë një vlerësim të pavarur tek KPS nëse është e nevojshme.</w:t>
      </w:r>
    </w:p>
    <w:p w14:paraId="1CC4C973" w14:textId="77777777" w:rsidR="00335320" w:rsidRPr="001C61AE" w:rsidRDefault="00335320" w:rsidP="00F36447">
      <w:pPr>
        <w:numPr>
          <w:ilvl w:val="0"/>
          <w:numId w:val="46"/>
        </w:numPr>
        <w:spacing w:before="0" w:line="278" w:lineRule="auto"/>
        <w:jc w:val="both"/>
        <w:rPr>
          <w:rFonts w:ascii="Arial" w:hAnsi="Arial" w:cs="Arial"/>
          <w:lang w:val="sq-AL"/>
        </w:rPr>
      </w:pPr>
      <w:r w:rsidRPr="001C61AE">
        <w:rPr>
          <w:rFonts w:ascii="Arial" w:hAnsi="Arial" w:cs="Arial"/>
          <w:b/>
          <w:bCs/>
          <w:lang w:val="sq-AL"/>
        </w:rPr>
        <w:t>Raporti Vjetor i Përgjithshëm</w:t>
      </w:r>
      <w:r w:rsidRPr="001C61AE">
        <w:rPr>
          <w:rFonts w:ascii="Arial" w:hAnsi="Arial" w:cs="Arial"/>
          <w:lang w:val="sq-AL"/>
        </w:rPr>
        <w:t>, përpilohet nga ZPS dhe bazohet në të gjitha raportet sektoriale të përparimit. Ky metaanalizë krahason progresin përtej dokumenteve strategjike, identifikon boshllëqe sistemike në zbatim dhe nxjerr në pah përputhjen strategjike (ose mospërputhjen) me Strategjinë Kombëtare të Zhvillimit dhe prioritetet e Qeverisë.</w:t>
      </w:r>
    </w:p>
    <w:p w14:paraId="4470F993" w14:textId="5FF24F3A" w:rsidR="00335320" w:rsidRPr="001C61AE" w:rsidRDefault="00335320" w:rsidP="00335320">
      <w:pPr>
        <w:spacing w:before="0" w:line="278" w:lineRule="auto"/>
        <w:jc w:val="both"/>
        <w:rPr>
          <w:rFonts w:ascii="Arial" w:hAnsi="Arial" w:cs="Arial"/>
          <w:lang w:val="sq-AL"/>
        </w:rPr>
      </w:pPr>
      <w:r w:rsidRPr="001C61AE">
        <w:rPr>
          <w:rFonts w:ascii="Arial" w:hAnsi="Arial" w:cs="Arial"/>
          <w:lang w:val="sq-AL"/>
        </w:rPr>
        <w:t xml:space="preserve">Paralelisht me këto kërkesa kombëtare për raportim, </w:t>
      </w:r>
      <w:r w:rsidR="00020C31" w:rsidRPr="001C61AE">
        <w:rPr>
          <w:rFonts w:ascii="Arial" w:hAnsi="Arial" w:cs="Arial"/>
          <w:lang w:val="sq-AL"/>
        </w:rPr>
        <w:t>Strategjia</w:t>
      </w:r>
      <w:r w:rsidRPr="001C61AE">
        <w:rPr>
          <w:rFonts w:ascii="Arial" w:hAnsi="Arial" w:cs="Arial"/>
          <w:lang w:val="sq-AL"/>
        </w:rPr>
        <w:t xml:space="preserve"> integron një kornizë të veçantë monitorimi për secilin nga katër sektorët prioritarë. Këto korniza përfshijnë:</w:t>
      </w:r>
    </w:p>
    <w:p w14:paraId="3D23559B" w14:textId="77777777" w:rsidR="00335320" w:rsidRPr="001C61AE" w:rsidRDefault="00335320" w:rsidP="00F36447">
      <w:pPr>
        <w:numPr>
          <w:ilvl w:val="0"/>
          <w:numId w:val="47"/>
        </w:numPr>
        <w:spacing w:before="0" w:line="278" w:lineRule="auto"/>
        <w:jc w:val="both"/>
        <w:rPr>
          <w:rFonts w:ascii="Arial" w:hAnsi="Arial" w:cs="Arial"/>
          <w:lang w:val="sq-AL"/>
        </w:rPr>
      </w:pPr>
      <w:r w:rsidRPr="001C61AE">
        <w:rPr>
          <w:rFonts w:ascii="Arial" w:hAnsi="Arial" w:cs="Arial"/>
          <w:lang w:val="sq-AL"/>
        </w:rPr>
        <w:t>Objektivat specifikë dhe treguesit përkatës;</w:t>
      </w:r>
    </w:p>
    <w:p w14:paraId="0F97EB56" w14:textId="77777777" w:rsidR="00335320" w:rsidRPr="001C61AE" w:rsidRDefault="00335320" w:rsidP="00F36447">
      <w:pPr>
        <w:numPr>
          <w:ilvl w:val="0"/>
          <w:numId w:val="47"/>
        </w:numPr>
        <w:spacing w:before="0" w:line="278" w:lineRule="auto"/>
        <w:jc w:val="both"/>
        <w:rPr>
          <w:rFonts w:ascii="Arial" w:hAnsi="Arial" w:cs="Arial"/>
          <w:lang w:val="sq-AL"/>
        </w:rPr>
      </w:pPr>
      <w:r w:rsidRPr="001C61AE">
        <w:rPr>
          <w:rFonts w:ascii="Arial" w:hAnsi="Arial" w:cs="Arial"/>
          <w:lang w:val="sq-AL"/>
        </w:rPr>
        <w:t>Vlerat fillestare (baseline) ndaj të cilave do të matet përparimi;</w:t>
      </w:r>
    </w:p>
    <w:p w14:paraId="522BF56B" w14:textId="77777777" w:rsidR="00335320" w:rsidRPr="001C61AE" w:rsidRDefault="00335320" w:rsidP="00F36447">
      <w:pPr>
        <w:numPr>
          <w:ilvl w:val="0"/>
          <w:numId w:val="47"/>
        </w:numPr>
        <w:spacing w:before="0" w:line="278" w:lineRule="auto"/>
        <w:jc w:val="both"/>
        <w:rPr>
          <w:rFonts w:ascii="Arial" w:hAnsi="Arial" w:cs="Arial"/>
          <w:lang w:val="sq-AL"/>
        </w:rPr>
      </w:pPr>
      <w:r w:rsidRPr="001C61AE">
        <w:rPr>
          <w:rFonts w:ascii="Arial" w:hAnsi="Arial" w:cs="Arial"/>
          <w:lang w:val="sq-AL"/>
        </w:rPr>
        <w:t>Objektiva të matshme dhe të kufizuara në kohë;</w:t>
      </w:r>
    </w:p>
    <w:p w14:paraId="594E33F3" w14:textId="2A9FE4DD" w:rsidR="0066546C" w:rsidRPr="001C61AE" w:rsidRDefault="00335320" w:rsidP="008E17FD">
      <w:pPr>
        <w:spacing w:before="0" w:line="278" w:lineRule="auto"/>
        <w:jc w:val="both"/>
        <w:rPr>
          <w:rFonts w:ascii="Arial" w:hAnsi="Arial" w:cs="Arial"/>
          <w:lang w:val="sq-AL"/>
        </w:rPr>
      </w:pPr>
      <w:r w:rsidRPr="001C61AE">
        <w:rPr>
          <w:rFonts w:ascii="Arial" w:hAnsi="Arial" w:cs="Arial"/>
          <w:lang w:val="sq-AL"/>
        </w:rPr>
        <w:t>Së bashku, këto korniza sektoriale përbëjnë themelin për ndjekje të vazhdueshme, të qëndrueshme dhe transparente të performancës, dhe kontribuojnë në të nxënit strategjik përgjatë peizazhit të përshtatjes klimatike në Kosovë</w:t>
      </w:r>
      <w:r w:rsidR="0066546C" w:rsidRPr="001C61AE">
        <w:rPr>
          <w:rFonts w:ascii="Arial" w:hAnsi="Arial" w:cs="Arial"/>
          <w:lang w:val="sq-AL"/>
        </w:rPr>
        <w:t>.</w:t>
      </w:r>
    </w:p>
    <w:p w14:paraId="2BC33A9F" w14:textId="61B5D5C3" w:rsidR="001D4FA1" w:rsidRPr="001C61AE" w:rsidRDefault="00DB5FA2" w:rsidP="001C61AE">
      <w:pPr>
        <w:pStyle w:val="Heading3"/>
        <w:rPr>
          <w:rFonts w:ascii="Arial" w:hAnsi="Arial" w:cs="Arial"/>
          <w:lang w:val="sq-AL"/>
        </w:rPr>
      </w:pPr>
      <w:bookmarkStart w:id="99" w:name="_Toc211532718"/>
      <w:r w:rsidRPr="001C61AE">
        <w:rPr>
          <w:rFonts w:ascii="Arial" w:hAnsi="Arial" w:cs="Arial"/>
          <w:lang w:val="sq-AL"/>
        </w:rPr>
        <w:t>Menaxhimi i Resurseve Ujore</w:t>
      </w:r>
      <w:bookmarkEnd w:id="99"/>
    </w:p>
    <w:tbl>
      <w:tblPr>
        <w:tblStyle w:val="PlainTable1"/>
        <w:tblW w:w="5000" w:type="pct"/>
        <w:tblBorders>
          <w:top w:val="single" w:sz="4" w:space="0" w:color="0F4761"/>
          <w:left w:val="single" w:sz="4" w:space="0" w:color="0F4761"/>
          <w:bottom w:val="single" w:sz="4" w:space="0" w:color="0F4761"/>
          <w:right w:val="single" w:sz="4" w:space="0" w:color="0F4761"/>
          <w:insideH w:val="single" w:sz="4" w:space="0" w:color="0F4761"/>
          <w:insideV w:val="single" w:sz="4" w:space="0" w:color="0F4761"/>
        </w:tblBorders>
        <w:tblLook w:val="04A0" w:firstRow="1" w:lastRow="0" w:firstColumn="1" w:lastColumn="0" w:noHBand="0" w:noVBand="1"/>
      </w:tblPr>
      <w:tblGrid>
        <w:gridCol w:w="1639"/>
        <w:gridCol w:w="1684"/>
        <w:gridCol w:w="1909"/>
        <w:gridCol w:w="2165"/>
        <w:gridCol w:w="2799"/>
      </w:tblGrid>
      <w:tr w:rsidR="00C65386" w:rsidRPr="001C61AE" w14:paraId="38D53C02" w14:textId="77777777" w:rsidTr="00C653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22635D"/>
            <w:vAlign w:val="center"/>
            <w:hideMark/>
          </w:tcPr>
          <w:p w14:paraId="6572CB17" w14:textId="11C1E9B3" w:rsidR="006B13EF" w:rsidRPr="001C61AE" w:rsidRDefault="007C0662" w:rsidP="00A70686">
            <w:pPr>
              <w:spacing w:before="0" w:line="240" w:lineRule="auto"/>
              <w:jc w:val="center"/>
              <w:rPr>
                <w:rFonts w:ascii="Arial" w:eastAsia="Myriad Pro" w:hAnsi="Arial" w:cs="Arial"/>
                <w:color w:val="FFFFFF" w:themeColor="background1"/>
                <w:sz w:val="20"/>
                <w:szCs w:val="20"/>
                <w:lang w:val="sq-AL"/>
              </w:rPr>
            </w:pPr>
            <w:r w:rsidRPr="001C61AE">
              <w:rPr>
                <w:rFonts w:ascii="Arial" w:eastAsia="Myriad Pro" w:hAnsi="Arial" w:cs="Arial"/>
                <w:color w:val="FFFFFF" w:themeColor="background1"/>
                <w:sz w:val="20"/>
                <w:szCs w:val="20"/>
                <w:lang w:val="sq-AL"/>
              </w:rPr>
              <w:t>Treguesit për Objektivat Specifike</w:t>
            </w:r>
          </w:p>
        </w:tc>
        <w:tc>
          <w:tcPr>
            <w:tcW w:w="0" w:type="pct"/>
            <w:shd w:val="clear" w:color="auto" w:fill="22635D"/>
            <w:vAlign w:val="center"/>
            <w:hideMark/>
          </w:tcPr>
          <w:p w14:paraId="7FE61AED" w14:textId="59D0087B" w:rsidR="006B13EF" w:rsidRPr="001C61AE" w:rsidRDefault="006B13EF" w:rsidP="00A7068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Myriad Pro" w:hAnsi="Arial" w:cs="Arial"/>
                <w:color w:val="FFFFFF" w:themeColor="background1"/>
                <w:sz w:val="20"/>
                <w:szCs w:val="20"/>
                <w:lang w:val="sq-AL"/>
              </w:rPr>
            </w:pPr>
            <w:r w:rsidRPr="001C61AE">
              <w:rPr>
                <w:rFonts w:ascii="Arial" w:hAnsi="Arial" w:cs="Arial"/>
                <w:color w:val="FFFFFF" w:themeColor="background1"/>
                <w:sz w:val="20"/>
                <w:szCs w:val="20"/>
                <w:lang w:val="sq-AL"/>
              </w:rPr>
              <w:t>Ba</w:t>
            </w:r>
            <w:r w:rsidR="007C0662" w:rsidRPr="001C61AE">
              <w:rPr>
                <w:rFonts w:ascii="Arial" w:hAnsi="Arial" w:cs="Arial"/>
                <w:color w:val="FFFFFF" w:themeColor="background1"/>
                <w:sz w:val="20"/>
                <w:szCs w:val="20"/>
                <w:lang w:val="sq-AL"/>
              </w:rPr>
              <w:t>za fillestare</w:t>
            </w:r>
            <w:r w:rsidRPr="001C61AE">
              <w:rPr>
                <w:rFonts w:ascii="Arial" w:hAnsi="Arial" w:cs="Arial"/>
                <w:color w:val="FFFFFF" w:themeColor="background1"/>
                <w:sz w:val="20"/>
                <w:szCs w:val="20"/>
                <w:lang w:val="sq-AL"/>
              </w:rPr>
              <w:t xml:space="preserve"> (2025)</w:t>
            </w:r>
          </w:p>
        </w:tc>
        <w:tc>
          <w:tcPr>
            <w:tcW w:w="947" w:type="pct"/>
            <w:shd w:val="clear" w:color="auto" w:fill="22635D"/>
            <w:vAlign w:val="center"/>
          </w:tcPr>
          <w:p w14:paraId="39A3F3AE" w14:textId="619808BA" w:rsidR="006B13EF" w:rsidRPr="001C61AE" w:rsidRDefault="00684C0E" w:rsidP="00A7068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Myriad Pro" w:hAnsi="Arial" w:cs="Arial"/>
                <w:color w:val="FFFFFF" w:themeColor="background1"/>
                <w:sz w:val="20"/>
                <w:szCs w:val="20"/>
                <w:lang w:val="sq-AL"/>
              </w:rPr>
            </w:pPr>
            <w:r w:rsidRPr="001C61AE">
              <w:rPr>
                <w:rFonts w:ascii="Arial" w:hAnsi="Arial" w:cs="Arial"/>
                <w:color w:val="FFFFFF" w:themeColor="background1"/>
                <w:sz w:val="20"/>
                <w:szCs w:val="20"/>
                <w:lang w:val="sq-AL"/>
              </w:rPr>
              <w:t xml:space="preserve">Caku </w:t>
            </w:r>
            <w:r w:rsidR="006B13EF" w:rsidRPr="001C61AE">
              <w:rPr>
                <w:rFonts w:ascii="Arial" w:hAnsi="Arial" w:cs="Arial"/>
                <w:color w:val="FFFFFF" w:themeColor="background1"/>
                <w:sz w:val="20"/>
                <w:szCs w:val="20"/>
                <w:lang w:val="sq-AL"/>
              </w:rPr>
              <w:t>2027 (</w:t>
            </w:r>
            <w:r w:rsidR="00EF5818" w:rsidRPr="001C61AE">
              <w:rPr>
                <w:rFonts w:ascii="Arial" w:hAnsi="Arial" w:cs="Arial"/>
                <w:color w:val="FFFFFF" w:themeColor="background1"/>
                <w:sz w:val="20"/>
                <w:szCs w:val="20"/>
                <w:lang w:val="sq-AL"/>
              </w:rPr>
              <w:t>afatshkurtër</w:t>
            </w:r>
            <w:r w:rsidR="006B13EF" w:rsidRPr="001C61AE">
              <w:rPr>
                <w:rFonts w:ascii="Arial" w:hAnsi="Arial" w:cs="Arial"/>
                <w:color w:val="FFFFFF" w:themeColor="background1"/>
                <w:sz w:val="20"/>
                <w:szCs w:val="20"/>
                <w:lang w:val="sq-AL"/>
              </w:rPr>
              <w:t>)</w:t>
            </w:r>
          </w:p>
        </w:tc>
        <w:tc>
          <w:tcPr>
            <w:tcW w:w="1067" w:type="pct"/>
            <w:shd w:val="clear" w:color="auto" w:fill="22635D"/>
            <w:vAlign w:val="center"/>
            <w:hideMark/>
          </w:tcPr>
          <w:p w14:paraId="61C81E2B" w14:textId="06F4754B" w:rsidR="006B13EF" w:rsidRPr="001C61AE" w:rsidRDefault="00684C0E" w:rsidP="00A7068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Myriad Pro" w:hAnsi="Arial" w:cs="Arial"/>
                <w:color w:val="FFFFFF" w:themeColor="background1"/>
                <w:sz w:val="20"/>
                <w:szCs w:val="20"/>
                <w:lang w:val="sq-AL"/>
              </w:rPr>
            </w:pPr>
            <w:r w:rsidRPr="001C61AE">
              <w:rPr>
                <w:rFonts w:ascii="Arial" w:hAnsi="Arial" w:cs="Arial"/>
                <w:color w:val="FFFFFF" w:themeColor="background1"/>
                <w:sz w:val="20"/>
                <w:szCs w:val="20"/>
                <w:lang w:val="sq-AL"/>
              </w:rPr>
              <w:t xml:space="preserve">Caku </w:t>
            </w:r>
            <w:r w:rsidR="006B13EF" w:rsidRPr="001C61AE">
              <w:rPr>
                <w:rFonts w:ascii="Arial" w:hAnsi="Arial" w:cs="Arial"/>
                <w:color w:val="FFFFFF" w:themeColor="background1"/>
                <w:sz w:val="20"/>
                <w:szCs w:val="20"/>
                <w:lang w:val="sq-AL"/>
              </w:rPr>
              <w:t>2030 (</w:t>
            </w:r>
            <w:r w:rsidR="00EF5818" w:rsidRPr="001C61AE">
              <w:rPr>
                <w:rFonts w:ascii="Arial" w:hAnsi="Arial" w:cs="Arial"/>
                <w:color w:val="FFFFFF" w:themeColor="background1"/>
                <w:sz w:val="20"/>
                <w:szCs w:val="20"/>
                <w:lang w:val="sq-AL"/>
              </w:rPr>
              <w:t>afatmesëm</w:t>
            </w:r>
            <w:r w:rsidR="006B13EF" w:rsidRPr="001C61AE">
              <w:rPr>
                <w:rFonts w:ascii="Arial" w:hAnsi="Arial" w:cs="Arial"/>
                <w:color w:val="FFFFFF" w:themeColor="background1"/>
                <w:sz w:val="20"/>
                <w:szCs w:val="20"/>
                <w:lang w:val="sq-AL"/>
              </w:rPr>
              <w:t>)</w:t>
            </w:r>
          </w:p>
        </w:tc>
        <w:tc>
          <w:tcPr>
            <w:tcW w:w="1378" w:type="pct"/>
            <w:shd w:val="clear" w:color="auto" w:fill="22635D"/>
            <w:vAlign w:val="center"/>
            <w:hideMark/>
          </w:tcPr>
          <w:p w14:paraId="553A4E28" w14:textId="2E0712DA" w:rsidR="006B13EF" w:rsidRPr="001C61AE" w:rsidRDefault="00684C0E" w:rsidP="00A7068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Myriad Pro" w:hAnsi="Arial" w:cs="Arial"/>
                <w:color w:val="FFFFFF" w:themeColor="background1"/>
                <w:sz w:val="20"/>
                <w:szCs w:val="20"/>
                <w:lang w:val="sq-AL"/>
              </w:rPr>
            </w:pPr>
            <w:r w:rsidRPr="001C61AE">
              <w:rPr>
                <w:rFonts w:ascii="Arial" w:hAnsi="Arial" w:cs="Arial"/>
                <w:color w:val="FFFFFF" w:themeColor="background1"/>
                <w:sz w:val="20"/>
                <w:szCs w:val="20"/>
                <w:lang w:val="sq-AL"/>
              </w:rPr>
              <w:t xml:space="preserve">Caku </w:t>
            </w:r>
            <w:r w:rsidR="006B13EF" w:rsidRPr="001C61AE">
              <w:rPr>
                <w:rFonts w:ascii="Arial" w:hAnsi="Arial" w:cs="Arial"/>
                <w:color w:val="FFFFFF" w:themeColor="background1"/>
                <w:sz w:val="20"/>
                <w:szCs w:val="20"/>
                <w:lang w:val="sq-AL"/>
              </w:rPr>
              <w:t>2040 (</w:t>
            </w:r>
            <w:r w:rsidR="00EF5818" w:rsidRPr="001C61AE">
              <w:rPr>
                <w:rFonts w:ascii="Arial" w:hAnsi="Arial" w:cs="Arial"/>
                <w:color w:val="FFFFFF" w:themeColor="background1"/>
                <w:sz w:val="20"/>
                <w:szCs w:val="20"/>
                <w:lang w:val="sq-AL"/>
              </w:rPr>
              <w:t>afatgjatë</w:t>
            </w:r>
            <w:r w:rsidR="006B13EF" w:rsidRPr="001C61AE">
              <w:rPr>
                <w:rFonts w:ascii="Arial" w:hAnsi="Arial" w:cs="Arial"/>
                <w:color w:val="FFFFFF" w:themeColor="background1"/>
                <w:sz w:val="20"/>
                <w:szCs w:val="20"/>
                <w:lang w:val="sq-AL"/>
              </w:rPr>
              <w:t>)</w:t>
            </w:r>
          </w:p>
        </w:tc>
      </w:tr>
      <w:tr w:rsidR="006B13EF" w:rsidRPr="001C61AE" w14:paraId="32626091" w14:textId="77777777" w:rsidTr="00AB7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0F4761"/>
            <w:vAlign w:val="center"/>
          </w:tcPr>
          <w:p w14:paraId="676BECA5" w14:textId="50933072" w:rsidR="006B13EF" w:rsidRPr="001C61AE" w:rsidRDefault="0040465B" w:rsidP="00A70686">
            <w:pPr>
              <w:spacing w:before="0" w:line="240" w:lineRule="auto"/>
              <w:jc w:val="center"/>
              <w:rPr>
                <w:rFonts w:ascii="Arial" w:eastAsia="Myriad Pro" w:hAnsi="Arial" w:cs="Arial"/>
                <w:sz w:val="20"/>
                <w:szCs w:val="20"/>
                <w:lang w:val="sq-AL"/>
              </w:rPr>
            </w:pPr>
            <w:r w:rsidRPr="001C61AE">
              <w:rPr>
                <w:rFonts w:ascii="Arial" w:eastAsia="Myriad Pro" w:hAnsi="Arial" w:cs="Arial"/>
                <w:sz w:val="20"/>
                <w:szCs w:val="20"/>
                <w:lang w:val="sq-AL"/>
              </w:rPr>
              <w:t>Prioriteti</w:t>
            </w:r>
            <w:r w:rsidR="00DB5FA2" w:rsidRPr="001C61AE">
              <w:rPr>
                <w:rFonts w:ascii="Arial" w:eastAsia="Myriad Pro" w:hAnsi="Arial" w:cs="Arial"/>
                <w:sz w:val="20"/>
                <w:szCs w:val="20"/>
                <w:lang w:val="sq-AL"/>
              </w:rPr>
              <w:t xml:space="preserve"> kyç </w:t>
            </w:r>
            <w:r w:rsidRPr="001C61AE">
              <w:rPr>
                <w:rFonts w:ascii="Arial" w:eastAsia="Myriad Pro" w:hAnsi="Arial" w:cs="Arial"/>
                <w:sz w:val="20"/>
                <w:szCs w:val="20"/>
                <w:lang w:val="sq-AL"/>
              </w:rPr>
              <w:t>p</w:t>
            </w:r>
            <w:r w:rsidR="00DB5FA2" w:rsidRPr="001C61AE">
              <w:rPr>
                <w:rFonts w:ascii="Arial" w:eastAsia="Myriad Pro" w:hAnsi="Arial" w:cs="Arial"/>
                <w:sz w:val="20"/>
                <w:szCs w:val="20"/>
                <w:lang w:val="sq-AL"/>
              </w:rPr>
              <w:t>ë</w:t>
            </w:r>
            <w:r w:rsidRPr="001C61AE">
              <w:rPr>
                <w:rFonts w:ascii="Arial" w:eastAsia="Myriad Pro" w:hAnsi="Arial" w:cs="Arial"/>
                <w:sz w:val="20"/>
                <w:szCs w:val="20"/>
                <w:lang w:val="sq-AL"/>
              </w:rPr>
              <w:t>r</w:t>
            </w:r>
            <w:r w:rsidR="00DB5FA2" w:rsidRPr="001C61AE">
              <w:rPr>
                <w:rFonts w:ascii="Arial" w:eastAsia="Myriad Pro" w:hAnsi="Arial" w:cs="Arial"/>
                <w:sz w:val="20"/>
                <w:szCs w:val="20"/>
                <w:lang w:val="sq-AL"/>
              </w:rPr>
              <w:t xml:space="preserve"> përshtatje</w:t>
            </w:r>
            <w:r w:rsidR="006B13EF" w:rsidRPr="001C61AE">
              <w:rPr>
                <w:rFonts w:ascii="Arial" w:eastAsia="Myriad Pro" w:hAnsi="Arial" w:cs="Arial"/>
                <w:sz w:val="20"/>
                <w:szCs w:val="20"/>
                <w:lang w:val="sq-AL"/>
              </w:rPr>
              <w:t>:</w:t>
            </w:r>
            <w:r w:rsidR="000D7628" w:rsidRPr="001C61AE">
              <w:rPr>
                <w:rFonts w:ascii="Arial" w:hAnsi="Arial" w:cs="Arial"/>
              </w:rPr>
              <w:t xml:space="preserve"> </w:t>
            </w:r>
            <w:r w:rsidR="000D7628" w:rsidRPr="001C61AE">
              <w:rPr>
                <w:rFonts w:ascii="Arial" w:eastAsia="Myriad Pro" w:hAnsi="Arial" w:cs="Arial"/>
                <w:sz w:val="20"/>
                <w:szCs w:val="20"/>
                <w:lang w:val="sq-AL"/>
              </w:rPr>
              <w:t>Infrastrukturë ujore e qëndrueshme ndaj ndryshimit të klimës</w:t>
            </w:r>
          </w:p>
        </w:tc>
      </w:tr>
      <w:tr w:rsidR="006B13EF" w:rsidRPr="001C61AE" w14:paraId="65C08069" w14:textId="77777777" w:rsidTr="00AB7CBF">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031F605D" w14:textId="03C84588" w:rsidR="006B13EF" w:rsidRPr="001C61AE" w:rsidRDefault="006B13EF" w:rsidP="00A70686">
            <w:pPr>
              <w:widowControl w:val="0"/>
              <w:autoSpaceDE w:val="0"/>
              <w:autoSpaceDN w:val="0"/>
              <w:spacing w:before="0" w:line="240" w:lineRule="auto"/>
              <w:jc w:val="both"/>
              <w:rPr>
                <w:rFonts w:ascii="Arial" w:eastAsia="Myriad Pro" w:hAnsi="Arial" w:cs="Arial"/>
                <w:sz w:val="20"/>
                <w:szCs w:val="20"/>
                <w:lang w:val="sq-AL"/>
              </w:rPr>
            </w:pPr>
            <w:r w:rsidRPr="001C61AE">
              <w:rPr>
                <w:rFonts w:ascii="Arial" w:eastAsia="Myriad Pro" w:hAnsi="Arial" w:cs="Arial"/>
                <w:sz w:val="20"/>
                <w:szCs w:val="20"/>
                <w:lang w:val="sq-AL"/>
              </w:rPr>
              <w:t xml:space="preserve">I.1 </w:t>
            </w:r>
            <w:r w:rsidR="00EF5818" w:rsidRPr="001C61AE">
              <w:rPr>
                <w:rFonts w:ascii="Arial" w:eastAsia="Myriad Pro" w:hAnsi="Arial" w:cs="Arial"/>
                <w:sz w:val="20"/>
                <w:szCs w:val="20"/>
                <w:lang w:val="sq-AL"/>
              </w:rPr>
              <w:t>Përmirësimi i infrastrukturës për ruajtjen e ujit.</w:t>
            </w:r>
          </w:p>
        </w:tc>
      </w:tr>
      <w:tr w:rsidR="00976D89" w:rsidRPr="001C61AE" w14:paraId="75B31C9A" w14:textId="77777777" w:rsidTr="00AB7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7378AE" w14:textId="39B666BF" w:rsidR="00976D89" w:rsidRPr="001C61AE" w:rsidRDefault="00976D89" w:rsidP="00976D89">
            <w:pPr>
              <w:widowControl w:val="0"/>
              <w:autoSpaceDE w:val="0"/>
              <w:autoSpaceDN w:val="0"/>
              <w:spacing w:before="0" w:line="240" w:lineRule="auto"/>
              <w:jc w:val="center"/>
              <w:rPr>
                <w:rFonts w:ascii="Arial" w:eastAsia="Myriad Pro" w:hAnsi="Arial" w:cs="Arial"/>
                <w:sz w:val="20"/>
                <w:szCs w:val="20"/>
                <w:lang w:val="sq-AL"/>
              </w:rPr>
            </w:pPr>
            <w:r w:rsidRPr="001C61AE">
              <w:rPr>
                <w:rFonts w:ascii="Arial" w:eastAsia="Myriad Pro" w:hAnsi="Arial" w:cs="Arial"/>
                <w:sz w:val="20"/>
                <w:szCs w:val="20"/>
                <w:lang w:val="sq-AL"/>
              </w:rPr>
              <w:t>Diga e Desivojcës (</w:t>
            </w:r>
            <w:r w:rsidR="00004057" w:rsidRPr="001C61AE">
              <w:rPr>
                <w:rFonts w:ascii="Arial" w:eastAsia="Myriad Pro" w:hAnsi="Arial" w:cs="Arial"/>
                <w:sz w:val="20"/>
                <w:szCs w:val="20"/>
                <w:lang w:val="sq-AL"/>
              </w:rPr>
              <w:t xml:space="preserve">5.9 </w:t>
            </w:r>
            <w:r w:rsidRPr="001C61AE">
              <w:rPr>
                <w:rFonts w:ascii="Arial" w:eastAsia="Myriad Pro" w:hAnsi="Arial" w:cs="Arial"/>
                <w:sz w:val="20"/>
                <w:szCs w:val="20"/>
                <w:lang w:val="sq-AL"/>
              </w:rPr>
              <w:t>milion m³)</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E97B29" w14:textId="77777777" w:rsidR="00976D89" w:rsidRPr="001C61AE" w:rsidRDefault="00976D89" w:rsidP="00976D89">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Hartimi bazik i projektit.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26A678" w14:textId="77777777" w:rsidR="00976D89" w:rsidRPr="001C61AE" w:rsidRDefault="00976D89" w:rsidP="00976D89">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 xml:space="preserve">Hartimi i projektit të detajuar ka filluar; po zhvillohen hetime gjeoteknike dhe </w:t>
            </w:r>
            <w:r w:rsidRPr="001C61AE">
              <w:rPr>
                <w:rFonts w:ascii="Arial" w:eastAsia="Myriad Pro" w:hAnsi="Arial" w:cs="Arial"/>
                <w:sz w:val="20"/>
                <w:szCs w:val="20"/>
                <w:lang w:val="sq-AL"/>
              </w:rPr>
              <w:lastRenderedPageBreak/>
              <w:t>vlerësimi i ndikimit mjedisor.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CD0383" w14:textId="77777777" w:rsidR="00976D89" w:rsidRPr="001C61AE" w:rsidRDefault="00976D89" w:rsidP="00976D89">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lastRenderedPageBreak/>
              <w:t>Ndërtimi i digës ka filluar.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E0CA216" w14:textId="77777777" w:rsidR="00976D89" w:rsidRPr="001C61AE" w:rsidRDefault="00976D89" w:rsidP="00976D89">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Diga e Desivojcës është ndërtuar dhe në funksion.</w:t>
            </w:r>
          </w:p>
        </w:tc>
      </w:tr>
      <w:tr w:rsidR="00976D89" w:rsidRPr="001C61AE" w14:paraId="3147B9EA" w14:textId="77777777" w:rsidTr="00AB7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vAlign w:val="center"/>
            <w:hideMark/>
          </w:tcPr>
          <w:p w14:paraId="735D2E76" w14:textId="77777777" w:rsidR="00976D89" w:rsidRPr="001C61AE" w:rsidRDefault="00976D89" w:rsidP="00976D89">
            <w:pPr>
              <w:widowControl w:val="0"/>
              <w:autoSpaceDE w:val="0"/>
              <w:autoSpaceDN w:val="0"/>
              <w:spacing w:before="0" w:line="240" w:lineRule="auto"/>
              <w:jc w:val="center"/>
              <w:rPr>
                <w:rFonts w:ascii="Arial" w:eastAsia="Myriad Pro" w:hAnsi="Arial" w:cs="Arial"/>
                <w:sz w:val="20"/>
                <w:szCs w:val="20"/>
                <w:lang w:val="sq-AL"/>
              </w:rPr>
            </w:pPr>
            <w:r w:rsidRPr="001C61AE">
              <w:rPr>
                <w:rFonts w:ascii="Arial" w:eastAsia="Myriad Pro" w:hAnsi="Arial" w:cs="Arial"/>
                <w:sz w:val="20"/>
                <w:szCs w:val="20"/>
                <w:lang w:val="sq-AL"/>
              </w:rPr>
              <w:lastRenderedPageBreak/>
              <w:t>Diga e Firajës (7 milion m³)</w:t>
            </w:r>
          </w:p>
        </w:tc>
        <w:tc>
          <w:tcPr>
            <w:tcW w:w="0" w:type="auto"/>
            <w:tcBorders>
              <w:top w:val="single" w:sz="4" w:space="0" w:color="auto"/>
              <w:left w:val="single" w:sz="4" w:space="0" w:color="auto"/>
              <w:bottom w:val="single" w:sz="4" w:space="0" w:color="auto"/>
              <w:right w:val="single" w:sz="4" w:space="0" w:color="auto"/>
            </w:tcBorders>
            <w:vAlign w:val="center"/>
            <w:hideMark/>
          </w:tcPr>
          <w:p w14:paraId="58CC6212" w14:textId="77777777" w:rsidR="00976D89" w:rsidRPr="001C61AE" w:rsidRDefault="00976D89" w:rsidP="00976D89">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Projekti paraprak dhe VNM janë përfunduar.</w:t>
            </w:r>
          </w:p>
        </w:tc>
        <w:tc>
          <w:tcPr>
            <w:tcW w:w="0" w:type="auto"/>
            <w:tcBorders>
              <w:top w:val="single" w:sz="4" w:space="0" w:color="auto"/>
              <w:left w:val="single" w:sz="4" w:space="0" w:color="auto"/>
              <w:bottom w:val="single" w:sz="4" w:space="0" w:color="auto"/>
              <w:right w:val="single" w:sz="4" w:space="0" w:color="auto"/>
            </w:tcBorders>
            <w:vAlign w:val="center"/>
            <w:hideMark/>
          </w:tcPr>
          <w:p w14:paraId="33DB3A76" w14:textId="77777777" w:rsidR="00976D89" w:rsidRPr="001C61AE" w:rsidRDefault="00976D89" w:rsidP="00976D89">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Ka nisur hartimi i projektit të detajuar dhe vlerësimet specifike për vendin; është iniciuar angazhimi me palët e interesit.</w:t>
            </w:r>
          </w:p>
        </w:tc>
        <w:tc>
          <w:tcPr>
            <w:tcW w:w="0" w:type="auto"/>
            <w:tcBorders>
              <w:top w:val="single" w:sz="4" w:space="0" w:color="auto"/>
              <w:left w:val="single" w:sz="4" w:space="0" w:color="auto"/>
              <w:bottom w:val="single" w:sz="4" w:space="0" w:color="auto"/>
              <w:right w:val="single" w:sz="4" w:space="0" w:color="auto"/>
            </w:tcBorders>
            <w:vAlign w:val="center"/>
            <w:hideMark/>
          </w:tcPr>
          <w:p w14:paraId="7C5E863F" w14:textId="77777777" w:rsidR="00976D89" w:rsidRPr="001C61AE" w:rsidRDefault="00976D89" w:rsidP="00976D89">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Punët janë tenderuar dhe ndërtimi është në proces.</w:t>
            </w:r>
          </w:p>
        </w:tc>
        <w:tc>
          <w:tcPr>
            <w:tcW w:w="0" w:type="auto"/>
            <w:tcBorders>
              <w:top w:val="single" w:sz="4" w:space="0" w:color="auto"/>
              <w:left w:val="single" w:sz="4" w:space="0" w:color="auto"/>
              <w:bottom w:val="single" w:sz="4" w:space="0" w:color="auto"/>
              <w:right w:val="single" w:sz="4" w:space="0" w:color="auto"/>
            </w:tcBorders>
            <w:vAlign w:val="center"/>
            <w:hideMark/>
          </w:tcPr>
          <w:p w14:paraId="515126BB" w14:textId="77777777" w:rsidR="00976D89" w:rsidRPr="001C61AE" w:rsidRDefault="00976D89" w:rsidP="00976D89">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Diga e Firajës është ndërtuar dhe në funksion.</w:t>
            </w:r>
          </w:p>
        </w:tc>
      </w:tr>
      <w:tr w:rsidR="00976D89" w:rsidRPr="001C61AE" w14:paraId="2C03799B" w14:textId="77777777" w:rsidTr="00AB7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401A7" w14:textId="2590855B" w:rsidR="00976D89" w:rsidRPr="001C61AE" w:rsidRDefault="00976D89" w:rsidP="00976D89">
            <w:pPr>
              <w:widowControl w:val="0"/>
              <w:autoSpaceDE w:val="0"/>
              <w:autoSpaceDN w:val="0"/>
              <w:spacing w:before="0" w:line="240" w:lineRule="auto"/>
              <w:jc w:val="center"/>
              <w:rPr>
                <w:rFonts w:ascii="Arial" w:eastAsia="Myriad Pro" w:hAnsi="Arial" w:cs="Arial"/>
                <w:sz w:val="20"/>
                <w:szCs w:val="20"/>
                <w:lang w:val="sq-AL"/>
              </w:rPr>
            </w:pPr>
            <w:r w:rsidRPr="001C61AE">
              <w:rPr>
                <w:rFonts w:ascii="Arial" w:eastAsia="Myriad Pro" w:hAnsi="Arial" w:cs="Arial"/>
                <w:sz w:val="20"/>
                <w:szCs w:val="20"/>
                <w:lang w:val="sq-AL"/>
              </w:rPr>
              <w:t>Diga e Pollatës (</w:t>
            </w:r>
            <w:r w:rsidR="00004057" w:rsidRPr="001C61AE">
              <w:rPr>
                <w:rFonts w:ascii="Arial" w:eastAsia="Myriad Pro" w:hAnsi="Arial" w:cs="Arial"/>
                <w:sz w:val="20"/>
                <w:szCs w:val="20"/>
                <w:lang w:val="sq-AL"/>
              </w:rPr>
              <w:t xml:space="preserve">30 </w:t>
            </w:r>
            <w:r w:rsidRPr="001C61AE">
              <w:rPr>
                <w:rFonts w:ascii="Arial" w:eastAsia="Myriad Pro" w:hAnsi="Arial" w:cs="Arial"/>
                <w:sz w:val="20"/>
                <w:szCs w:val="20"/>
                <w:lang w:val="sq-AL"/>
              </w:rPr>
              <w:t>milion m³)</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B02D9F" w14:textId="77777777" w:rsidR="00976D89" w:rsidRPr="001C61AE" w:rsidRDefault="00976D89" w:rsidP="00976D89">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Hartimi i projektit të detajuar është në përgatitje, pas përfundimit të projektit paraprak.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D31150" w14:textId="77777777" w:rsidR="00976D89" w:rsidRPr="001C61AE" w:rsidRDefault="00976D89" w:rsidP="00976D89">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Janë nisur vlerësimet e ndikimit mjedisor dhe social; janë ndërmarrë hapat e parë për marrjen e lejeve.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4C2120" w14:textId="77777777" w:rsidR="00976D89" w:rsidRPr="001C61AE" w:rsidRDefault="00976D89" w:rsidP="00976D89">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Punët janë tenderuar dhe ndërtimi është në proces.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9F9427" w14:textId="77777777" w:rsidR="00976D89" w:rsidRPr="001C61AE" w:rsidRDefault="00976D89" w:rsidP="00976D89">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Diga e Pollatës është ndërtuar dhe në funksion.</w:t>
            </w:r>
          </w:p>
        </w:tc>
      </w:tr>
      <w:tr w:rsidR="00976D89" w:rsidRPr="001C61AE" w14:paraId="42F935DB" w14:textId="77777777" w:rsidTr="00AB7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vAlign w:val="center"/>
            <w:hideMark/>
          </w:tcPr>
          <w:p w14:paraId="1C5CF631" w14:textId="3458B0FA" w:rsidR="00976D89" w:rsidRPr="001C61AE" w:rsidRDefault="00976D89" w:rsidP="00976D89">
            <w:pPr>
              <w:widowControl w:val="0"/>
              <w:autoSpaceDE w:val="0"/>
              <w:autoSpaceDN w:val="0"/>
              <w:spacing w:before="0" w:line="240" w:lineRule="auto"/>
              <w:jc w:val="center"/>
              <w:rPr>
                <w:rFonts w:ascii="Arial" w:eastAsia="Myriad Pro" w:hAnsi="Arial" w:cs="Arial"/>
                <w:sz w:val="20"/>
                <w:szCs w:val="20"/>
                <w:lang w:val="sq-AL"/>
              </w:rPr>
            </w:pPr>
            <w:r w:rsidRPr="001C61AE">
              <w:rPr>
                <w:rFonts w:ascii="Arial" w:eastAsia="Myriad Pro" w:hAnsi="Arial" w:cs="Arial"/>
                <w:sz w:val="20"/>
                <w:szCs w:val="20"/>
                <w:lang w:val="sq-AL"/>
              </w:rPr>
              <w:t>Diga e Kuçicës (18.</w:t>
            </w:r>
            <w:r w:rsidR="00004057" w:rsidRPr="001C61AE">
              <w:rPr>
                <w:rFonts w:ascii="Arial" w:eastAsia="Myriad Pro" w:hAnsi="Arial" w:cs="Arial"/>
                <w:sz w:val="20"/>
                <w:szCs w:val="20"/>
                <w:lang w:val="sq-AL"/>
              </w:rPr>
              <w:t xml:space="preserve">5 </w:t>
            </w:r>
            <w:r w:rsidRPr="001C61AE">
              <w:rPr>
                <w:rFonts w:ascii="Arial" w:eastAsia="Myriad Pro" w:hAnsi="Arial" w:cs="Arial"/>
                <w:sz w:val="20"/>
                <w:szCs w:val="20"/>
                <w:lang w:val="sq-AL"/>
              </w:rPr>
              <w:t>milion m³)</w:t>
            </w:r>
          </w:p>
        </w:tc>
        <w:tc>
          <w:tcPr>
            <w:tcW w:w="0" w:type="auto"/>
            <w:tcBorders>
              <w:top w:val="single" w:sz="4" w:space="0" w:color="auto"/>
              <w:left w:val="single" w:sz="4" w:space="0" w:color="auto"/>
              <w:bottom w:val="single" w:sz="4" w:space="0" w:color="auto"/>
              <w:right w:val="single" w:sz="4" w:space="0" w:color="auto"/>
            </w:tcBorders>
            <w:vAlign w:val="center"/>
            <w:hideMark/>
          </w:tcPr>
          <w:p w14:paraId="355D8932" w14:textId="77777777" w:rsidR="00976D89" w:rsidRPr="001C61AE" w:rsidRDefault="00976D89" w:rsidP="00976D89">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Hartimi i projektit të detajuar është në përgatitje, pas përfundimit të projektit paraprak.</w:t>
            </w:r>
          </w:p>
        </w:tc>
        <w:tc>
          <w:tcPr>
            <w:tcW w:w="0" w:type="auto"/>
            <w:tcBorders>
              <w:top w:val="single" w:sz="4" w:space="0" w:color="auto"/>
              <w:left w:val="single" w:sz="4" w:space="0" w:color="auto"/>
              <w:bottom w:val="single" w:sz="4" w:space="0" w:color="auto"/>
              <w:right w:val="single" w:sz="4" w:space="0" w:color="auto"/>
            </w:tcBorders>
            <w:vAlign w:val="center"/>
            <w:hideMark/>
          </w:tcPr>
          <w:p w14:paraId="6065235F" w14:textId="77777777" w:rsidR="00976D89" w:rsidRPr="001C61AE" w:rsidRDefault="00976D89" w:rsidP="00976D89">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Ka nisur hartimi i projektit të detajuar dhe vlerësimet në vend; është inicuar prokurimi për konsulentin e projektit të detajuar.</w:t>
            </w:r>
          </w:p>
        </w:tc>
        <w:tc>
          <w:tcPr>
            <w:tcW w:w="0" w:type="auto"/>
            <w:tcBorders>
              <w:top w:val="single" w:sz="4" w:space="0" w:color="auto"/>
              <w:left w:val="single" w:sz="4" w:space="0" w:color="auto"/>
              <w:bottom w:val="single" w:sz="4" w:space="0" w:color="auto"/>
              <w:right w:val="single" w:sz="4" w:space="0" w:color="auto"/>
            </w:tcBorders>
            <w:vAlign w:val="center"/>
            <w:hideMark/>
          </w:tcPr>
          <w:p w14:paraId="230AD60B" w14:textId="77777777" w:rsidR="00976D89" w:rsidRPr="001C61AE" w:rsidRDefault="00976D89" w:rsidP="00976D89">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Punët janë tenderuar dhe ndërtimi është në proces.</w:t>
            </w:r>
          </w:p>
        </w:tc>
        <w:tc>
          <w:tcPr>
            <w:tcW w:w="0" w:type="auto"/>
            <w:tcBorders>
              <w:top w:val="single" w:sz="4" w:space="0" w:color="auto"/>
              <w:left w:val="single" w:sz="4" w:space="0" w:color="auto"/>
              <w:bottom w:val="single" w:sz="4" w:space="0" w:color="auto"/>
              <w:right w:val="single" w:sz="4" w:space="0" w:color="auto"/>
            </w:tcBorders>
            <w:vAlign w:val="center"/>
            <w:hideMark/>
          </w:tcPr>
          <w:p w14:paraId="71C2385D" w14:textId="77777777" w:rsidR="00976D89" w:rsidRPr="001C61AE" w:rsidRDefault="00976D89" w:rsidP="00976D89">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Diga e Kuçicës është ndërtuar dhe në funksion.</w:t>
            </w:r>
          </w:p>
        </w:tc>
      </w:tr>
      <w:tr w:rsidR="00976D89" w:rsidRPr="001C61AE" w14:paraId="31E23D7B" w14:textId="77777777" w:rsidTr="00AB7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93E5F4" w14:textId="77777777" w:rsidR="00976D89" w:rsidRPr="001C61AE" w:rsidRDefault="00976D89" w:rsidP="00976D89">
            <w:pPr>
              <w:widowControl w:val="0"/>
              <w:autoSpaceDE w:val="0"/>
              <w:autoSpaceDN w:val="0"/>
              <w:spacing w:before="0" w:line="240" w:lineRule="auto"/>
              <w:jc w:val="center"/>
              <w:rPr>
                <w:rFonts w:ascii="Arial" w:eastAsia="Myriad Pro" w:hAnsi="Arial" w:cs="Arial"/>
                <w:sz w:val="20"/>
                <w:szCs w:val="20"/>
                <w:lang w:val="sq-AL"/>
              </w:rPr>
            </w:pPr>
            <w:r w:rsidRPr="001C61AE">
              <w:rPr>
                <w:rFonts w:ascii="Arial" w:eastAsia="Myriad Pro" w:hAnsi="Arial" w:cs="Arial"/>
                <w:sz w:val="20"/>
                <w:szCs w:val="20"/>
                <w:lang w:val="sq-AL"/>
              </w:rPr>
              <w:t>Diga e Dragaqinës (12.2 milion m³)</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DE9A1D9" w14:textId="77777777" w:rsidR="00976D89" w:rsidRPr="001C61AE" w:rsidRDefault="00976D89" w:rsidP="00976D89">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Studim i fizibilitetit.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6F2E45C" w14:textId="77777777" w:rsidR="00976D89" w:rsidRPr="001C61AE" w:rsidRDefault="00976D89" w:rsidP="00976D89">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Janë iniciuar vlerësimet paraprake mjedisore dhe mbledhja e të dhënave për hartimin e projektit të detajuar.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2F9828" w14:textId="77777777" w:rsidR="00976D89" w:rsidRPr="001C61AE" w:rsidRDefault="00976D89" w:rsidP="00976D89">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Fillon hartimi i projektit të detajuar dhe dokumentacionit të tenderit.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ECFE3D" w14:textId="77777777" w:rsidR="00976D89" w:rsidRPr="001C61AE" w:rsidRDefault="00976D89" w:rsidP="00976D89">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Diga e Dragaqinës është ndërtuar dhe në funksion.</w:t>
            </w:r>
          </w:p>
        </w:tc>
      </w:tr>
      <w:tr w:rsidR="006B13EF" w:rsidRPr="001C61AE" w14:paraId="6102F086" w14:textId="77777777" w:rsidTr="00AB7CBF">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72166A8F" w14:textId="443D1EE8" w:rsidR="006B13EF" w:rsidRPr="001C61AE" w:rsidRDefault="006B13EF" w:rsidP="00A70686">
            <w:pPr>
              <w:widowControl w:val="0"/>
              <w:autoSpaceDE w:val="0"/>
              <w:autoSpaceDN w:val="0"/>
              <w:spacing w:before="0" w:line="240" w:lineRule="auto"/>
              <w:jc w:val="both"/>
              <w:rPr>
                <w:rFonts w:ascii="Arial" w:eastAsia="Myriad Pro" w:hAnsi="Arial" w:cs="Arial"/>
                <w:sz w:val="20"/>
                <w:szCs w:val="20"/>
                <w:lang w:val="sq-AL"/>
              </w:rPr>
            </w:pPr>
            <w:r w:rsidRPr="001C61AE">
              <w:rPr>
                <w:rFonts w:ascii="Arial" w:eastAsia="Myriad Pro" w:hAnsi="Arial" w:cs="Arial"/>
                <w:sz w:val="20"/>
                <w:szCs w:val="20"/>
                <w:lang w:val="sq-AL"/>
              </w:rPr>
              <w:t xml:space="preserve">I.2 </w:t>
            </w:r>
            <w:r w:rsidR="00EF5818" w:rsidRPr="001C61AE">
              <w:rPr>
                <w:rFonts w:ascii="Arial" w:eastAsia="Myriad Pro" w:hAnsi="Arial" w:cs="Arial"/>
                <w:sz w:val="20"/>
                <w:szCs w:val="20"/>
                <w:lang w:val="sq-AL"/>
              </w:rPr>
              <w:t>Hartimi i një masterplani kombëtar për diga dhe infrastrukturë ujore me funksione të shumëfishta</w:t>
            </w:r>
          </w:p>
        </w:tc>
      </w:tr>
      <w:tr w:rsidR="006B13EF" w:rsidRPr="001C61AE" w14:paraId="47E6ECD4" w14:textId="77777777" w:rsidTr="00C65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shd w:val="clear" w:color="auto" w:fill="auto"/>
            <w:vAlign w:val="center"/>
          </w:tcPr>
          <w:p w14:paraId="48D23931" w14:textId="5189EB35" w:rsidR="006B13EF" w:rsidRPr="001C61AE" w:rsidRDefault="00C24677" w:rsidP="00A70686">
            <w:pPr>
              <w:widowControl w:val="0"/>
              <w:autoSpaceDE w:val="0"/>
              <w:autoSpaceDN w:val="0"/>
              <w:spacing w:before="0" w:line="240" w:lineRule="auto"/>
              <w:jc w:val="center"/>
              <w:rPr>
                <w:rFonts w:ascii="Arial" w:eastAsia="Myriad Pro" w:hAnsi="Arial" w:cs="Arial"/>
                <w:b w:val="0"/>
                <w:bCs w:val="0"/>
                <w:sz w:val="20"/>
                <w:szCs w:val="20"/>
                <w:lang w:val="sq-AL"/>
              </w:rPr>
            </w:pPr>
            <w:r w:rsidRPr="001C61AE">
              <w:rPr>
                <w:rFonts w:ascii="Arial" w:eastAsia="Myriad Pro" w:hAnsi="Arial" w:cs="Arial"/>
                <w:sz w:val="20"/>
                <w:szCs w:val="20"/>
                <w:lang w:val="sq-AL"/>
              </w:rPr>
              <w:t>Përfundimi dhe miratimi zyrtar i Masterplanit Kombëtar të Digave</w:t>
            </w:r>
            <w:r w:rsidR="006B13EF" w:rsidRPr="001C61AE">
              <w:rPr>
                <w:rFonts w:ascii="Arial" w:eastAsia="Myriad Pro" w:hAnsi="Arial" w:cs="Arial"/>
                <w:sz w:val="20"/>
                <w:szCs w:val="20"/>
                <w:lang w:val="sq-AL"/>
              </w:rPr>
              <w:t>.</w:t>
            </w:r>
          </w:p>
        </w:tc>
        <w:tc>
          <w:tcPr>
            <w:tcW w:w="0" w:type="pct"/>
            <w:shd w:val="clear" w:color="auto" w:fill="auto"/>
            <w:vAlign w:val="center"/>
          </w:tcPr>
          <w:p w14:paraId="43E8F7F3" w14:textId="498A3425" w:rsidR="006B13EF" w:rsidRPr="001C61AE" w:rsidRDefault="00C24677"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 xml:space="preserve">ToR </w:t>
            </w:r>
            <w:r w:rsidR="00020C31" w:rsidRPr="001C61AE">
              <w:rPr>
                <w:rFonts w:ascii="Arial" w:eastAsia="Myriad Pro" w:hAnsi="Arial" w:cs="Arial"/>
                <w:sz w:val="20"/>
                <w:szCs w:val="20"/>
                <w:lang w:val="sq-AL"/>
              </w:rPr>
              <w:t xml:space="preserve">është </w:t>
            </w:r>
            <w:r w:rsidRPr="001C61AE">
              <w:rPr>
                <w:rFonts w:ascii="Arial" w:eastAsia="Myriad Pro" w:hAnsi="Arial" w:cs="Arial"/>
                <w:sz w:val="20"/>
                <w:szCs w:val="20"/>
                <w:lang w:val="sq-AL"/>
              </w:rPr>
              <w:t>rishikuar dhe i ritenderuar.</w:t>
            </w:r>
            <w:r w:rsidR="00020C31" w:rsidRPr="001C61AE">
              <w:rPr>
                <w:rFonts w:ascii="Arial" w:eastAsia="Myriad Pro" w:hAnsi="Arial" w:cs="Arial"/>
                <w:sz w:val="20"/>
                <w:szCs w:val="20"/>
                <w:lang w:val="sq-AL"/>
              </w:rPr>
              <w:t xml:space="preserve"> Aktualisht kompania fituese ka filluar punën.</w:t>
            </w:r>
          </w:p>
        </w:tc>
        <w:tc>
          <w:tcPr>
            <w:tcW w:w="947" w:type="pct"/>
            <w:shd w:val="clear" w:color="auto" w:fill="auto"/>
            <w:vAlign w:val="center"/>
          </w:tcPr>
          <w:p w14:paraId="5B7CF560" w14:textId="5F7418F0" w:rsidR="006B13EF" w:rsidRPr="001C61AE" w:rsidRDefault="00C24677"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Draft Masterplani i hartuar dhe nën konsultim me palët e interesuara; shqyrtimi institucional është iniciuar.</w:t>
            </w:r>
          </w:p>
        </w:tc>
        <w:tc>
          <w:tcPr>
            <w:tcW w:w="1067" w:type="pct"/>
            <w:shd w:val="clear" w:color="auto" w:fill="auto"/>
            <w:vAlign w:val="center"/>
          </w:tcPr>
          <w:p w14:paraId="63DE4461" w14:textId="718532A2" w:rsidR="006B13EF" w:rsidRPr="001C61AE" w:rsidRDefault="00C24677"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U zhvillua një tubacion investimi i mundshëm duke përfshirë të paktën 5 projekte prioritare të lidhura me diga, me studime parafizibiliteti dhe koncepte të përafruara me qëllimet e përshtatjes klimatike.</w:t>
            </w:r>
          </w:p>
        </w:tc>
        <w:tc>
          <w:tcPr>
            <w:tcW w:w="1378" w:type="pct"/>
            <w:shd w:val="clear" w:color="auto" w:fill="auto"/>
            <w:vAlign w:val="center"/>
          </w:tcPr>
          <w:p w14:paraId="60F23BA4" w14:textId="3C6A961F" w:rsidR="006B13EF" w:rsidRPr="001C61AE" w:rsidRDefault="00C24677"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Financimi është siguruar dhe studimet janë iniciuar për digat prioritare dhe projektet shoqëruese</w:t>
            </w:r>
            <w:r w:rsidR="006B13EF" w:rsidRPr="001C61AE">
              <w:rPr>
                <w:rFonts w:ascii="Arial" w:eastAsia="Myriad Pro" w:hAnsi="Arial" w:cs="Arial"/>
                <w:sz w:val="20"/>
                <w:szCs w:val="20"/>
                <w:lang w:val="sq-AL"/>
              </w:rPr>
              <w:t xml:space="preserve">. </w:t>
            </w:r>
          </w:p>
        </w:tc>
      </w:tr>
      <w:tr w:rsidR="006B13EF" w:rsidRPr="001C61AE" w14:paraId="1BE431F1" w14:textId="77777777" w:rsidTr="00AB7CBF">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01184A3A" w14:textId="358656BA" w:rsidR="006B13EF" w:rsidRPr="001C61AE" w:rsidRDefault="006B13EF" w:rsidP="00A70686">
            <w:pPr>
              <w:widowControl w:val="0"/>
              <w:autoSpaceDE w:val="0"/>
              <w:autoSpaceDN w:val="0"/>
              <w:spacing w:before="0" w:line="240" w:lineRule="auto"/>
              <w:jc w:val="both"/>
              <w:rPr>
                <w:rFonts w:ascii="Arial" w:eastAsia="Myriad Pro" w:hAnsi="Arial" w:cs="Arial"/>
                <w:sz w:val="20"/>
                <w:szCs w:val="20"/>
                <w:lang w:val="sq-AL"/>
              </w:rPr>
            </w:pPr>
            <w:r w:rsidRPr="001C61AE">
              <w:rPr>
                <w:rFonts w:ascii="Arial" w:eastAsia="Myriad Pro" w:hAnsi="Arial" w:cs="Arial"/>
                <w:sz w:val="20"/>
                <w:szCs w:val="20"/>
                <w:lang w:val="sq-AL"/>
              </w:rPr>
              <w:t xml:space="preserve">I.3 </w:t>
            </w:r>
            <w:r w:rsidR="00EF5818" w:rsidRPr="001C61AE">
              <w:rPr>
                <w:rFonts w:ascii="Arial" w:eastAsia="Myriad Pro" w:hAnsi="Arial" w:cs="Arial"/>
                <w:sz w:val="20"/>
                <w:szCs w:val="20"/>
                <w:lang w:val="sq-AL"/>
              </w:rPr>
              <w:t>Përmirësimi i sigurisë së digave dhe vendimmarrjes për infrastrukturën e vjetër, për të rritur sigurinë klimatike dhe ujore</w:t>
            </w:r>
          </w:p>
        </w:tc>
      </w:tr>
      <w:tr w:rsidR="00AB7CBF" w:rsidRPr="001C61AE" w14:paraId="0D645DAC" w14:textId="77777777" w:rsidTr="00AB7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513D083" w14:textId="77777777" w:rsidR="00AB7CBF" w:rsidRPr="001C61AE" w:rsidRDefault="00AB7CBF" w:rsidP="00AB7CBF">
            <w:pPr>
              <w:widowControl w:val="0"/>
              <w:autoSpaceDE w:val="0"/>
              <w:autoSpaceDN w:val="0"/>
              <w:spacing w:before="0" w:line="240" w:lineRule="auto"/>
              <w:jc w:val="center"/>
              <w:rPr>
                <w:rFonts w:ascii="Arial" w:eastAsia="Myriad Pro" w:hAnsi="Arial" w:cs="Arial"/>
                <w:sz w:val="20"/>
                <w:szCs w:val="20"/>
                <w:lang w:val="sq-AL"/>
              </w:rPr>
            </w:pPr>
            <w:r w:rsidRPr="001C61AE">
              <w:rPr>
                <w:rFonts w:ascii="Arial" w:eastAsia="Myriad Pro" w:hAnsi="Arial" w:cs="Arial"/>
                <w:sz w:val="20"/>
                <w:szCs w:val="20"/>
                <w:lang w:val="sq-AL"/>
              </w:rPr>
              <w:t>Përqindja e digave të larta të pajisura me sisteme funksionale dhe moderne të monitorimit të sigurisë</w:t>
            </w:r>
          </w:p>
        </w:tc>
        <w:tc>
          <w:tcPr>
            <w:tcW w:w="0" w:type="auto"/>
            <w:vAlign w:val="center"/>
            <w:hideMark/>
          </w:tcPr>
          <w:p w14:paraId="0432EA2A" w14:textId="77777777" w:rsidR="00AB7CBF" w:rsidRPr="001C61AE" w:rsidRDefault="00AB7CBF" w:rsidP="00AB7CB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Mbulim i kufizuar; shumica e sistemeve ekzistuese janë të vjetruara ose jofunksionale.</w:t>
            </w:r>
          </w:p>
        </w:tc>
        <w:tc>
          <w:tcPr>
            <w:tcW w:w="0" w:type="auto"/>
            <w:vAlign w:val="center"/>
            <w:hideMark/>
          </w:tcPr>
          <w:p w14:paraId="304E060E" w14:textId="77777777" w:rsidR="00AB7CBF" w:rsidRPr="001C61AE" w:rsidRDefault="00AB7CBF" w:rsidP="00AB7CB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50% e digave të larta të pajisura me sisteme funksionale të monitorimit.</w:t>
            </w:r>
          </w:p>
        </w:tc>
        <w:tc>
          <w:tcPr>
            <w:tcW w:w="0" w:type="auto"/>
            <w:vAlign w:val="center"/>
            <w:hideMark/>
          </w:tcPr>
          <w:p w14:paraId="3C4B14CA" w14:textId="77777777" w:rsidR="00AB7CBF" w:rsidRPr="001C61AE" w:rsidRDefault="00AB7CBF" w:rsidP="00AB7CB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100% e digave të larta të pajisura me sisteme moderne të monitorimit të sigurisë.</w:t>
            </w:r>
          </w:p>
        </w:tc>
        <w:tc>
          <w:tcPr>
            <w:tcW w:w="0" w:type="auto"/>
            <w:vAlign w:val="center"/>
            <w:hideMark/>
          </w:tcPr>
          <w:p w14:paraId="27694AB9" w14:textId="77777777" w:rsidR="00AB7CBF" w:rsidRPr="001C61AE" w:rsidRDefault="00AB7CBF" w:rsidP="00AB7CB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Monitorim i rregullt i digave.</w:t>
            </w:r>
          </w:p>
        </w:tc>
      </w:tr>
      <w:tr w:rsidR="00AB7CBF" w:rsidRPr="001C61AE" w14:paraId="77AE0639" w14:textId="77777777" w:rsidTr="00AB7CB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E6A4761" w14:textId="77777777" w:rsidR="00AB7CBF" w:rsidRPr="001C61AE" w:rsidRDefault="00AB7CBF" w:rsidP="00AB7CBF">
            <w:pPr>
              <w:widowControl w:val="0"/>
              <w:autoSpaceDE w:val="0"/>
              <w:autoSpaceDN w:val="0"/>
              <w:spacing w:before="0" w:line="240" w:lineRule="auto"/>
              <w:jc w:val="center"/>
              <w:rPr>
                <w:rFonts w:ascii="Arial" w:eastAsia="Myriad Pro" w:hAnsi="Arial" w:cs="Arial"/>
                <w:sz w:val="20"/>
                <w:szCs w:val="20"/>
                <w:lang w:val="sq-AL"/>
              </w:rPr>
            </w:pPr>
            <w:r w:rsidRPr="001C61AE">
              <w:rPr>
                <w:rFonts w:ascii="Arial" w:eastAsia="Myriad Pro" w:hAnsi="Arial" w:cs="Arial"/>
                <w:sz w:val="20"/>
                <w:szCs w:val="20"/>
                <w:lang w:val="sq-AL"/>
              </w:rPr>
              <w:t xml:space="preserve">Statusi i vendimmarrjes dhe zbatimit </w:t>
            </w:r>
            <w:r w:rsidRPr="001C61AE">
              <w:rPr>
                <w:rFonts w:ascii="Arial" w:eastAsia="Myriad Pro" w:hAnsi="Arial" w:cs="Arial"/>
                <w:sz w:val="20"/>
                <w:szCs w:val="20"/>
                <w:lang w:val="sq-AL"/>
              </w:rPr>
              <w:lastRenderedPageBreak/>
              <w:t>për të ardhmen e Digës së Livoçit</w:t>
            </w:r>
          </w:p>
        </w:tc>
        <w:tc>
          <w:tcPr>
            <w:tcW w:w="0" w:type="auto"/>
            <w:vAlign w:val="center"/>
            <w:hideMark/>
          </w:tcPr>
          <w:p w14:paraId="2E414169" w14:textId="77777777" w:rsidR="00AB7CBF" w:rsidRPr="001C61AE" w:rsidRDefault="00AB7CBF" w:rsidP="00AB7CB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lastRenderedPageBreak/>
              <w:t>Diga e Livoçit nuk është në përdorim.</w:t>
            </w:r>
          </w:p>
        </w:tc>
        <w:tc>
          <w:tcPr>
            <w:tcW w:w="0" w:type="auto"/>
            <w:vAlign w:val="center"/>
            <w:hideMark/>
          </w:tcPr>
          <w:p w14:paraId="18772593" w14:textId="77777777" w:rsidR="00AB7CBF" w:rsidRPr="001C61AE" w:rsidRDefault="00AB7CBF" w:rsidP="00AB7CB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 xml:space="preserve">Janë nisur studimet teknike dhe të fizibilitetit; </w:t>
            </w:r>
            <w:r w:rsidRPr="001C61AE">
              <w:rPr>
                <w:rFonts w:ascii="Arial" w:eastAsia="Myriad Pro" w:hAnsi="Arial" w:cs="Arial"/>
                <w:sz w:val="20"/>
                <w:szCs w:val="20"/>
                <w:lang w:val="sq-AL"/>
              </w:rPr>
              <w:lastRenderedPageBreak/>
              <w:t>është iniciuar konsultimi me palët e interesit.</w:t>
            </w:r>
          </w:p>
        </w:tc>
        <w:tc>
          <w:tcPr>
            <w:tcW w:w="0" w:type="auto"/>
            <w:vAlign w:val="center"/>
            <w:hideMark/>
          </w:tcPr>
          <w:p w14:paraId="2DE9365F" w14:textId="77777777" w:rsidR="00AB7CBF" w:rsidRPr="001C61AE" w:rsidRDefault="00AB7CBF" w:rsidP="00AB7CB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lastRenderedPageBreak/>
              <w:t xml:space="preserve">Është përfunduar dhe prezantuar publikisht një vlerësim </w:t>
            </w:r>
            <w:r w:rsidRPr="001C61AE">
              <w:rPr>
                <w:rFonts w:ascii="Arial" w:eastAsia="Myriad Pro" w:hAnsi="Arial" w:cs="Arial"/>
                <w:sz w:val="20"/>
                <w:szCs w:val="20"/>
                <w:lang w:val="sq-AL"/>
              </w:rPr>
              <w:lastRenderedPageBreak/>
              <w:t>gjithëpërfshirës teknik, mjedisor dhe socio-ekonomik për Digën e Livoçit.</w:t>
            </w:r>
          </w:p>
        </w:tc>
        <w:tc>
          <w:tcPr>
            <w:tcW w:w="0" w:type="auto"/>
            <w:vAlign w:val="center"/>
            <w:hideMark/>
          </w:tcPr>
          <w:p w14:paraId="66D7964D" w14:textId="77777777" w:rsidR="00AB7CBF" w:rsidRPr="001C61AE" w:rsidRDefault="00AB7CBF" w:rsidP="00AB7CB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lastRenderedPageBreak/>
              <w:t xml:space="preserve">Është miratuar vendim zyrtar i Qeverisë për të rehabilituar dhe caktuar autoritet </w:t>
            </w:r>
            <w:r w:rsidRPr="001C61AE">
              <w:rPr>
                <w:rFonts w:ascii="Arial" w:eastAsia="Myriad Pro" w:hAnsi="Arial" w:cs="Arial"/>
                <w:sz w:val="20"/>
                <w:szCs w:val="20"/>
                <w:lang w:val="sq-AL"/>
              </w:rPr>
              <w:lastRenderedPageBreak/>
              <w:t>menaxhues, ose për ta çaktivizuar digën; ka nisur zbatimi.</w:t>
            </w:r>
          </w:p>
        </w:tc>
      </w:tr>
      <w:tr w:rsidR="006B13EF" w:rsidRPr="001C61AE" w14:paraId="55C0B643" w14:textId="77777777" w:rsidTr="00AB7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74254B25" w14:textId="127C6114" w:rsidR="006B13EF" w:rsidRPr="001C61AE" w:rsidRDefault="006B13EF" w:rsidP="00A70686">
            <w:pPr>
              <w:widowControl w:val="0"/>
              <w:autoSpaceDE w:val="0"/>
              <w:autoSpaceDN w:val="0"/>
              <w:spacing w:before="0" w:line="240" w:lineRule="auto"/>
              <w:jc w:val="both"/>
              <w:rPr>
                <w:rFonts w:ascii="Arial" w:eastAsia="Myriad Pro" w:hAnsi="Arial" w:cs="Arial"/>
                <w:sz w:val="20"/>
                <w:szCs w:val="20"/>
                <w:lang w:val="sq-AL"/>
              </w:rPr>
            </w:pPr>
            <w:r w:rsidRPr="001C61AE">
              <w:rPr>
                <w:rFonts w:ascii="Arial" w:eastAsia="Myriad Pro" w:hAnsi="Arial" w:cs="Arial"/>
                <w:sz w:val="20"/>
                <w:szCs w:val="20"/>
                <w:lang w:val="sq-AL"/>
              </w:rPr>
              <w:lastRenderedPageBreak/>
              <w:t xml:space="preserve">I.4 </w:t>
            </w:r>
            <w:r w:rsidR="00AB7CBF" w:rsidRPr="001C61AE">
              <w:rPr>
                <w:rFonts w:ascii="Arial" w:eastAsia="Myriad Pro" w:hAnsi="Arial" w:cs="Arial"/>
                <w:sz w:val="20"/>
                <w:szCs w:val="20"/>
                <w:shd w:val="clear" w:color="auto" w:fill="C6E7F6"/>
                <w:lang w:val="sq-AL"/>
              </w:rPr>
              <w:t>Zgjerimi i impiantit për trajtimin e ujit në Shkabaj për të përmirësuar efiçiencën dhe besueshmërinë e furnizimit në rajonin e Prishtinës</w:t>
            </w:r>
          </w:p>
        </w:tc>
      </w:tr>
      <w:tr w:rsidR="00AB7CBF" w:rsidRPr="001C61AE" w14:paraId="765FFB40" w14:textId="77777777" w:rsidTr="00C65386">
        <w:tc>
          <w:tcPr>
            <w:cnfStyle w:val="001000000000" w:firstRow="0" w:lastRow="0" w:firstColumn="1" w:lastColumn="0" w:oddVBand="0" w:evenVBand="0" w:oddHBand="0" w:evenHBand="0" w:firstRowFirstColumn="0" w:firstRowLastColumn="0" w:lastRowFirstColumn="0" w:lastRowLastColumn="0"/>
            <w:tcW w:w="781" w:type="pct"/>
            <w:vAlign w:val="center"/>
          </w:tcPr>
          <w:p w14:paraId="5D1D10DD" w14:textId="6020FF5D" w:rsidR="006B13EF" w:rsidRPr="001C61AE" w:rsidRDefault="00AB7CBF" w:rsidP="00A70686">
            <w:pPr>
              <w:widowControl w:val="0"/>
              <w:autoSpaceDE w:val="0"/>
              <w:autoSpaceDN w:val="0"/>
              <w:spacing w:before="0" w:line="240" w:lineRule="auto"/>
              <w:jc w:val="center"/>
              <w:rPr>
                <w:rFonts w:ascii="Arial" w:eastAsia="Myriad Pro" w:hAnsi="Arial" w:cs="Arial"/>
                <w:b w:val="0"/>
                <w:bCs w:val="0"/>
                <w:sz w:val="20"/>
                <w:szCs w:val="20"/>
                <w:lang w:val="sq-AL"/>
              </w:rPr>
            </w:pPr>
            <w:r w:rsidRPr="001C61AE">
              <w:rPr>
                <w:rFonts w:ascii="Arial" w:eastAsia="Myriad Pro" w:hAnsi="Arial" w:cs="Arial"/>
                <w:sz w:val="20"/>
                <w:szCs w:val="20"/>
                <w:lang w:val="sq-AL"/>
              </w:rPr>
              <w:t>Statusi i përfundimit të zgjerimit të ITU-së Shkabaj në kapacitet 500 l/s</w:t>
            </w:r>
            <w:r w:rsidR="006B13EF" w:rsidRPr="001C61AE">
              <w:rPr>
                <w:rFonts w:ascii="Arial" w:eastAsia="Myriad Pro" w:hAnsi="Arial" w:cs="Arial"/>
                <w:sz w:val="20"/>
                <w:szCs w:val="20"/>
                <w:lang w:val="sq-AL"/>
              </w:rPr>
              <w:t>.</w:t>
            </w:r>
          </w:p>
        </w:tc>
        <w:tc>
          <w:tcPr>
            <w:tcW w:w="0" w:type="pct"/>
            <w:vAlign w:val="center"/>
          </w:tcPr>
          <w:p w14:paraId="3F1CD709" w14:textId="49A844A4" w:rsidR="006B13EF" w:rsidRPr="001C61AE" w:rsidRDefault="00AB7CBF"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Fillimi i projektimit përfundimtar; përgatitja e dokumentacionit të prokurimit.</w:t>
            </w:r>
          </w:p>
        </w:tc>
        <w:tc>
          <w:tcPr>
            <w:tcW w:w="947" w:type="pct"/>
            <w:vAlign w:val="center"/>
          </w:tcPr>
          <w:p w14:paraId="50724B8F" w14:textId="47CC7C59" w:rsidR="006B13EF" w:rsidRPr="001C61AE" w:rsidRDefault="00AB7CBF"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Përfundimi i projektimit përfundimtar; nisja e prokurimit për pompat dhe përmirësimet e objekteve.</w:t>
            </w:r>
          </w:p>
        </w:tc>
        <w:tc>
          <w:tcPr>
            <w:tcW w:w="1067" w:type="pct"/>
            <w:vAlign w:val="center"/>
          </w:tcPr>
          <w:p w14:paraId="4BC99E3E" w14:textId="1C3BB1D4" w:rsidR="006B13EF" w:rsidRPr="001C61AE" w:rsidRDefault="00AB7CBF"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Punimet e zgjerimit të përfunduara; kapaciteti i ri plotësisht funksional.</w:t>
            </w:r>
          </w:p>
        </w:tc>
        <w:tc>
          <w:tcPr>
            <w:tcW w:w="1378" w:type="pct"/>
            <w:vAlign w:val="center"/>
          </w:tcPr>
          <w:p w14:paraId="10C87C94" w14:textId="66AB7D54" w:rsidR="006B13EF" w:rsidRPr="001C61AE" w:rsidRDefault="00AB7CBF"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Mbahet funksional në 500 l/s.</w:t>
            </w:r>
          </w:p>
        </w:tc>
      </w:tr>
      <w:tr w:rsidR="006B13EF" w:rsidRPr="001C61AE" w14:paraId="5DFDF22E" w14:textId="77777777" w:rsidTr="00AB7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5B36BD03" w14:textId="327D4510" w:rsidR="006B13EF" w:rsidRPr="001C61AE" w:rsidRDefault="006B13EF" w:rsidP="00A70686">
            <w:pPr>
              <w:widowControl w:val="0"/>
              <w:autoSpaceDE w:val="0"/>
              <w:autoSpaceDN w:val="0"/>
              <w:spacing w:before="0" w:line="240" w:lineRule="auto"/>
              <w:jc w:val="both"/>
              <w:rPr>
                <w:rFonts w:ascii="Arial" w:eastAsia="Myriad Pro" w:hAnsi="Arial" w:cs="Arial"/>
                <w:sz w:val="20"/>
                <w:szCs w:val="20"/>
                <w:lang w:val="sq-AL"/>
              </w:rPr>
            </w:pPr>
            <w:r w:rsidRPr="001C61AE">
              <w:rPr>
                <w:rFonts w:ascii="Arial" w:eastAsia="Myriad Pro" w:hAnsi="Arial" w:cs="Arial"/>
                <w:sz w:val="20"/>
                <w:szCs w:val="20"/>
                <w:lang w:val="sq-AL"/>
              </w:rPr>
              <w:t xml:space="preserve">I.5 </w:t>
            </w:r>
            <w:r w:rsidR="00AB7CBF" w:rsidRPr="001C61AE">
              <w:rPr>
                <w:rFonts w:ascii="Arial" w:eastAsia="Myriad Pro" w:hAnsi="Arial" w:cs="Arial"/>
                <w:sz w:val="20"/>
                <w:szCs w:val="20"/>
                <w:lang w:val="sq-AL"/>
              </w:rPr>
              <w:t>Përmirësimi i qëndrueshmërisë ndaj thatësirave dhe besueshmërisë së furnizimit me ujë përmes ndërlidhjes emergjente ndërmjet Liqenit të Ujmanit dhe rezervuarit të Badovcit</w:t>
            </w:r>
          </w:p>
        </w:tc>
      </w:tr>
      <w:tr w:rsidR="00AB7CBF" w:rsidRPr="001C61AE" w14:paraId="175634F8" w14:textId="77777777" w:rsidTr="00C65386">
        <w:tc>
          <w:tcPr>
            <w:cnfStyle w:val="001000000000" w:firstRow="0" w:lastRow="0" w:firstColumn="1" w:lastColumn="0" w:oddVBand="0" w:evenVBand="0" w:oddHBand="0" w:evenHBand="0" w:firstRowFirstColumn="0" w:firstRowLastColumn="0" w:lastRowFirstColumn="0" w:lastRowLastColumn="0"/>
            <w:tcW w:w="781" w:type="pct"/>
            <w:vAlign w:val="center"/>
          </w:tcPr>
          <w:p w14:paraId="7240C399" w14:textId="560CADF0" w:rsidR="006B13EF" w:rsidRPr="001C61AE" w:rsidRDefault="001D027F" w:rsidP="00A70686">
            <w:pPr>
              <w:widowControl w:val="0"/>
              <w:autoSpaceDE w:val="0"/>
              <w:autoSpaceDN w:val="0"/>
              <w:spacing w:before="0" w:line="240" w:lineRule="auto"/>
              <w:jc w:val="center"/>
              <w:rPr>
                <w:rFonts w:ascii="Arial" w:eastAsia="Myriad Pro" w:hAnsi="Arial" w:cs="Arial"/>
                <w:b w:val="0"/>
                <w:bCs w:val="0"/>
                <w:sz w:val="20"/>
                <w:szCs w:val="20"/>
                <w:lang w:val="sq-AL"/>
              </w:rPr>
            </w:pPr>
            <w:r w:rsidRPr="001C61AE">
              <w:rPr>
                <w:rFonts w:ascii="Arial" w:eastAsia="Myriad Pro" w:hAnsi="Arial" w:cs="Arial"/>
                <w:sz w:val="20"/>
                <w:szCs w:val="20"/>
                <w:lang w:val="sq-AL"/>
              </w:rPr>
              <w:t>Statusi i përfundimit të tubacionit të ndërlidhjes direkte të Ujman-Badovc.</w:t>
            </w:r>
          </w:p>
        </w:tc>
        <w:tc>
          <w:tcPr>
            <w:tcW w:w="0" w:type="pct"/>
            <w:vAlign w:val="center"/>
          </w:tcPr>
          <w:p w14:paraId="399CAC35" w14:textId="328A875C" w:rsidR="006B13EF" w:rsidRPr="001C61AE" w:rsidRDefault="001D027F"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Një tubacion ekzistues është në vend, por është i vjetër dhe vuan nga humbje të konsiderueshme uji, duke e bërë atë të pasigurt për përdorim në emergjenca.</w:t>
            </w:r>
          </w:p>
        </w:tc>
        <w:tc>
          <w:tcPr>
            <w:tcW w:w="947" w:type="pct"/>
            <w:vAlign w:val="center"/>
          </w:tcPr>
          <w:p w14:paraId="4A874F2F" w14:textId="1560B05E" w:rsidR="006B13EF" w:rsidRPr="001C61AE" w:rsidRDefault="001D027F"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Vlerësimi i gjendjes është përfunduar; projektimi teknik ka filluar.</w:t>
            </w:r>
          </w:p>
        </w:tc>
        <w:tc>
          <w:tcPr>
            <w:tcW w:w="1067" w:type="pct"/>
            <w:vAlign w:val="center"/>
          </w:tcPr>
          <w:p w14:paraId="43F5A76C" w14:textId="02D905FB" w:rsidR="006B13EF" w:rsidRPr="001C61AE" w:rsidRDefault="001D027F"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Projektimi teknik është përfunduar.</w:t>
            </w:r>
          </w:p>
        </w:tc>
        <w:tc>
          <w:tcPr>
            <w:tcW w:w="1378" w:type="pct"/>
            <w:vAlign w:val="center"/>
          </w:tcPr>
          <w:p w14:paraId="4224C2E9" w14:textId="04799735" w:rsidR="006B13EF" w:rsidRPr="001C61AE" w:rsidRDefault="001D027F"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Tubacioni i emergjencës është plotësisht funksional dhe i integruar hidraulikisht me Uzinën e Trajtimit të Ujit në Badovc, me procedura operative të përcaktuara për aktivizimin e shkaktuar nga thatësira.</w:t>
            </w:r>
          </w:p>
        </w:tc>
      </w:tr>
      <w:tr w:rsidR="006B13EF" w:rsidRPr="001C61AE" w14:paraId="2A42A01F" w14:textId="77777777" w:rsidTr="00AB7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613ADD24" w14:textId="13863D50" w:rsidR="006B13EF" w:rsidRPr="001C61AE" w:rsidRDefault="006B13EF" w:rsidP="00A70686">
            <w:pPr>
              <w:widowControl w:val="0"/>
              <w:autoSpaceDE w:val="0"/>
              <w:autoSpaceDN w:val="0"/>
              <w:spacing w:before="0" w:line="240" w:lineRule="auto"/>
              <w:jc w:val="both"/>
              <w:rPr>
                <w:rFonts w:ascii="Arial" w:eastAsia="Myriad Pro" w:hAnsi="Arial" w:cs="Arial"/>
                <w:sz w:val="20"/>
                <w:szCs w:val="20"/>
                <w:lang w:val="sq-AL"/>
              </w:rPr>
            </w:pPr>
            <w:r w:rsidRPr="001C61AE">
              <w:rPr>
                <w:rFonts w:ascii="Arial" w:eastAsia="Myriad Pro" w:hAnsi="Arial" w:cs="Arial"/>
                <w:sz w:val="20"/>
                <w:szCs w:val="20"/>
                <w:lang w:val="sq-AL"/>
              </w:rPr>
              <w:t xml:space="preserve">I.6 </w:t>
            </w:r>
            <w:r w:rsidR="001D027F" w:rsidRPr="001C61AE">
              <w:rPr>
                <w:rFonts w:ascii="Arial" w:eastAsia="Myriad Pro" w:hAnsi="Arial" w:cs="Arial"/>
                <w:sz w:val="20"/>
                <w:szCs w:val="20"/>
                <w:lang w:val="sq-AL"/>
              </w:rPr>
              <w:t>Fuqizimi i sigurisë së ujit në Kosovën qendrore përmes rishqyrtimit të ndërtimit të rezervuarit të Mihaliqit</w:t>
            </w:r>
          </w:p>
        </w:tc>
      </w:tr>
      <w:tr w:rsidR="00AB7CBF" w:rsidRPr="001C61AE" w14:paraId="0706B017" w14:textId="77777777" w:rsidTr="00C65386">
        <w:tc>
          <w:tcPr>
            <w:cnfStyle w:val="001000000000" w:firstRow="0" w:lastRow="0" w:firstColumn="1" w:lastColumn="0" w:oddVBand="0" w:evenVBand="0" w:oddHBand="0" w:evenHBand="0" w:firstRowFirstColumn="0" w:firstRowLastColumn="0" w:lastRowFirstColumn="0" w:lastRowLastColumn="0"/>
            <w:tcW w:w="781" w:type="pct"/>
            <w:vAlign w:val="center"/>
          </w:tcPr>
          <w:p w14:paraId="59058A45" w14:textId="293711AE" w:rsidR="006B13EF" w:rsidRPr="001C61AE" w:rsidRDefault="001D027F" w:rsidP="00A70686">
            <w:pPr>
              <w:widowControl w:val="0"/>
              <w:autoSpaceDE w:val="0"/>
              <w:autoSpaceDN w:val="0"/>
              <w:spacing w:before="0" w:line="240" w:lineRule="auto"/>
              <w:jc w:val="center"/>
              <w:rPr>
                <w:rFonts w:ascii="Arial" w:eastAsia="Myriad Pro" w:hAnsi="Arial" w:cs="Arial"/>
                <w:b w:val="0"/>
                <w:bCs w:val="0"/>
                <w:sz w:val="20"/>
                <w:szCs w:val="20"/>
                <w:lang w:val="sq-AL"/>
              </w:rPr>
            </w:pPr>
            <w:r w:rsidRPr="001C61AE">
              <w:rPr>
                <w:rFonts w:ascii="Arial" w:eastAsia="Myriad Pro" w:hAnsi="Arial" w:cs="Arial"/>
                <w:sz w:val="20"/>
                <w:szCs w:val="20"/>
                <w:lang w:val="sq-AL"/>
              </w:rPr>
              <w:t>Statusi i planifikimit dhe zhvillimit të Rezervuarit të Mihaliqit</w:t>
            </w:r>
          </w:p>
        </w:tc>
        <w:tc>
          <w:tcPr>
            <w:tcW w:w="0" w:type="pct"/>
            <w:vAlign w:val="center"/>
          </w:tcPr>
          <w:p w14:paraId="44965E12" w14:textId="318FAEC7" w:rsidR="006B13EF" w:rsidRPr="001C61AE" w:rsidRDefault="001D027F"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Projektimi teknik dhe VNMS-ja janë përfunduar.</w:t>
            </w:r>
          </w:p>
        </w:tc>
        <w:tc>
          <w:tcPr>
            <w:tcW w:w="947" w:type="pct"/>
            <w:vAlign w:val="center"/>
          </w:tcPr>
          <w:p w14:paraId="57A3ACAF" w14:textId="43BE4FA1" w:rsidR="006B13EF" w:rsidRPr="001C61AE" w:rsidRDefault="001D027F"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Tenderimi dhe prokurimi për ndërtimin kanë filluar.</w:t>
            </w:r>
          </w:p>
        </w:tc>
        <w:tc>
          <w:tcPr>
            <w:tcW w:w="1067" w:type="pct"/>
            <w:vAlign w:val="center"/>
          </w:tcPr>
          <w:p w14:paraId="3D248EBD" w14:textId="635580A3" w:rsidR="006B13EF" w:rsidRPr="001C61AE" w:rsidRDefault="001D027F"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Kontrata e ndërtimit është dhënë.</w:t>
            </w:r>
          </w:p>
        </w:tc>
        <w:tc>
          <w:tcPr>
            <w:tcW w:w="1378" w:type="pct"/>
            <w:vAlign w:val="center"/>
          </w:tcPr>
          <w:p w14:paraId="3E84C858" w14:textId="709FB285" w:rsidR="006B13EF" w:rsidRPr="001C61AE" w:rsidRDefault="001D027F"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Rezervuari i Mihaliqit është funksional dhe i integruar në sistemin Ibër-Lepenc.</w:t>
            </w:r>
          </w:p>
        </w:tc>
      </w:tr>
      <w:tr w:rsidR="006B13EF" w:rsidRPr="001C61AE" w14:paraId="177977EB" w14:textId="77777777" w:rsidTr="00AB7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0F4761"/>
            <w:vAlign w:val="center"/>
          </w:tcPr>
          <w:p w14:paraId="269E06D9" w14:textId="3F1C80B5" w:rsidR="006B13EF" w:rsidRPr="001C61AE" w:rsidRDefault="0040465B" w:rsidP="00A70686">
            <w:pPr>
              <w:spacing w:before="0" w:line="240" w:lineRule="auto"/>
              <w:jc w:val="center"/>
              <w:rPr>
                <w:rFonts w:ascii="Arial" w:hAnsi="Arial" w:cs="Arial"/>
                <w:b w:val="0"/>
                <w:bCs w:val="0"/>
                <w:sz w:val="20"/>
                <w:szCs w:val="20"/>
                <w:lang w:val="sq-AL"/>
              </w:rPr>
            </w:pPr>
            <w:r w:rsidRPr="001C61AE">
              <w:rPr>
                <w:rFonts w:ascii="Arial" w:eastAsia="Myriad Pro" w:hAnsi="Arial" w:cs="Arial"/>
                <w:sz w:val="20"/>
                <w:szCs w:val="20"/>
                <w:lang w:val="sq-AL"/>
              </w:rPr>
              <w:t>Prioriteti kyç për përshtatje</w:t>
            </w:r>
            <w:r w:rsidR="006B13EF" w:rsidRPr="001C61AE">
              <w:rPr>
                <w:rFonts w:ascii="Arial" w:eastAsia="Myriad Pro" w:hAnsi="Arial" w:cs="Arial"/>
                <w:sz w:val="20"/>
                <w:szCs w:val="20"/>
                <w:lang w:val="sq-AL"/>
              </w:rPr>
              <w:t xml:space="preserve">: </w:t>
            </w:r>
            <w:r w:rsidR="001D027F" w:rsidRPr="001C61AE">
              <w:rPr>
                <w:rFonts w:ascii="Arial" w:eastAsia="Myriad Pro" w:hAnsi="Arial" w:cs="Arial"/>
                <w:sz w:val="20"/>
                <w:szCs w:val="20"/>
                <w:lang w:val="sq-AL"/>
              </w:rPr>
              <w:t>Menaxhim i qëndrueshëm i pellgjeve ujore</w:t>
            </w:r>
          </w:p>
        </w:tc>
      </w:tr>
      <w:tr w:rsidR="006B13EF" w:rsidRPr="001C61AE" w14:paraId="7F426834" w14:textId="77777777" w:rsidTr="00AB7CBF">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29FA37FB" w14:textId="7731B2E6" w:rsidR="006B13EF" w:rsidRPr="001C61AE" w:rsidRDefault="006B13EF" w:rsidP="00A70686">
            <w:pPr>
              <w:widowControl w:val="0"/>
              <w:autoSpaceDE w:val="0"/>
              <w:autoSpaceDN w:val="0"/>
              <w:spacing w:before="0" w:line="240" w:lineRule="auto"/>
              <w:jc w:val="both"/>
              <w:rPr>
                <w:rFonts w:ascii="Arial" w:eastAsia="Myriad Pro" w:hAnsi="Arial" w:cs="Arial"/>
                <w:sz w:val="20"/>
                <w:szCs w:val="20"/>
                <w:lang w:val="sq-AL"/>
              </w:rPr>
            </w:pPr>
            <w:r w:rsidRPr="001C61AE">
              <w:rPr>
                <w:rFonts w:ascii="Arial" w:eastAsia="Myriad Pro" w:hAnsi="Arial" w:cs="Arial"/>
                <w:sz w:val="20"/>
                <w:szCs w:val="20"/>
                <w:lang w:val="sq-AL"/>
              </w:rPr>
              <w:t xml:space="preserve">I.7 </w:t>
            </w:r>
            <w:r w:rsidR="001D027F" w:rsidRPr="001C61AE">
              <w:rPr>
                <w:rFonts w:ascii="Arial" w:eastAsia="Myriad Pro" w:hAnsi="Arial" w:cs="Arial"/>
                <w:sz w:val="20"/>
                <w:szCs w:val="20"/>
                <w:lang w:val="sq-AL"/>
              </w:rPr>
              <w:t>Ulja e humbjeve të ujit</w:t>
            </w:r>
          </w:p>
        </w:tc>
      </w:tr>
      <w:tr w:rsidR="006B13EF" w:rsidRPr="001C61AE" w14:paraId="26158DF8" w14:textId="77777777" w:rsidTr="00C65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shd w:val="clear" w:color="auto" w:fill="auto"/>
            <w:vAlign w:val="center"/>
          </w:tcPr>
          <w:p w14:paraId="31A492CB" w14:textId="134CCCA3" w:rsidR="006B13EF" w:rsidRPr="001C61AE" w:rsidRDefault="001D027F" w:rsidP="00A70686">
            <w:pPr>
              <w:widowControl w:val="0"/>
              <w:autoSpaceDE w:val="0"/>
              <w:autoSpaceDN w:val="0"/>
              <w:spacing w:before="0" w:line="240" w:lineRule="auto"/>
              <w:jc w:val="center"/>
              <w:rPr>
                <w:rFonts w:ascii="Arial" w:eastAsia="Myriad Pro" w:hAnsi="Arial" w:cs="Arial"/>
                <w:b w:val="0"/>
                <w:bCs w:val="0"/>
                <w:sz w:val="20"/>
                <w:szCs w:val="20"/>
                <w:lang w:val="sq-AL"/>
              </w:rPr>
            </w:pPr>
            <w:r w:rsidRPr="001C61AE">
              <w:rPr>
                <w:rFonts w:ascii="Arial" w:eastAsia="Myriad Pro" w:hAnsi="Arial" w:cs="Arial"/>
                <w:sz w:val="20"/>
                <w:szCs w:val="20"/>
                <w:lang w:val="sq-AL"/>
              </w:rPr>
              <w:t>Ulja e humbjeve të ujit</w:t>
            </w:r>
          </w:p>
        </w:tc>
        <w:tc>
          <w:tcPr>
            <w:tcW w:w="0" w:type="pct"/>
            <w:shd w:val="clear" w:color="auto" w:fill="auto"/>
            <w:vAlign w:val="center"/>
          </w:tcPr>
          <w:p w14:paraId="11A051FC" w14:textId="77777777" w:rsidR="006B13EF" w:rsidRPr="001C61AE" w:rsidRDefault="006B13EF"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61%</w:t>
            </w:r>
          </w:p>
        </w:tc>
        <w:tc>
          <w:tcPr>
            <w:tcW w:w="947" w:type="pct"/>
            <w:vAlign w:val="center"/>
          </w:tcPr>
          <w:p w14:paraId="4E75FB06" w14:textId="77777777" w:rsidR="006B13EF" w:rsidRPr="001C61AE" w:rsidRDefault="006B13EF"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50%</w:t>
            </w:r>
          </w:p>
        </w:tc>
        <w:tc>
          <w:tcPr>
            <w:tcW w:w="1067" w:type="pct"/>
            <w:shd w:val="clear" w:color="auto" w:fill="auto"/>
            <w:vAlign w:val="center"/>
          </w:tcPr>
          <w:p w14:paraId="1F2C0427" w14:textId="77777777" w:rsidR="006B13EF" w:rsidRPr="001C61AE" w:rsidRDefault="006B13EF"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40%</w:t>
            </w:r>
          </w:p>
        </w:tc>
        <w:tc>
          <w:tcPr>
            <w:tcW w:w="1378" w:type="pct"/>
            <w:shd w:val="clear" w:color="auto" w:fill="auto"/>
            <w:vAlign w:val="center"/>
          </w:tcPr>
          <w:p w14:paraId="76A80004" w14:textId="77777777" w:rsidR="006B13EF" w:rsidRPr="001C61AE" w:rsidRDefault="006B13EF"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≤30%</w:t>
            </w:r>
          </w:p>
        </w:tc>
      </w:tr>
      <w:tr w:rsidR="00AB7CBF" w:rsidRPr="001C61AE" w14:paraId="6CD0B476" w14:textId="77777777" w:rsidTr="00C65386">
        <w:tc>
          <w:tcPr>
            <w:cnfStyle w:val="001000000000" w:firstRow="0" w:lastRow="0" w:firstColumn="1" w:lastColumn="0" w:oddVBand="0" w:evenVBand="0" w:oddHBand="0" w:evenHBand="0" w:firstRowFirstColumn="0" w:firstRowLastColumn="0" w:lastRowFirstColumn="0" w:lastRowLastColumn="0"/>
            <w:tcW w:w="781" w:type="pct"/>
            <w:vAlign w:val="center"/>
          </w:tcPr>
          <w:p w14:paraId="23F427F4" w14:textId="1FDC9798" w:rsidR="006B13EF" w:rsidRPr="001C61AE" w:rsidRDefault="001D027F" w:rsidP="00A70686">
            <w:pPr>
              <w:widowControl w:val="0"/>
              <w:autoSpaceDE w:val="0"/>
              <w:autoSpaceDN w:val="0"/>
              <w:spacing w:before="0" w:line="240" w:lineRule="auto"/>
              <w:jc w:val="center"/>
              <w:rPr>
                <w:rFonts w:ascii="Arial" w:eastAsia="Myriad Pro" w:hAnsi="Arial" w:cs="Arial"/>
                <w:b w:val="0"/>
                <w:bCs w:val="0"/>
                <w:sz w:val="20"/>
                <w:szCs w:val="20"/>
                <w:lang w:val="sq-AL"/>
              </w:rPr>
            </w:pPr>
            <w:r w:rsidRPr="001C61AE">
              <w:rPr>
                <w:rFonts w:ascii="Arial" w:eastAsia="Myriad Pro" w:hAnsi="Arial" w:cs="Arial"/>
                <w:sz w:val="20"/>
                <w:szCs w:val="20"/>
                <w:lang w:val="sq-AL"/>
              </w:rPr>
              <w:t>Pjesa e zonës së shërbimit me matës inteligjent</w:t>
            </w:r>
          </w:p>
        </w:tc>
        <w:tc>
          <w:tcPr>
            <w:tcW w:w="0" w:type="pct"/>
            <w:vAlign w:val="center"/>
          </w:tcPr>
          <w:p w14:paraId="68AD92B5" w14:textId="30B116F0" w:rsidR="006B13EF" w:rsidRPr="001C61AE" w:rsidRDefault="001D027F"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Vetëm disa zona pilot.</w:t>
            </w:r>
          </w:p>
        </w:tc>
        <w:tc>
          <w:tcPr>
            <w:tcW w:w="947" w:type="pct"/>
            <w:vAlign w:val="center"/>
          </w:tcPr>
          <w:p w14:paraId="65E20623" w14:textId="77777777" w:rsidR="006B13EF" w:rsidRPr="001C61AE" w:rsidRDefault="006B13EF"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75%</w:t>
            </w:r>
          </w:p>
        </w:tc>
        <w:tc>
          <w:tcPr>
            <w:tcW w:w="1067" w:type="pct"/>
            <w:vAlign w:val="center"/>
          </w:tcPr>
          <w:p w14:paraId="2B126B7F" w14:textId="77777777" w:rsidR="006B13EF" w:rsidRPr="001C61AE" w:rsidRDefault="006B13EF"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100%</w:t>
            </w:r>
          </w:p>
        </w:tc>
        <w:tc>
          <w:tcPr>
            <w:tcW w:w="1378" w:type="pct"/>
            <w:vAlign w:val="center"/>
          </w:tcPr>
          <w:p w14:paraId="7CB2A77F" w14:textId="77777777" w:rsidR="006B13EF" w:rsidRPr="001C61AE" w:rsidRDefault="006B13EF"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100%</w:t>
            </w:r>
          </w:p>
        </w:tc>
      </w:tr>
      <w:tr w:rsidR="006B13EF" w:rsidRPr="001C61AE" w14:paraId="51278B5C" w14:textId="77777777" w:rsidTr="00AB7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1DA8007D" w14:textId="33DD2089" w:rsidR="006B13EF" w:rsidRPr="001C61AE" w:rsidRDefault="006B13EF" w:rsidP="00A70686">
            <w:pPr>
              <w:widowControl w:val="0"/>
              <w:autoSpaceDE w:val="0"/>
              <w:autoSpaceDN w:val="0"/>
              <w:spacing w:before="0" w:line="240" w:lineRule="auto"/>
              <w:jc w:val="both"/>
              <w:rPr>
                <w:rFonts w:ascii="Arial" w:eastAsia="Myriad Pro" w:hAnsi="Arial" w:cs="Arial"/>
                <w:sz w:val="20"/>
                <w:szCs w:val="20"/>
                <w:lang w:val="sq-AL"/>
              </w:rPr>
            </w:pPr>
            <w:r w:rsidRPr="001C61AE">
              <w:rPr>
                <w:rFonts w:ascii="Arial" w:eastAsia="Myriad Pro" w:hAnsi="Arial" w:cs="Arial"/>
                <w:sz w:val="20"/>
                <w:szCs w:val="20"/>
                <w:lang w:val="sq-AL"/>
              </w:rPr>
              <w:t xml:space="preserve">I.8 </w:t>
            </w:r>
            <w:r w:rsidR="001D027F" w:rsidRPr="001C61AE">
              <w:rPr>
                <w:rFonts w:ascii="Arial" w:eastAsia="Myriad Pro" w:hAnsi="Arial" w:cs="Arial"/>
                <w:sz w:val="20"/>
                <w:szCs w:val="20"/>
                <w:lang w:val="sq-AL"/>
              </w:rPr>
              <w:t xml:space="preserve">Fuqizimi i sistemeve të menaxhimit të ujërave </w:t>
            </w:r>
            <w:r w:rsidR="00791EF2" w:rsidRPr="001C61AE">
              <w:rPr>
                <w:rFonts w:ascii="Arial" w:eastAsia="Myriad Pro" w:hAnsi="Arial" w:cs="Arial"/>
                <w:sz w:val="20"/>
                <w:szCs w:val="20"/>
                <w:lang w:val="sq-AL"/>
              </w:rPr>
              <w:t>atmosferik</w:t>
            </w:r>
            <w:r w:rsidR="001D027F" w:rsidRPr="001C61AE">
              <w:rPr>
                <w:rFonts w:ascii="Arial" w:eastAsia="Myriad Pro" w:hAnsi="Arial" w:cs="Arial"/>
                <w:sz w:val="20"/>
                <w:szCs w:val="20"/>
                <w:lang w:val="sq-AL"/>
              </w:rPr>
              <w:t xml:space="preserve"> për qëndrueshmëri urbane dhe përshtatje ndaj ndryshimeve klimatike</w:t>
            </w:r>
          </w:p>
        </w:tc>
      </w:tr>
      <w:tr w:rsidR="00AB7CBF" w:rsidRPr="001C61AE" w14:paraId="58CDD74F" w14:textId="77777777" w:rsidTr="00C65386">
        <w:tc>
          <w:tcPr>
            <w:cnfStyle w:val="001000000000" w:firstRow="0" w:lastRow="0" w:firstColumn="1" w:lastColumn="0" w:oddVBand="0" w:evenVBand="0" w:oddHBand="0" w:evenHBand="0" w:firstRowFirstColumn="0" w:firstRowLastColumn="0" w:lastRowFirstColumn="0" w:lastRowLastColumn="0"/>
            <w:tcW w:w="781" w:type="pct"/>
            <w:vAlign w:val="center"/>
          </w:tcPr>
          <w:p w14:paraId="751A1AFD" w14:textId="0113300B" w:rsidR="006B13EF" w:rsidRPr="001C61AE" w:rsidRDefault="001D027F" w:rsidP="00A70686">
            <w:pPr>
              <w:widowControl w:val="0"/>
              <w:autoSpaceDE w:val="0"/>
              <w:autoSpaceDN w:val="0"/>
              <w:spacing w:before="0" w:line="240" w:lineRule="auto"/>
              <w:jc w:val="center"/>
              <w:rPr>
                <w:rFonts w:ascii="Arial" w:eastAsia="Myriad Pro" w:hAnsi="Arial" w:cs="Arial"/>
                <w:b w:val="0"/>
                <w:bCs w:val="0"/>
                <w:sz w:val="20"/>
                <w:szCs w:val="20"/>
                <w:lang w:val="sq-AL"/>
              </w:rPr>
            </w:pPr>
            <w:r w:rsidRPr="001C61AE">
              <w:rPr>
                <w:rFonts w:ascii="Arial" w:eastAsia="Myriad Pro" w:hAnsi="Arial" w:cs="Arial"/>
                <w:sz w:val="20"/>
                <w:szCs w:val="20"/>
                <w:lang w:val="sq-AL"/>
              </w:rPr>
              <w:t>Numri i komunave me Plane të miratuara për Menaxhimin e Ujërave atmosferik</w:t>
            </w:r>
          </w:p>
        </w:tc>
        <w:tc>
          <w:tcPr>
            <w:tcW w:w="0" w:type="pct"/>
            <w:vAlign w:val="center"/>
          </w:tcPr>
          <w:p w14:paraId="058A628F" w14:textId="108BC742" w:rsidR="006B13EF" w:rsidRPr="001C61AE" w:rsidRDefault="00791EF2"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Asnjë.</w:t>
            </w:r>
          </w:p>
        </w:tc>
        <w:tc>
          <w:tcPr>
            <w:tcW w:w="947" w:type="pct"/>
            <w:vAlign w:val="center"/>
          </w:tcPr>
          <w:p w14:paraId="28F3CB29" w14:textId="72FB1B42" w:rsidR="006B13EF" w:rsidRPr="001C61AE" w:rsidRDefault="00791EF2"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Vlerësimet e cenueshmërisë ndaj ujërave atmosferik të përfunduara në të paktën 5 komuna.</w:t>
            </w:r>
          </w:p>
        </w:tc>
        <w:tc>
          <w:tcPr>
            <w:tcW w:w="1067" w:type="pct"/>
            <w:vAlign w:val="center"/>
          </w:tcPr>
          <w:p w14:paraId="2BC5BB1D" w14:textId="7E78833D" w:rsidR="006B13EF" w:rsidRPr="001C61AE" w:rsidRDefault="00791EF2"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Të paktën 5 (duke përfshirë zonat me rrezik të lartë si Prishtina, Mitrovica, Skenderaj, Fushë Kosova, Podujeva).</w:t>
            </w:r>
          </w:p>
        </w:tc>
        <w:tc>
          <w:tcPr>
            <w:tcW w:w="1378" w:type="pct"/>
            <w:vAlign w:val="center"/>
          </w:tcPr>
          <w:p w14:paraId="5BA80B7E" w14:textId="6ED9B381" w:rsidR="006B13EF" w:rsidRPr="001C61AE" w:rsidRDefault="00791EF2"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Të gjitha komunat miratuan Planet e Menaxhimit të Ujërave atmosferik, të harmonizuara me planet e përshtatjes ndaj klimës dhe zhvillimit urban.</w:t>
            </w:r>
          </w:p>
        </w:tc>
      </w:tr>
      <w:tr w:rsidR="006B13EF" w:rsidRPr="001C61AE" w14:paraId="33264CBC" w14:textId="77777777" w:rsidTr="00C65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shd w:val="clear" w:color="auto" w:fill="auto"/>
            <w:vAlign w:val="center"/>
          </w:tcPr>
          <w:p w14:paraId="6BC9D92C" w14:textId="3CA1C640" w:rsidR="006B13EF" w:rsidRPr="001C61AE" w:rsidRDefault="00791EF2" w:rsidP="00A70686">
            <w:pPr>
              <w:widowControl w:val="0"/>
              <w:autoSpaceDE w:val="0"/>
              <w:autoSpaceDN w:val="0"/>
              <w:spacing w:before="0" w:line="240" w:lineRule="auto"/>
              <w:jc w:val="center"/>
              <w:rPr>
                <w:rFonts w:ascii="Arial" w:eastAsia="Myriad Pro" w:hAnsi="Arial" w:cs="Arial"/>
                <w:b w:val="0"/>
                <w:bCs w:val="0"/>
                <w:sz w:val="20"/>
                <w:szCs w:val="20"/>
                <w:lang w:val="sq-AL"/>
              </w:rPr>
            </w:pPr>
            <w:r w:rsidRPr="001C61AE">
              <w:rPr>
                <w:rFonts w:ascii="Arial" w:eastAsia="Myriad Pro" w:hAnsi="Arial" w:cs="Arial"/>
                <w:sz w:val="20"/>
                <w:szCs w:val="20"/>
                <w:lang w:val="sq-AL"/>
              </w:rPr>
              <w:t xml:space="preserve">Gjatësia (km) e rrjeteve të veçanta të ujërave atmosferik të ndërtuara ose të rehabilituara </w:t>
            </w:r>
            <w:r w:rsidRPr="001C61AE">
              <w:rPr>
                <w:rFonts w:ascii="Arial" w:eastAsia="Myriad Pro" w:hAnsi="Arial" w:cs="Arial"/>
                <w:sz w:val="20"/>
                <w:szCs w:val="20"/>
                <w:lang w:val="sq-AL"/>
              </w:rPr>
              <w:lastRenderedPageBreak/>
              <w:t>rishtazi.</w:t>
            </w:r>
          </w:p>
        </w:tc>
        <w:tc>
          <w:tcPr>
            <w:tcW w:w="0" w:type="pct"/>
            <w:shd w:val="clear" w:color="auto" w:fill="auto"/>
            <w:vAlign w:val="center"/>
          </w:tcPr>
          <w:p w14:paraId="399D6745" w14:textId="332002D4" w:rsidR="006B13EF" w:rsidRPr="001C61AE" w:rsidRDefault="00791EF2"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lastRenderedPageBreak/>
              <w:t>Vetëm disa zona pilot.</w:t>
            </w:r>
          </w:p>
        </w:tc>
        <w:tc>
          <w:tcPr>
            <w:tcW w:w="947" w:type="pct"/>
            <w:vAlign w:val="center"/>
          </w:tcPr>
          <w:p w14:paraId="668F8653" w14:textId="0676010B" w:rsidR="006B13EF" w:rsidRPr="001C61AE" w:rsidRDefault="00791EF2"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20–30 km rrjete të ujërave atmosferik të përmirësuara ose të ndërtuara në zona kritike.</w:t>
            </w:r>
          </w:p>
        </w:tc>
        <w:tc>
          <w:tcPr>
            <w:tcW w:w="1067" w:type="pct"/>
            <w:shd w:val="clear" w:color="auto" w:fill="auto"/>
            <w:vAlign w:val="center"/>
          </w:tcPr>
          <w:p w14:paraId="2B210A33" w14:textId="598ADC26" w:rsidR="006B13EF" w:rsidRPr="001C61AE" w:rsidRDefault="00791EF2"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Të paktën 50 km infrastrukturë të re ose të përmirësuar të ujërave atmosferik të zbatuara në zonat urbane me përparësi.</w:t>
            </w:r>
          </w:p>
        </w:tc>
        <w:tc>
          <w:tcPr>
            <w:tcW w:w="1378" w:type="pct"/>
            <w:shd w:val="clear" w:color="auto" w:fill="auto"/>
            <w:vAlign w:val="center"/>
          </w:tcPr>
          <w:p w14:paraId="2D911D85" w14:textId="72E5AF59" w:rsidR="006B13EF" w:rsidRPr="001C61AE" w:rsidRDefault="00791EF2"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Të paktën 100 km rrjete të reja ose të përmirësuara të ujërave atmosferik të përfunduara, me përparësi të dhënë lagjeve të prirura ndaj përmbytjeve.</w:t>
            </w:r>
          </w:p>
        </w:tc>
      </w:tr>
      <w:tr w:rsidR="006B13EF" w:rsidRPr="001C61AE" w14:paraId="337265BB" w14:textId="77777777" w:rsidTr="00AB7CBF">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5F5AA4D5" w14:textId="78FD7093" w:rsidR="006B13EF" w:rsidRPr="001C61AE" w:rsidRDefault="006B13EF" w:rsidP="00A70686">
            <w:pPr>
              <w:widowControl w:val="0"/>
              <w:autoSpaceDE w:val="0"/>
              <w:autoSpaceDN w:val="0"/>
              <w:spacing w:before="0" w:line="240" w:lineRule="auto"/>
              <w:jc w:val="both"/>
              <w:rPr>
                <w:rFonts w:ascii="Arial" w:eastAsia="Myriad Pro" w:hAnsi="Arial" w:cs="Arial"/>
                <w:sz w:val="20"/>
                <w:szCs w:val="20"/>
                <w:lang w:val="sq-AL"/>
              </w:rPr>
            </w:pPr>
            <w:r w:rsidRPr="001C61AE">
              <w:rPr>
                <w:rFonts w:ascii="Arial" w:eastAsia="Myriad Pro" w:hAnsi="Arial" w:cs="Arial"/>
                <w:sz w:val="20"/>
                <w:szCs w:val="20"/>
                <w:lang w:val="sq-AL"/>
              </w:rPr>
              <w:lastRenderedPageBreak/>
              <w:t xml:space="preserve">I.9 </w:t>
            </w:r>
            <w:r w:rsidR="001D027F" w:rsidRPr="001C61AE">
              <w:rPr>
                <w:rFonts w:ascii="Arial" w:eastAsia="Myriad Pro" w:hAnsi="Arial" w:cs="Arial"/>
                <w:sz w:val="20"/>
                <w:szCs w:val="20"/>
                <w:lang w:val="sq-AL"/>
              </w:rPr>
              <w:t>Krijimi i kornizës kombëtare për kontrollin e erozionit dhe mbrojtjen e pellgjeve ujore</w:t>
            </w:r>
          </w:p>
        </w:tc>
      </w:tr>
      <w:tr w:rsidR="006B13EF" w:rsidRPr="001C61AE" w14:paraId="5F225853" w14:textId="77777777" w:rsidTr="00C65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shd w:val="clear" w:color="auto" w:fill="auto"/>
            <w:vAlign w:val="center"/>
          </w:tcPr>
          <w:p w14:paraId="46B5956B" w14:textId="2FFF8B1D" w:rsidR="006B13EF" w:rsidRPr="001C61AE" w:rsidRDefault="00791EF2" w:rsidP="00A70686">
            <w:pPr>
              <w:widowControl w:val="0"/>
              <w:autoSpaceDE w:val="0"/>
              <w:autoSpaceDN w:val="0"/>
              <w:spacing w:before="0" w:line="240" w:lineRule="auto"/>
              <w:jc w:val="center"/>
              <w:rPr>
                <w:rFonts w:ascii="Arial" w:eastAsia="Myriad Pro" w:hAnsi="Arial" w:cs="Arial"/>
                <w:b w:val="0"/>
                <w:bCs w:val="0"/>
                <w:sz w:val="20"/>
                <w:szCs w:val="20"/>
                <w:lang w:val="sq-AL"/>
              </w:rPr>
            </w:pPr>
            <w:r w:rsidRPr="001C61AE">
              <w:rPr>
                <w:rFonts w:ascii="Arial" w:hAnsi="Arial" w:cs="Arial"/>
                <w:sz w:val="20"/>
                <w:szCs w:val="20"/>
                <w:lang w:val="sq-AL"/>
              </w:rPr>
              <w:t>Zhvillimi dhe miratimi i një Plani Kombëtar për Kontrollin e Erozionit dhe Menaxhimin e Sedimenteve.</w:t>
            </w:r>
          </w:p>
        </w:tc>
        <w:tc>
          <w:tcPr>
            <w:tcW w:w="0" w:type="pct"/>
            <w:shd w:val="clear" w:color="auto" w:fill="auto"/>
            <w:vAlign w:val="center"/>
          </w:tcPr>
          <w:p w14:paraId="3F320595" w14:textId="46868C19" w:rsidR="006B13EF" w:rsidRPr="001C61AE" w:rsidRDefault="00791EF2"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Asnjë.</w:t>
            </w:r>
          </w:p>
        </w:tc>
        <w:tc>
          <w:tcPr>
            <w:tcW w:w="947" w:type="pct"/>
            <w:vAlign w:val="center"/>
          </w:tcPr>
          <w:p w14:paraId="7D0D0B8D" w14:textId="022CE28E" w:rsidR="006B13EF" w:rsidRPr="001C61AE" w:rsidRDefault="00791EF2"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Koncept-nota dhe konsultimet me palët e interesuara kanë përfunduar</w:t>
            </w:r>
          </w:p>
        </w:tc>
        <w:tc>
          <w:tcPr>
            <w:tcW w:w="1067" w:type="pct"/>
            <w:shd w:val="clear" w:color="auto" w:fill="auto"/>
            <w:vAlign w:val="center"/>
          </w:tcPr>
          <w:p w14:paraId="78812C09" w14:textId="72A7CC45" w:rsidR="006B13EF" w:rsidRPr="001C61AE" w:rsidRDefault="00791EF2"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 xml:space="preserve">Koncepti dhe skica e Planit janë hartuar me kontributin e </w:t>
            </w:r>
            <w:r w:rsidR="00BD6094" w:rsidRPr="001C61AE">
              <w:rPr>
                <w:rFonts w:ascii="Arial" w:eastAsia="Myriad Pro" w:hAnsi="Arial" w:cs="Arial"/>
                <w:sz w:val="20"/>
                <w:szCs w:val="20"/>
                <w:lang w:val="sq-AL"/>
              </w:rPr>
              <w:t xml:space="preserve">MMPHI </w:t>
            </w:r>
            <w:r w:rsidRPr="001C61AE">
              <w:rPr>
                <w:rFonts w:ascii="Arial" w:eastAsia="Myriad Pro" w:hAnsi="Arial" w:cs="Arial"/>
                <w:sz w:val="20"/>
                <w:szCs w:val="20"/>
                <w:lang w:val="sq-AL"/>
              </w:rPr>
              <w:t>-t, ARBZ-ve, komunave dhe palëve të interesuara.</w:t>
            </w:r>
          </w:p>
        </w:tc>
        <w:tc>
          <w:tcPr>
            <w:tcW w:w="1378" w:type="pct"/>
            <w:shd w:val="clear" w:color="auto" w:fill="auto"/>
            <w:vAlign w:val="center"/>
          </w:tcPr>
          <w:p w14:paraId="0E835361" w14:textId="0AC9D5CF" w:rsidR="006B13EF" w:rsidRPr="001C61AE" w:rsidRDefault="00791EF2"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Plani është finalizuar dhe është miratuar zyrtarisht, me hartën e zbatimit dhe opsionet e financimit të identifikuara.</w:t>
            </w:r>
          </w:p>
        </w:tc>
      </w:tr>
      <w:tr w:rsidR="00AB7CBF" w:rsidRPr="001C61AE" w14:paraId="74F45DA3" w14:textId="77777777" w:rsidTr="00C65386">
        <w:tc>
          <w:tcPr>
            <w:cnfStyle w:val="001000000000" w:firstRow="0" w:lastRow="0" w:firstColumn="1" w:lastColumn="0" w:oddVBand="0" w:evenVBand="0" w:oddHBand="0" w:evenHBand="0" w:firstRowFirstColumn="0" w:firstRowLastColumn="0" w:lastRowFirstColumn="0" w:lastRowLastColumn="0"/>
            <w:tcW w:w="781" w:type="pct"/>
            <w:vAlign w:val="center"/>
          </w:tcPr>
          <w:p w14:paraId="43A348CF" w14:textId="4A9B0FEA" w:rsidR="006B13EF" w:rsidRPr="001C61AE" w:rsidRDefault="00791EF2" w:rsidP="00A70686">
            <w:pPr>
              <w:widowControl w:val="0"/>
              <w:autoSpaceDE w:val="0"/>
              <w:autoSpaceDN w:val="0"/>
              <w:spacing w:before="0" w:line="240" w:lineRule="auto"/>
              <w:jc w:val="center"/>
              <w:rPr>
                <w:rFonts w:ascii="Arial" w:eastAsia="Myriad Pro" w:hAnsi="Arial" w:cs="Arial"/>
                <w:b w:val="0"/>
                <w:bCs w:val="0"/>
                <w:sz w:val="20"/>
                <w:szCs w:val="20"/>
                <w:lang w:val="sq-AL"/>
              </w:rPr>
            </w:pPr>
            <w:r w:rsidRPr="001C61AE">
              <w:rPr>
                <w:rFonts w:ascii="Arial" w:hAnsi="Arial" w:cs="Arial"/>
                <w:sz w:val="20"/>
                <w:szCs w:val="20"/>
                <w:lang w:val="sq-AL"/>
              </w:rPr>
              <w:t>Zonat erozive të hartuara dhe të përcaktuara në të gjitha pellgjet e lumenjve.</w:t>
            </w:r>
          </w:p>
        </w:tc>
        <w:tc>
          <w:tcPr>
            <w:tcW w:w="0" w:type="pct"/>
            <w:vAlign w:val="center"/>
          </w:tcPr>
          <w:p w14:paraId="6A2D132D" w14:textId="25D23F2A" w:rsidR="006B13EF" w:rsidRPr="001C61AE" w:rsidRDefault="00791EF2"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Asnjë.</w:t>
            </w:r>
          </w:p>
        </w:tc>
        <w:tc>
          <w:tcPr>
            <w:tcW w:w="947" w:type="pct"/>
            <w:vAlign w:val="center"/>
          </w:tcPr>
          <w:p w14:paraId="5E45875A" w14:textId="63268558" w:rsidR="006B13EF" w:rsidRPr="001C61AE" w:rsidRDefault="00791EF2"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60% e pellgjeve të anketuara; hartëzimi prioritar i kryer nga RBDA-të.</w:t>
            </w:r>
          </w:p>
        </w:tc>
        <w:tc>
          <w:tcPr>
            <w:tcW w:w="1067" w:type="pct"/>
            <w:vAlign w:val="center"/>
          </w:tcPr>
          <w:p w14:paraId="2C667804" w14:textId="5CC6EE4E" w:rsidR="006B13EF" w:rsidRPr="001C61AE" w:rsidRDefault="00791EF2"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Të paktën 60% e pellgjeve të lumenjve të anketuara dhe zonat e prirura ndaj erozionit të hartuara me mbështetje të jashtme (p.sh., përmes RBDA-ve).</w:t>
            </w:r>
          </w:p>
        </w:tc>
        <w:tc>
          <w:tcPr>
            <w:tcW w:w="1378" w:type="pct"/>
            <w:vAlign w:val="center"/>
          </w:tcPr>
          <w:p w14:paraId="7216EFA4" w14:textId="01740A9F" w:rsidR="006B13EF" w:rsidRPr="001C61AE" w:rsidRDefault="00791EF2"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100% e pellgjeve të lumenjve të hartuara dhe të përcaktuara zyrtarisht si zona erozive, me masa mbrojtëse të caktuara për secilin.</w:t>
            </w:r>
          </w:p>
        </w:tc>
      </w:tr>
      <w:tr w:rsidR="006B13EF" w:rsidRPr="001C61AE" w14:paraId="183F3037" w14:textId="77777777" w:rsidTr="00C65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shd w:val="clear" w:color="auto" w:fill="auto"/>
            <w:vAlign w:val="center"/>
          </w:tcPr>
          <w:p w14:paraId="5DB9282E" w14:textId="5F3277E4" w:rsidR="006B13EF" w:rsidRPr="001C61AE" w:rsidRDefault="00791EF2" w:rsidP="00A70686">
            <w:pPr>
              <w:widowControl w:val="0"/>
              <w:autoSpaceDE w:val="0"/>
              <w:autoSpaceDN w:val="0"/>
              <w:spacing w:before="0" w:line="240" w:lineRule="auto"/>
              <w:jc w:val="center"/>
              <w:rPr>
                <w:rFonts w:ascii="Arial" w:eastAsia="Myriad Pro" w:hAnsi="Arial" w:cs="Arial"/>
                <w:b w:val="0"/>
                <w:bCs w:val="0"/>
                <w:sz w:val="20"/>
                <w:szCs w:val="20"/>
                <w:lang w:val="sq-AL"/>
              </w:rPr>
            </w:pPr>
            <w:r w:rsidRPr="001C61AE">
              <w:rPr>
                <w:rFonts w:ascii="Arial" w:eastAsia="Myriad Pro" w:hAnsi="Arial" w:cs="Arial"/>
                <w:sz w:val="20"/>
                <w:szCs w:val="20"/>
                <w:lang w:val="sq-AL"/>
              </w:rPr>
              <w:t>Sipërfaqja (në hektarë) e zonave bregore të ripyllëzuara ose të pyllëzuara për kontrollin e erozionit</w:t>
            </w:r>
            <w:r w:rsidR="006B13EF" w:rsidRPr="001C61AE">
              <w:rPr>
                <w:rFonts w:ascii="Arial" w:eastAsia="Myriad Pro" w:hAnsi="Arial" w:cs="Arial"/>
                <w:sz w:val="20"/>
                <w:szCs w:val="20"/>
                <w:lang w:val="sq-AL"/>
              </w:rPr>
              <w:t>.</w:t>
            </w:r>
          </w:p>
        </w:tc>
        <w:tc>
          <w:tcPr>
            <w:tcW w:w="0" w:type="pct"/>
            <w:shd w:val="clear" w:color="auto" w:fill="auto"/>
            <w:vAlign w:val="center"/>
          </w:tcPr>
          <w:p w14:paraId="23475131" w14:textId="33B8FF31" w:rsidR="006B13EF" w:rsidRPr="001C61AE" w:rsidRDefault="00791EF2"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Asnjë.</w:t>
            </w:r>
          </w:p>
        </w:tc>
        <w:tc>
          <w:tcPr>
            <w:tcW w:w="947" w:type="pct"/>
            <w:vAlign w:val="center"/>
          </w:tcPr>
          <w:p w14:paraId="02028E89" w14:textId="372D4162" w:rsidR="006B13EF" w:rsidRPr="001C61AE" w:rsidRDefault="00D729C0"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250–300 ha të restauruara në zonat me përparësi të lartë.</w:t>
            </w:r>
          </w:p>
        </w:tc>
        <w:tc>
          <w:tcPr>
            <w:tcW w:w="1067" w:type="pct"/>
            <w:shd w:val="clear" w:color="auto" w:fill="auto"/>
            <w:vAlign w:val="center"/>
          </w:tcPr>
          <w:p w14:paraId="3722C70E" w14:textId="072BBEF2" w:rsidR="006B13EF" w:rsidRPr="001C61AE" w:rsidRDefault="00D729C0"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500 hektarë zona bregore të stabilizuara përmes ripyllëzimit/pyllëzimit në pikat e nxehta të erozionit.</w:t>
            </w:r>
          </w:p>
        </w:tc>
        <w:tc>
          <w:tcPr>
            <w:tcW w:w="1378" w:type="pct"/>
            <w:shd w:val="clear" w:color="auto" w:fill="auto"/>
            <w:vAlign w:val="center"/>
          </w:tcPr>
          <w:p w14:paraId="4C3B4126" w14:textId="55F1FD98" w:rsidR="006B13EF" w:rsidRPr="001C61AE" w:rsidRDefault="00D729C0"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Të paktën 1,000 hektarë të restauruara ose të mbrojtura, me mekanizma të vazhdueshëm mirëmbajtjeje në vend përmes planifikimit komunal dhe në nivel pellgu.</w:t>
            </w:r>
          </w:p>
        </w:tc>
      </w:tr>
      <w:tr w:rsidR="006B13EF" w:rsidRPr="001C61AE" w14:paraId="0E500E63" w14:textId="77777777" w:rsidTr="00AB7CBF">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0F4761"/>
            <w:vAlign w:val="center"/>
          </w:tcPr>
          <w:p w14:paraId="4B29668D" w14:textId="55FF5AAA" w:rsidR="006B13EF" w:rsidRPr="001C61AE" w:rsidRDefault="0040465B" w:rsidP="00A70686">
            <w:pPr>
              <w:widowControl w:val="0"/>
              <w:autoSpaceDE w:val="0"/>
              <w:autoSpaceDN w:val="0"/>
              <w:spacing w:before="0" w:line="240" w:lineRule="auto"/>
              <w:jc w:val="center"/>
              <w:rPr>
                <w:rFonts w:ascii="Arial" w:eastAsia="Myriad Pro" w:hAnsi="Arial" w:cs="Arial"/>
                <w:sz w:val="20"/>
                <w:szCs w:val="20"/>
                <w:lang w:val="sq-AL"/>
              </w:rPr>
            </w:pPr>
            <w:r w:rsidRPr="001C61AE">
              <w:rPr>
                <w:rFonts w:ascii="Arial" w:eastAsia="Myriad Pro" w:hAnsi="Arial" w:cs="Arial"/>
                <w:sz w:val="20"/>
                <w:szCs w:val="20"/>
                <w:lang w:val="sq-AL"/>
              </w:rPr>
              <w:t>Prioriteti kyç për përshtatje</w:t>
            </w:r>
            <w:r w:rsidR="006B13EF" w:rsidRPr="001C61AE">
              <w:rPr>
                <w:rFonts w:ascii="Arial" w:eastAsia="Myriad Pro" w:hAnsi="Arial" w:cs="Arial"/>
                <w:sz w:val="20"/>
                <w:szCs w:val="20"/>
                <w:lang w:val="sq-AL"/>
              </w:rPr>
              <w:t xml:space="preserve">: </w:t>
            </w:r>
            <w:r w:rsidR="000D7628" w:rsidRPr="001C61AE">
              <w:rPr>
                <w:rFonts w:ascii="Arial" w:eastAsia="Myriad Pro" w:hAnsi="Arial" w:cs="Arial"/>
                <w:sz w:val="20"/>
                <w:szCs w:val="20"/>
                <w:lang w:val="sq-AL"/>
              </w:rPr>
              <w:t>•</w:t>
            </w:r>
            <w:r w:rsidR="000D7628" w:rsidRPr="001C61AE">
              <w:rPr>
                <w:rFonts w:ascii="Arial" w:eastAsia="Myriad Pro" w:hAnsi="Arial" w:cs="Arial"/>
                <w:sz w:val="20"/>
                <w:szCs w:val="20"/>
                <w:lang w:val="sq-AL"/>
              </w:rPr>
              <w:tab/>
              <w:t>Zbutja e rreziqeve nga thatësirat dhe përmbytjet t</w:t>
            </w:r>
          </w:p>
        </w:tc>
      </w:tr>
      <w:tr w:rsidR="006B13EF" w:rsidRPr="001C61AE" w14:paraId="51D3D8AC" w14:textId="77777777" w:rsidTr="00AB7CB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3044934E" w14:textId="5F48D695" w:rsidR="006B13EF" w:rsidRPr="001C61AE" w:rsidRDefault="006B13EF" w:rsidP="00A70686">
            <w:pPr>
              <w:widowControl w:val="0"/>
              <w:autoSpaceDE w:val="0"/>
              <w:autoSpaceDN w:val="0"/>
              <w:spacing w:before="0" w:line="240" w:lineRule="auto"/>
              <w:jc w:val="both"/>
              <w:rPr>
                <w:rFonts w:ascii="Arial" w:eastAsia="Myriad Pro" w:hAnsi="Arial" w:cs="Arial"/>
                <w:sz w:val="20"/>
                <w:szCs w:val="20"/>
                <w:lang w:val="sq-AL"/>
              </w:rPr>
            </w:pPr>
            <w:r w:rsidRPr="001C61AE">
              <w:rPr>
                <w:rFonts w:ascii="Arial" w:eastAsia="Myriad Pro" w:hAnsi="Arial" w:cs="Arial"/>
                <w:sz w:val="20"/>
                <w:szCs w:val="20"/>
                <w:lang w:val="sq-AL"/>
              </w:rPr>
              <w:t>I.10</w:t>
            </w:r>
            <w:r w:rsidR="00D729C0" w:rsidRPr="001C61AE">
              <w:rPr>
                <w:rFonts w:ascii="Arial" w:eastAsia="Myriad Pro" w:hAnsi="Arial" w:cs="Arial"/>
                <w:sz w:val="20"/>
                <w:szCs w:val="20"/>
                <w:lang w:val="sq-AL"/>
              </w:rPr>
              <w:t xml:space="preserve"> Reformimi i qeverisjes së resurseve ujore me integrim të përshtatjes ndaj ndryshimeve klimatike</w:t>
            </w:r>
          </w:p>
        </w:tc>
      </w:tr>
      <w:tr w:rsidR="00AB7CBF" w:rsidRPr="001C61AE" w14:paraId="4E59B322" w14:textId="77777777" w:rsidTr="00C65386">
        <w:tc>
          <w:tcPr>
            <w:cnfStyle w:val="001000000000" w:firstRow="0" w:lastRow="0" w:firstColumn="1" w:lastColumn="0" w:oddVBand="0" w:evenVBand="0" w:oddHBand="0" w:evenHBand="0" w:firstRowFirstColumn="0" w:firstRowLastColumn="0" w:lastRowFirstColumn="0" w:lastRowLastColumn="0"/>
            <w:tcW w:w="781" w:type="pct"/>
            <w:vAlign w:val="center"/>
          </w:tcPr>
          <w:p w14:paraId="472C274F" w14:textId="7F73A866" w:rsidR="006B13EF" w:rsidRPr="001C61AE" w:rsidRDefault="00D729C0" w:rsidP="00A70686">
            <w:pPr>
              <w:widowControl w:val="0"/>
              <w:autoSpaceDE w:val="0"/>
              <w:autoSpaceDN w:val="0"/>
              <w:spacing w:before="0" w:line="240" w:lineRule="auto"/>
              <w:jc w:val="center"/>
              <w:rPr>
                <w:rFonts w:ascii="Arial" w:eastAsia="Myriad Pro" w:hAnsi="Arial" w:cs="Arial"/>
                <w:b w:val="0"/>
                <w:bCs w:val="0"/>
                <w:sz w:val="20"/>
                <w:szCs w:val="20"/>
                <w:lang w:val="sq-AL"/>
              </w:rPr>
            </w:pPr>
            <w:r w:rsidRPr="001C61AE">
              <w:rPr>
                <w:rFonts w:ascii="Arial" w:hAnsi="Arial" w:cs="Arial"/>
                <w:sz w:val="20"/>
                <w:szCs w:val="20"/>
                <w:lang w:val="sq-AL"/>
              </w:rPr>
              <w:t>Legjislacioni për menaxhimin e resurseve ujore.</w:t>
            </w:r>
          </w:p>
        </w:tc>
        <w:tc>
          <w:tcPr>
            <w:tcW w:w="0" w:type="pct"/>
            <w:vAlign w:val="center"/>
          </w:tcPr>
          <w:p w14:paraId="03ECDFF7" w14:textId="7DC04BD0" w:rsidR="006B13EF" w:rsidRPr="001C61AE" w:rsidRDefault="00D729C0"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hAnsi="Arial" w:cs="Arial"/>
                <w:sz w:val="20"/>
                <w:szCs w:val="20"/>
                <w:lang w:val="sq-AL"/>
              </w:rPr>
              <w:t>Ligji ekzistues ka mangësi të konsiderueshme dhe nuk e transpozon DKU-në. Projektligji është përgatitur dhe është në fazën e konsultimit.</w:t>
            </w:r>
          </w:p>
        </w:tc>
        <w:tc>
          <w:tcPr>
            <w:tcW w:w="947" w:type="pct"/>
            <w:vAlign w:val="center"/>
          </w:tcPr>
          <w:p w14:paraId="3158A72D" w14:textId="6569D9BB" w:rsidR="006B13EF" w:rsidRPr="001C61AE" w:rsidRDefault="00D729C0"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Ligji i ri për Menaxhimin e resurseve ujore është miratuar, duke transpozuar DKU-në dhe direktiva të tjera për ujin.</w:t>
            </w:r>
          </w:p>
        </w:tc>
        <w:tc>
          <w:tcPr>
            <w:tcW w:w="1067" w:type="pct"/>
            <w:vAlign w:val="center"/>
          </w:tcPr>
          <w:p w14:paraId="311235C7" w14:textId="77777777" w:rsidR="006B13EF" w:rsidRPr="001C61AE" w:rsidRDefault="006B13EF"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hAnsi="Arial" w:cs="Arial"/>
                <w:sz w:val="20"/>
                <w:szCs w:val="20"/>
                <w:lang w:val="sq-AL"/>
              </w:rPr>
              <w:t>-</w:t>
            </w:r>
          </w:p>
        </w:tc>
        <w:tc>
          <w:tcPr>
            <w:tcW w:w="1378" w:type="pct"/>
            <w:vAlign w:val="center"/>
          </w:tcPr>
          <w:p w14:paraId="22A5D143" w14:textId="77777777" w:rsidR="006B13EF" w:rsidRPr="001C61AE" w:rsidRDefault="006B13EF"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w:t>
            </w:r>
          </w:p>
        </w:tc>
      </w:tr>
      <w:tr w:rsidR="006B13EF" w:rsidRPr="001C61AE" w14:paraId="55F8978A" w14:textId="77777777" w:rsidTr="00C65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shd w:val="clear" w:color="auto" w:fill="auto"/>
            <w:vAlign w:val="center"/>
          </w:tcPr>
          <w:p w14:paraId="6239F73E" w14:textId="782C2894" w:rsidR="006B13EF" w:rsidRPr="001C61AE" w:rsidRDefault="00D729C0" w:rsidP="00A70686">
            <w:pPr>
              <w:widowControl w:val="0"/>
              <w:autoSpaceDE w:val="0"/>
              <w:autoSpaceDN w:val="0"/>
              <w:spacing w:before="0" w:line="240" w:lineRule="auto"/>
              <w:jc w:val="center"/>
              <w:rPr>
                <w:rFonts w:ascii="Arial" w:eastAsia="Myriad Pro" w:hAnsi="Arial" w:cs="Arial"/>
                <w:b w:val="0"/>
                <w:bCs w:val="0"/>
                <w:sz w:val="20"/>
                <w:szCs w:val="20"/>
                <w:lang w:val="sq-AL"/>
              </w:rPr>
            </w:pPr>
            <w:r w:rsidRPr="001C61AE">
              <w:rPr>
                <w:rFonts w:ascii="Arial" w:hAnsi="Arial" w:cs="Arial"/>
                <w:sz w:val="20"/>
                <w:szCs w:val="20"/>
                <w:lang w:val="sq-AL"/>
              </w:rPr>
              <w:t>Akte nënligjore për menaxhimin e resurseve ujore</w:t>
            </w:r>
          </w:p>
        </w:tc>
        <w:tc>
          <w:tcPr>
            <w:tcW w:w="0" w:type="pct"/>
            <w:shd w:val="clear" w:color="auto" w:fill="auto"/>
            <w:vAlign w:val="center"/>
          </w:tcPr>
          <w:p w14:paraId="64CEE1D5" w14:textId="77777777" w:rsidR="006B13EF" w:rsidRPr="001C61AE" w:rsidRDefault="006B13EF"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w:t>
            </w:r>
          </w:p>
        </w:tc>
        <w:tc>
          <w:tcPr>
            <w:tcW w:w="947" w:type="pct"/>
            <w:shd w:val="clear" w:color="auto" w:fill="auto"/>
            <w:vAlign w:val="center"/>
          </w:tcPr>
          <w:p w14:paraId="6FBAA030" w14:textId="77777777" w:rsidR="006B13EF" w:rsidRPr="001C61AE" w:rsidRDefault="006B13EF"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w:t>
            </w:r>
          </w:p>
        </w:tc>
        <w:tc>
          <w:tcPr>
            <w:tcW w:w="1067" w:type="pct"/>
            <w:shd w:val="clear" w:color="auto" w:fill="auto"/>
            <w:vAlign w:val="center"/>
          </w:tcPr>
          <w:p w14:paraId="65A03C49" w14:textId="2FDCECEC" w:rsidR="006B13EF" w:rsidRPr="001C61AE" w:rsidRDefault="00D729C0"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Legjislacioni dytësor i përfunduar dhe i zbatuar.</w:t>
            </w:r>
          </w:p>
        </w:tc>
        <w:tc>
          <w:tcPr>
            <w:tcW w:w="1378" w:type="pct"/>
            <w:shd w:val="clear" w:color="auto" w:fill="auto"/>
            <w:vAlign w:val="center"/>
          </w:tcPr>
          <w:p w14:paraId="4F359742" w14:textId="5F8F0067" w:rsidR="006B13EF" w:rsidRPr="001C61AE" w:rsidRDefault="00D729C0"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hAnsi="Arial" w:cs="Arial"/>
                <w:sz w:val="20"/>
                <w:szCs w:val="20"/>
                <w:lang w:val="sq-AL"/>
              </w:rPr>
              <w:t>Përcaktohet nga ligji i ri.</w:t>
            </w:r>
          </w:p>
        </w:tc>
      </w:tr>
      <w:tr w:rsidR="00AB7CBF" w:rsidRPr="001C61AE" w14:paraId="5178021B" w14:textId="77777777" w:rsidTr="00C65386">
        <w:tc>
          <w:tcPr>
            <w:cnfStyle w:val="001000000000" w:firstRow="0" w:lastRow="0" w:firstColumn="1" w:lastColumn="0" w:oddVBand="0" w:evenVBand="0" w:oddHBand="0" w:evenHBand="0" w:firstRowFirstColumn="0" w:firstRowLastColumn="0" w:lastRowFirstColumn="0" w:lastRowLastColumn="0"/>
            <w:tcW w:w="781" w:type="pct"/>
            <w:vAlign w:val="center"/>
          </w:tcPr>
          <w:p w14:paraId="3CDA7DCC" w14:textId="3CE2584D" w:rsidR="006B13EF" w:rsidRPr="001C61AE" w:rsidRDefault="00D729C0" w:rsidP="00A70686">
            <w:pPr>
              <w:widowControl w:val="0"/>
              <w:autoSpaceDE w:val="0"/>
              <w:autoSpaceDN w:val="0"/>
              <w:spacing w:before="0" w:line="240" w:lineRule="auto"/>
              <w:jc w:val="center"/>
              <w:rPr>
                <w:rFonts w:ascii="Arial" w:eastAsia="Myriad Pro" w:hAnsi="Arial" w:cs="Arial"/>
                <w:b w:val="0"/>
                <w:bCs w:val="0"/>
                <w:sz w:val="20"/>
                <w:szCs w:val="20"/>
                <w:lang w:val="sq-AL"/>
              </w:rPr>
            </w:pPr>
            <w:r w:rsidRPr="001C61AE">
              <w:rPr>
                <w:rFonts w:ascii="Arial" w:hAnsi="Arial" w:cs="Arial"/>
                <w:sz w:val="20"/>
                <w:szCs w:val="20"/>
                <w:lang w:val="sq-AL"/>
              </w:rPr>
              <w:t>Themelimi i Agjencisë së Menaxhimit të Resurseve Ujore (AMRU).</w:t>
            </w:r>
          </w:p>
        </w:tc>
        <w:tc>
          <w:tcPr>
            <w:tcW w:w="0" w:type="pct"/>
            <w:vAlign w:val="center"/>
          </w:tcPr>
          <w:p w14:paraId="2518CDD5" w14:textId="3DA9B2F0" w:rsidR="006B13EF" w:rsidRPr="001C61AE" w:rsidRDefault="00D729C0"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hAnsi="Arial" w:cs="Arial"/>
                <w:sz w:val="20"/>
                <w:szCs w:val="20"/>
                <w:lang w:val="sq-AL"/>
              </w:rPr>
              <w:t>Departamenti ekzistues i Autoritetit të Rajonal i Pellgjeve Lumore.</w:t>
            </w:r>
          </w:p>
        </w:tc>
        <w:tc>
          <w:tcPr>
            <w:tcW w:w="947" w:type="pct"/>
            <w:vAlign w:val="center"/>
          </w:tcPr>
          <w:p w14:paraId="439D2C3C" w14:textId="4F4306AD" w:rsidR="006B13EF" w:rsidRPr="001C61AE" w:rsidRDefault="00D729C0"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Struktura organizative e propozuar dhe planifikimi i burimeve njerëzore ka filluar. Puna përgatitore për strukturën organizative të AMRU-së.</w:t>
            </w:r>
          </w:p>
        </w:tc>
        <w:tc>
          <w:tcPr>
            <w:tcW w:w="1067" w:type="pct"/>
            <w:vAlign w:val="center"/>
          </w:tcPr>
          <w:p w14:paraId="7FB6DB0D" w14:textId="516BD6A2" w:rsidR="006B13EF" w:rsidRPr="001C61AE" w:rsidRDefault="00D729C0"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hAnsi="Arial" w:cs="Arial"/>
                <w:sz w:val="20"/>
                <w:szCs w:val="20"/>
                <w:lang w:val="sq-AL"/>
              </w:rPr>
              <w:t>Me staf të plotë</w:t>
            </w:r>
          </w:p>
        </w:tc>
        <w:tc>
          <w:tcPr>
            <w:tcW w:w="1378" w:type="pct"/>
            <w:vAlign w:val="center"/>
          </w:tcPr>
          <w:p w14:paraId="24FE7916" w14:textId="77777777" w:rsidR="006B13EF" w:rsidRPr="001C61AE" w:rsidRDefault="006B13EF"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hAnsi="Arial" w:cs="Arial"/>
                <w:sz w:val="20"/>
                <w:szCs w:val="20"/>
                <w:lang w:val="sq-AL"/>
              </w:rPr>
              <w:t>-</w:t>
            </w:r>
          </w:p>
        </w:tc>
      </w:tr>
      <w:tr w:rsidR="006B13EF" w:rsidRPr="001C61AE" w14:paraId="00175F33" w14:textId="77777777" w:rsidTr="00AB7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03F599BB" w14:textId="5578DAAF" w:rsidR="006B13EF" w:rsidRPr="001C61AE" w:rsidRDefault="006B13EF" w:rsidP="00A70686">
            <w:pPr>
              <w:widowControl w:val="0"/>
              <w:autoSpaceDE w:val="0"/>
              <w:autoSpaceDN w:val="0"/>
              <w:spacing w:before="0" w:line="240" w:lineRule="auto"/>
              <w:rPr>
                <w:rFonts w:ascii="Arial" w:eastAsia="Myriad Pro" w:hAnsi="Arial" w:cs="Arial"/>
                <w:sz w:val="20"/>
                <w:szCs w:val="20"/>
                <w:lang w:val="sq-AL"/>
              </w:rPr>
            </w:pPr>
            <w:r w:rsidRPr="001C61AE">
              <w:rPr>
                <w:rFonts w:ascii="Arial" w:eastAsia="Myriad Pro" w:hAnsi="Arial" w:cs="Arial"/>
                <w:sz w:val="20"/>
                <w:szCs w:val="20"/>
                <w:lang w:val="sq-AL"/>
              </w:rPr>
              <w:t xml:space="preserve">I.11 </w:t>
            </w:r>
            <w:r w:rsidR="00D729C0" w:rsidRPr="001C61AE">
              <w:rPr>
                <w:rFonts w:ascii="Arial" w:eastAsia="Myriad Pro" w:hAnsi="Arial" w:cs="Arial"/>
                <w:sz w:val="20"/>
                <w:szCs w:val="20"/>
                <w:lang w:val="sq-AL"/>
              </w:rPr>
              <w:t>Integrimi i planit të veprimit për thatësira në Kosovë në politikën kombëtare për klimë dhe ujë</w:t>
            </w:r>
          </w:p>
        </w:tc>
      </w:tr>
      <w:tr w:rsidR="00AB7CBF" w:rsidRPr="001C61AE" w14:paraId="15713345" w14:textId="77777777" w:rsidTr="00C65386">
        <w:tc>
          <w:tcPr>
            <w:cnfStyle w:val="001000000000" w:firstRow="0" w:lastRow="0" w:firstColumn="1" w:lastColumn="0" w:oddVBand="0" w:evenVBand="0" w:oddHBand="0" w:evenHBand="0" w:firstRowFirstColumn="0" w:firstRowLastColumn="0" w:lastRowFirstColumn="0" w:lastRowLastColumn="0"/>
            <w:tcW w:w="781" w:type="pct"/>
            <w:vAlign w:val="center"/>
          </w:tcPr>
          <w:p w14:paraId="1BABC6DA" w14:textId="2993520F" w:rsidR="006B13EF" w:rsidRPr="001C61AE" w:rsidRDefault="00495F0D" w:rsidP="00A70686">
            <w:pPr>
              <w:widowControl w:val="0"/>
              <w:autoSpaceDE w:val="0"/>
              <w:autoSpaceDN w:val="0"/>
              <w:spacing w:before="0" w:line="240" w:lineRule="auto"/>
              <w:jc w:val="center"/>
              <w:rPr>
                <w:rFonts w:ascii="Arial" w:eastAsia="Myriad Pro" w:hAnsi="Arial" w:cs="Arial"/>
                <w:sz w:val="20"/>
                <w:szCs w:val="20"/>
                <w:lang w:val="sq-AL"/>
              </w:rPr>
            </w:pPr>
            <w:r w:rsidRPr="001C61AE">
              <w:rPr>
                <w:rFonts w:ascii="Arial" w:eastAsia="Myriad Pro" w:hAnsi="Arial" w:cs="Arial"/>
                <w:sz w:val="20"/>
                <w:szCs w:val="20"/>
                <w:lang w:val="sq-AL"/>
              </w:rPr>
              <w:t xml:space="preserve">Statusi i miratimit dhe zbatimit formal të Planit </w:t>
            </w:r>
            <w:r w:rsidRPr="001C61AE">
              <w:rPr>
                <w:rFonts w:ascii="Arial" w:eastAsia="Myriad Pro" w:hAnsi="Arial" w:cs="Arial"/>
                <w:sz w:val="20"/>
                <w:szCs w:val="20"/>
                <w:lang w:val="sq-AL"/>
              </w:rPr>
              <w:lastRenderedPageBreak/>
              <w:t>Kombëtar të Veprimit për Thatësirën dhe integrimi i tij në politikën ose strategjinë kombëtare.</w:t>
            </w:r>
          </w:p>
        </w:tc>
        <w:tc>
          <w:tcPr>
            <w:tcW w:w="0" w:type="pct"/>
            <w:vAlign w:val="center"/>
          </w:tcPr>
          <w:p w14:paraId="27F849D4" w14:textId="7A17A612" w:rsidR="006B13EF" w:rsidRPr="001C61AE" w:rsidRDefault="00495F0D"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lastRenderedPageBreak/>
              <w:t xml:space="preserve">Plani i Integruar i Veprimit për Menaxhimin e Thatësirës </w:t>
            </w:r>
            <w:r w:rsidRPr="001C61AE">
              <w:rPr>
                <w:rFonts w:ascii="Arial" w:eastAsia="Myriad Pro" w:hAnsi="Arial" w:cs="Arial"/>
                <w:sz w:val="20"/>
                <w:szCs w:val="20"/>
                <w:lang w:val="sq-AL"/>
              </w:rPr>
              <w:lastRenderedPageBreak/>
              <w:t>ekziston, por nuk është miratuar.</w:t>
            </w:r>
          </w:p>
        </w:tc>
        <w:tc>
          <w:tcPr>
            <w:tcW w:w="947" w:type="pct"/>
            <w:vAlign w:val="center"/>
          </w:tcPr>
          <w:p w14:paraId="7B3506B4" w14:textId="4697B7EE" w:rsidR="006B13EF" w:rsidRPr="001C61AE" w:rsidRDefault="00495F0D"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lastRenderedPageBreak/>
              <w:t xml:space="preserve">Miratim zyrtar nga MMPHI; integrimi në draftet e politikave është në </w:t>
            </w:r>
            <w:r w:rsidRPr="001C61AE">
              <w:rPr>
                <w:rFonts w:ascii="Arial" w:eastAsia="Myriad Pro" w:hAnsi="Arial" w:cs="Arial"/>
                <w:sz w:val="20"/>
                <w:szCs w:val="20"/>
                <w:lang w:val="sq-AL"/>
              </w:rPr>
              <w:lastRenderedPageBreak/>
              <w:t>proces.</w:t>
            </w:r>
          </w:p>
        </w:tc>
        <w:tc>
          <w:tcPr>
            <w:tcW w:w="1067" w:type="pct"/>
            <w:vAlign w:val="center"/>
          </w:tcPr>
          <w:p w14:paraId="376060A3" w14:textId="2A545A05" w:rsidR="00495F0D" w:rsidRPr="001C61AE" w:rsidRDefault="00495F0D" w:rsidP="00495F0D">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lastRenderedPageBreak/>
              <w:t xml:space="preserve">Plani i Veprimit për Thatësirën është miratuar zyrtarisht nga Ministria e </w:t>
            </w:r>
            <w:r w:rsidRPr="001C61AE">
              <w:rPr>
                <w:rFonts w:ascii="Arial" w:eastAsia="Myriad Pro" w:hAnsi="Arial" w:cs="Arial"/>
                <w:sz w:val="20"/>
                <w:szCs w:val="20"/>
                <w:lang w:val="sq-AL"/>
              </w:rPr>
              <w:lastRenderedPageBreak/>
              <w:t>Mjedisit, Planifikimit Hapësinor dhe Infrastrukturës (</w:t>
            </w:r>
            <w:r w:rsidR="00BD6094" w:rsidRPr="001C61AE">
              <w:rPr>
                <w:rFonts w:ascii="Arial" w:eastAsia="Myriad Pro" w:hAnsi="Arial" w:cs="Arial"/>
                <w:sz w:val="20"/>
                <w:szCs w:val="20"/>
                <w:lang w:val="sq-AL"/>
              </w:rPr>
              <w:t>MMPHI</w:t>
            </w:r>
            <w:r w:rsidRPr="001C61AE">
              <w:rPr>
                <w:rFonts w:ascii="Arial" w:eastAsia="Myriad Pro" w:hAnsi="Arial" w:cs="Arial"/>
                <w:sz w:val="20"/>
                <w:szCs w:val="20"/>
                <w:lang w:val="sq-AL"/>
              </w:rPr>
              <w:t>).</w:t>
            </w:r>
          </w:p>
          <w:p w14:paraId="07682244" w14:textId="77777777" w:rsidR="00495F0D" w:rsidRPr="001C61AE" w:rsidRDefault="00495F0D" w:rsidP="00495F0D">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Një draft i Strategjisë Kombëtare të Menaxhimit të Thatësirës ose një dokument ekuivalent politikash është përgatitur dhe është në konsultim me palët e interesuara.</w:t>
            </w:r>
          </w:p>
          <w:p w14:paraId="10C807E0" w14:textId="40F7350A" w:rsidR="006B13EF" w:rsidRPr="001C61AE" w:rsidRDefault="00495F0D" w:rsidP="00495F0D">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Një Komitet shumësektorial për Thatësirën është krijuar për të udhëhequr integrimin e politikave dhe për të mbikëqyrur koordinimin.</w:t>
            </w:r>
          </w:p>
        </w:tc>
        <w:tc>
          <w:tcPr>
            <w:tcW w:w="1378" w:type="pct"/>
            <w:vAlign w:val="center"/>
          </w:tcPr>
          <w:p w14:paraId="347FE7E5" w14:textId="404602D3" w:rsidR="00495F0D" w:rsidRPr="001C61AE" w:rsidRDefault="00BE39C7" w:rsidP="00495F0D">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lastRenderedPageBreak/>
              <w:t>Strategjia</w:t>
            </w:r>
            <w:r w:rsidR="00495F0D" w:rsidRPr="001C61AE">
              <w:rPr>
                <w:rFonts w:ascii="Arial" w:eastAsia="Myriad Pro" w:hAnsi="Arial" w:cs="Arial"/>
                <w:sz w:val="20"/>
                <w:szCs w:val="20"/>
                <w:lang w:val="sq-AL"/>
              </w:rPr>
              <w:t xml:space="preserve"> Kombëtare e Menaxhimit të Thatësirës është miratuar dhe publikuar zyrtarisht, me përgjegjësi të </w:t>
            </w:r>
            <w:r w:rsidR="00495F0D" w:rsidRPr="001C61AE">
              <w:rPr>
                <w:rFonts w:ascii="Arial" w:eastAsia="Myriad Pro" w:hAnsi="Arial" w:cs="Arial"/>
                <w:sz w:val="20"/>
                <w:szCs w:val="20"/>
                <w:lang w:val="sq-AL"/>
              </w:rPr>
              <w:lastRenderedPageBreak/>
              <w:t>qarta ligjore dhe institucionale të përcaktuara.</w:t>
            </w:r>
          </w:p>
          <w:p w14:paraId="29F01090" w14:textId="77777777" w:rsidR="00495F0D" w:rsidRPr="001C61AE" w:rsidRDefault="00495F0D" w:rsidP="00495F0D">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Të paktën 50% e veprimeve prioritare nga Plani i Veprimit për Thatësirën (p.sh., përmirësimet e monitorimit, sistemet e paralajmërimit të hershëm, regjistrat e ndikimit) janë në zbatim.</w:t>
            </w:r>
          </w:p>
          <w:p w14:paraId="060553EC" w14:textId="297D8F23" w:rsidR="006B13EF" w:rsidRPr="001C61AE" w:rsidRDefault="00495F0D" w:rsidP="00495F0D">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Komiteti i Thatësirës është funksional dhe zhvillon takime të rregullta koordinimi</w:t>
            </w:r>
            <w:r w:rsidR="006B13EF" w:rsidRPr="001C61AE">
              <w:rPr>
                <w:rFonts w:ascii="Arial" w:eastAsia="Myriad Pro" w:hAnsi="Arial" w:cs="Arial"/>
                <w:sz w:val="20"/>
                <w:szCs w:val="20"/>
                <w:lang w:val="sq-AL"/>
              </w:rPr>
              <w:t>.</w:t>
            </w:r>
          </w:p>
        </w:tc>
      </w:tr>
      <w:tr w:rsidR="006B13EF" w:rsidRPr="001C61AE" w14:paraId="525C407D" w14:textId="77777777" w:rsidTr="00AB7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32C889D3" w14:textId="5D8D43B2" w:rsidR="006B13EF" w:rsidRPr="001C61AE" w:rsidRDefault="006B13EF" w:rsidP="00A70686">
            <w:pPr>
              <w:widowControl w:val="0"/>
              <w:autoSpaceDE w:val="0"/>
              <w:autoSpaceDN w:val="0"/>
              <w:spacing w:before="0" w:line="240" w:lineRule="auto"/>
              <w:jc w:val="both"/>
              <w:rPr>
                <w:rFonts w:ascii="Arial" w:eastAsia="Myriad Pro" w:hAnsi="Arial" w:cs="Arial"/>
                <w:sz w:val="20"/>
                <w:szCs w:val="20"/>
                <w:lang w:val="sq-AL"/>
              </w:rPr>
            </w:pPr>
            <w:r w:rsidRPr="001C61AE">
              <w:rPr>
                <w:rFonts w:ascii="Arial" w:eastAsia="Myriad Pro" w:hAnsi="Arial" w:cs="Arial"/>
                <w:sz w:val="20"/>
                <w:szCs w:val="20"/>
                <w:lang w:val="sq-AL"/>
              </w:rPr>
              <w:lastRenderedPageBreak/>
              <w:t xml:space="preserve">I.12 </w:t>
            </w:r>
            <w:r w:rsidR="00D729C0" w:rsidRPr="001C61AE">
              <w:rPr>
                <w:rFonts w:ascii="Arial" w:eastAsia="Myriad Pro" w:hAnsi="Arial" w:cs="Arial"/>
                <w:sz w:val="20"/>
                <w:szCs w:val="20"/>
                <w:lang w:val="sq-AL"/>
              </w:rPr>
              <w:t>Hartimi i planeve për menaxhimin e rrezikut nga përmbytjet dhe zbatimi i masave prioritare për mbrojtje nga përmbytjet</w:t>
            </w:r>
          </w:p>
        </w:tc>
      </w:tr>
      <w:tr w:rsidR="00AB7CBF" w:rsidRPr="001C61AE" w14:paraId="6442CAB0" w14:textId="77777777" w:rsidTr="00C65386">
        <w:tc>
          <w:tcPr>
            <w:cnfStyle w:val="001000000000" w:firstRow="0" w:lastRow="0" w:firstColumn="1" w:lastColumn="0" w:oddVBand="0" w:evenVBand="0" w:oddHBand="0" w:evenHBand="0" w:firstRowFirstColumn="0" w:firstRowLastColumn="0" w:lastRowFirstColumn="0" w:lastRowLastColumn="0"/>
            <w:tcW w:w="781" w:type="pct"/>
            <w:vAlign w:val="center"/>
          </w:tcPr>
          <w:p w14:paraId="6EF2FCBE" w14:textId="395E3F65" w:rsidR="006B13EF" w:rsidRPr="001C61AE" w:rsidRDefault="00344E35" w:rsidP="00A70686">
            <w:pPr>
              <w:widowControl w:val="0"/>
              <w:autoSpaceDE w:val="0"/>
              <w:autoSpaceDN w:val="0"/>
              <w:spacing w:before="0" w:line="240" w:lineRule="auto"/>
              <w:jc w:val="center"/>
              <w:rPr>
                <w:rFonts w:ascii="Arial" w:hAnsi="Arial" w:cs="Arial"/>
                <w:sz w:val="20"/>
                <w:szCs w:val="20"/>
                <w:lang w:val="sq-AL"/>
              </w:rPr>
            </w:pPr>
            <w:r w:rsidRPr="001C61AE">
              <w:rPr>
                <w:rFonts w:ascii="Arial" w:eastAsia="Myriad Pro" w:hAnsi="Arial" w:cs="Arial"/>
                <w:sz w:val="20"/>
                <w:szCs w:val="20"/>
                <w:lang w:val="sq-AL"/>
              </w:rPr>
              <w:t>Numri i pellgjeve të lumenjve me Plane të miratuara për Menaxhimin e Rrezikut nga Përmbytjet (PMR)</w:t>
            </w:r>
          </w:p>
        </w:tc>
        <w:tc>
          <w:tcPr>
            <w:tcW w:w="0" w:type="pct"/>
            <w:vAlign w:val="center"/>
          </w:tcPr>
          <w:p w14:paraId="7AD6ED8C" w14:textId="77777777" w:rsidR="006B13EF" w:rsidRPr="001C61AE" w:rsidRDefault="006B13EF"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0</w:t>
            </w:r>
          </w:p>
        </w:tc>
        <w:tc>
          <w:tcPr>
            <w:tcW w:w="947" w:type="pct"/>
            <w:vAlign w:val="center"/>
          </w:tcPr>
          <w:p w14:paraId="2263FCB0" w14:textId="3791A702" w:rsidR="006B13EF" w:rsidRPr="001C61AE" w:rsidRDefault="00344E35"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2 pellgje lumenjsh</w:t>
            </w:r>
          </w:p>
        </w:tc>
        <w:tc>
          <w:tcPr>
            <w:tcW w:w="1067" w:type="pct"/>
            <w:vAlign w:val="center"/>
          </w:tcPr>
          <w:p w14:paraId="70E1A3E8" w14:textId="5F14B07B" w:rsidR="006B13EF" w:rsidRPr="001C61AE" w:rsidRDefault="00344E35"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Të gjitha pellgjet e lumenjve (Lepenci, Drini i Bardhë, Ibri, Morava e Binçës) kanë PMR</w:t>
            </w:r>
          </w:p>
        </w:tc>
        <w:tc>
          <w:tcPr>
            <w:tcW w:w="1378" w:type="pct"/>
            <w:vAlign w:val="center"/>
          </w:tcPr>
          <w:p w14:paraId="1B59EF6C" w14:textId="339EA374" w:rsidR="006B13EF" w:rsidRPr="001C61AE" w:rsidRDefault="00344E35"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Zbatimi i PMR-së ka filluar: zonimi i zonave të prirura ndaj përmbytjeve, kufizimet e lejeve, punimet e hershme strukturore dhe integrimi në planet hapësinore</w:t>
            </w:r>
          </w:p>
        </w:tc>
      </w:tr>
      <w:tr w:rsidR="006B13EF" w:rsidRPr="001C61AE" w14:paraId="3B872278" w14:textId="77777777" w:rsidTr="00C65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shd w:val="clear" w:color="auto" w:fill="auto"/>
            <w:vAlign w:val="center"/>
          </w:tcPr>
          <w:p w14:paraId="7166B493" w14:textId="1E03F969" w:rsidR="006B13EF" w:rsidRPr="001C61AE" w:rsidRDefault="00344E35" w:rsidP="00A70686">
            <w:pPr>
              <w:widowControl w:val="0"/>
              <w:autoSpaceDE w:val="0"/>
              <w:autoSpaceDN w:val="0"/>
              <w:spacing w:before="0" w:line="240" w:lineRule="auto"/>
              <w:jc w:val="center"/>
              <w:rPr>
                <w:rFonts w:ascii="Arial" w:hAnsi="Arial" w:cs="Arial"/>
                <w:sz w:val="20"/>
                <w:szCs w:val="20"/>
                <w:lang w:val="sq-AL"/>
              </w:rPr>
            </w:pPr>
            <w:r w:rsidRPr="001C61AE">
              <w:rPr>
                <w:rFonts w:ascii="Arial" w:hAnsi="Arial" w:cs="Arial"/>
                <w:sz w:val="20"/>
                <w:szCs w:val="20"/>
                <w:lang w:val="sq-AL"/>
              </w:rPr>
              <w:t>Numri i projekteve të infrastrukturës prioritare të mbrojtjes nga përmbytjet të përfunduara (p.sh., diga, pellgje mbajtëse, mure përmbytjeje).</w:t>
            </w:r>
          </w:p>
        </w:tc>
        <w:tc>
          <w:tcPr>
            <w:tcW w:w="0" w:type="pct"/>
            <w:shd w:val="clear" w:color="auto" w:fill="auto"/>
            <w:vAlign w:val="center"/>
          </w:tcPr>
          <w:p w14:paraId="0C2A6829" w14:textId="77777777" w:rsidR="006B13EF" w:rsidRPr="001C61AE" w:rsidRDefault="006B13EF"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0</w:t>
            </w:r>
          </w:p>
        </w:tc>
        <w:tc>
          <w:tcPr>
            <w:tcW w:w="947" w:type="pct"/>
            <w:shd w:val="clear" w:color="auto" w:fill="auto"/>
            <w:vAlign w:val="center"/>
          </w:tcPr>
          <w:p w14:paraId="51EAB101" w14:textId="08F645A0" w:rsidR="006B13EF" w:rsidRPr="001C61AE" w:rsidRDefault="00344E35"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hAnsi="Arial" w:cs="Arial"/>
                <w:sz w:val="20"/>
                <w:szCs w:val="20"/>
                <w:lang w:val="sq-AL"/>
              </w:rPr>
              <w:t>Të paktën 5 projekte prioritare</w:t>
            </w:r>
          </w:p>
        </w:tc>
        <w:tc>
          <w:tcPr>
            <w:tcW w:w="1067" w:type="pct"/>
            <w:shd w:val="clear" w:color="auto" w:fill="auto"/>
            <w:vAlign w:val="center"/>
          </w:tcPr>
          <w:p w14:paraId="33955179" w14:textId="4DE1543D" w:rsidR="006B13EF" w:rsidRPr="001C61AE" w:rsidRDefault="00344E35"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Të paktën 15 projekte të përfunduara</w:t>
            </w:r>
          </w:p>
        </w:tc>
        <w:tc>
          <w:tcPr>
            <w:tcW w:w="1378" w:type="pct"/>
            <w:shd w:val="clear" w:color="auto" w:fill="auto"/>
            <w:vAlign w:val="center"/>
          </w:tcPr>
          <w:p w14:paraId="02636E32" w14:textId="7048322B" w:rsidR="006B13EF" w:rsidRPr="001C61AE" w:rsidRDefault="00344E35"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hAnsi="Arial" w:cs="Arial"/>
                <w:sz w:val="20"/>
                <w:szCs w:val="20"/>
                <w:lang w:val="sq-AL"/>
              </w:rPr>
              <w:t>Të gjitha masat kritike prioritare të përfunduara në zonat e identifikuara me rrezik të lartë</w:t>
            </w:r>
          </w:p>
        </w:tc>
      </w:tr>
      <w:tr w:rsidR="00F402F2" w:rsidRPr="001C61AE" w14:paraId="50BE865C" w14:textId="77777777" w:rsidTr="004C6E93">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0FB5E929" w14:textId="60B7F9E5" w:rsidR="00F402F2" w:rsidRPr="001C61AE" w:rsidRDefault="00F402F2" w:rsidP="00C65386">
            <w:pPr>
              <w:widowControl w:val="0"/>
              <w:autoSpaceDE w:val="0"/>
              <w:autoSpaceDN w:val="0"/>
              <w:spacing w:before="0" w:line="240" w:lineRule="auto"/>
              <w:rPr>
                <w:rFonts w:ascii="Arial" w:hAnsi="Arial" w:cs="Arial"/>
                <w:sz w:val="20"/>
                <w:szCs w:val="20"/>
                <w:lang w:val="sq-AL"/>
              </w:rPr>
            </w:pPr>
            <w:r w:rsidRPr="001C61AE">
              <w:rPr>
                <w:rFonts w:ascii="Arial" w:hAnsi="Arial" w:cs="Arial"/>
                <w:sz w:val="20"/>
                <w:szCs w:val="20"/>
                <w:lang w:val="sq-AL"/>
              </w:rPr>
              <w:t>I.13 Studim Kombëtar mbi Integrimin e Zgjidhjeve të Bazuar në Natyrë (NbS) në Menaxhimin e Rrezikut nga Përmbytjet</w:t>
            </w:r>
          </w:p>
        </w:tc>
      </w:tr>
      <w:tr w:rsidR="00F402F2" w:rsidRPr="001C61AE" w14:paraId="457B4E9D" w14:textId="77777777" w:rsidTr="00B15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shd w:val="clear" w:color="auto" w:fill="FFFFFF" w:themeFill="background1"/>
            <w:vAlign w:val="center"/>
          </w:tcPr>
          <w:p w14:paraId="26E064D0" w14:textId="14E24A76" w:rsidR="00F402F2" w:rsidRPr="001C61AE" w:rsidRDefault="000A110D" w:rsidP="00A70686">
            <w:pPr>
              <w:widowControl w:val="0"/>
              <w:autoSpaceDE w:val="0"/>
              <w:autoSpaceDN w:val="0"/>
              <w:spacing w:before="0" w:line="240" w:lineRule="auto"/>
              <w:jc w:val="center"/>
              <w:rPr>
                <w:rFonts w:ascii="Arial" w:hAnsi="Arial" w:cs="Arial"/>
                <w:sz w:val="20"/>
                <w:szCs w:val="20"/>
                <w:lang w:val="sq-AL"/>
              </w:rPr>
            </w:pPr>
            <w:r w:rsidRPr="001C61AE">
              <w:rPr>
                <w:rFonts w:ascii="Arial" w:hAnsi="Arial" w:cs="Arial"/>
                <w:sz w:val="20"/>
                <w:szCs w:val="20"/>
                <w:lang w:val="sq-AL"/>
              </w:rPr>
              <w:t>Përqindja e progresit në zhvillimin dhe zbatimin e Studimit Kombëtar mbi Zgjidhjet e Bazuar në Natyrë (NbS) për Menaxhimin e Rrezikut nga Përmbytjet</w:t>
            </w:r>
          </w:p>
        </w:tc>
        <w:tc>
          <w:tcPr>
            <w:tcW w:w="827" w:type="pct"/>
            <w:shd w:val="clear" w:color="auto" w:fill="FFFFFF" w:themeFill="background1"/>
            <w:vAlign w:val="center"/>
          </w:tcPr>
          <w:p w14:paraId="098850A3" w14:textId="0A68D64A" w:rsidR="00F402F2" w:rsidRPr="001C61AE" w:rsidRDefault="00A65A4E"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0%</w:t>
            </w:r>
          </w:p>
        </w:tc>
        <w:tc>
          <w:tcPr>
            <w:tcW w:w="947" w:type="pct"/>
            <w:shd w:val="clear" w:color="auto" w:fill="FFFFFF" w:themeFill="background1"/>
            <w:vAlign w:val="center"/>
          </w:tcPr>
          <w:p w14:paraId="4D8A4538" w14:textId="698E3A58" w:rsidR="00F402F2" w:rsidRPr="001C61AE" w:rsidRDefault="00A65A4E"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100% e studimit e përfunduar dhe e shpërndarë</w:t>
            </w:r>
          </w:p>
        </w:tc>
        <w:tc>
          <w:tcPr>
            <w:tcW w:w="1067" w:type="pct"/>
            <w:shd w:val="clear" w:color="auto" w:fill="FFFFFF" w:themeFill="background1"/>
            <w:vAlign w:val="center"/>
          </w:tcPr>
          <w:p w14:paraId="4C8E6489" w14:textId="22FA3500" w:rsidR="00F402F2" w:rsidRPr="001C61AE" w:rsidRDefault="00A65A4E"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Të paktën 50% e rekomandimeve nga studimi të reflektohen në planet kombëtare ose komunale për menaxhimin e rrezikut nga përmbytjet</w:t>
            </w:r>
          </w:p>
        </w:tc>
        <w:tc>
          <w:tcPr>
            <w:tcW w:w="1378" w:type="pct"/>
            <w:shd w:val="clear" w:color="auto" w:fill="FFFFFF" w:themeFill="background1"/>
            <w:vAlign w:val="center"/>
          </w:tcPr>
          <w:p w14:paraId="0DB3CAE4" w14:textId="72DBEC73" w:rsidR="00F402F2" w:rsidRPr="001C61AE" w:rsidRDefault="00A65A4E"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Të paktën 80% e rekomandimeve nga studimi të integrohen plotësisht në kuadrot e qeverisjes së ujërave dhe në planifikimin urban/rural</w:t>
            </w:r>
          </w:p>
        </w:tc>
      </w:tr>
    </w:tbl>
    <w:p w14:paraId="7332930B" w14:textId="77777777" w:rsidR="000D7628" w:rsidRPr="001C61AE" w:rsidRDefault="000D7628" w:rsidP="004C6E93">
      <w:pPr>
        <w:rPr>
          <w:rFonts w:ascii="Arial" w:hAnsi="Arial" w:cs="Arial"/>
          <w:lang w:val="sq-AL"/>
        </w:rPr>
      </w:pPr>
    </w:p>
    <w:p w14:paraId="5D39BFA7" w14:textId="5A8FA992" w:rsidR="00554A2A" w:rsidRPr="001C61AE" w:rsidRDefault="00344E35" w:rsidP="001C61AE">
      <w:pPr>
        <w:pStyle w:val="Heading3"/>
        <w:rPr>
          <w:rFonts w:ascii="Arial" w:hAnsi="Arial" w:cs="Arial"/>
          <w:lang w:val="sq-AL"/>
        </w:rPr>
      </w:pPr>
      <w:bookmarkStart w:id="100" w:name="_Toc211532719"/>
      <w:r w:rsidRPr="001C61AE">
        <w:rPr>
          <w:rFonts w:ascii="Arial" w:hAnsi="Arial" w:cs="Arial"/>
          <w:lang w:val="sq-AL"/>
        </w:rPr>
        <w:lastRenderedPageBreak/>
        <w:t>Sektori i energjisë</w:t>
      </w:r>
      <w:bookmarkEnd w:id="100"/>
    </w:p>
    <w:tbl>
      <w:tblPr>
        <w:tblStyle w:val="PlainTable1"/>
        <w:tblW w:w="5000" w:type="pct"/>
        <w:tblBorders>
          <w:top w:val="single" w:sz="4" w:space="0" w:color="0F4761"/>
          <w:left w:val="single" w:sz="4" w:space="0" w:color="0F4761"/>
          <w:bottom w:val="single" w:sz="4" w:space="0" w:color="0F4761"/>
          <w:right w:val="single" w:sz="4" w:space="0" w:color="0F4761"/>
          <w:insideH w:val="single" w:sz="4" w:space="0" w:color="0F4761"/>
          <w:insideV w:val="single" w:sz="4" w:space="0" w:color="0F4761"/>
        </w:tblBorders>
        <w:tblLook w:val="04A0" w:firstRow="1" w:lastRow="0" w:firstColumn="1" w:lastColumn="0" w:noHBand="0" w:noVBand="1"/>
      </w:tblPr>
      <w:tblGrid>
        <w:gridCol w:w="2306"/>
        <w:gridCol w:w="7"/>
        <w:gridCol w:w="1958"/>
        <w:gridCol w:w="57"/>
        <w:gridCol w:w="1879"/>
        <w:gridCol w:w="58"/>
        <w:gridCol w:w="1917"/>
        <w:gridCol w:w="49"/>
        <w:gridCol w:w="1965"/>
      </w:tblGrid>
      <w:tr w:rsidR="00344E35" w:rsidRPr="001C61AE" w14:paraId="6FF77AF0" w14:textId="77777777" w:rsidTr="00B85011">
        <w:trPr>
          <w:cnfStyle w:val="100000000000" w:firstRow="1" w:lastRow="0" w:firstColumn="0" w:lastColumn="0" w:oddVBand="0" w:evenVBand="0" w:oddHBand="0" w:evenHBand="0" w:firstRowFirstColumn="0" w:firstRowLastColumn="0" w:lastRowFirstColumn="0" w:lastRowLastColumn="0"/>
          <w:trHeight w:val="737"/>
          <w:tblHeader/>
        </w:trPr>
        <w:tc>
          <w:tcPr>
            <w:cnfStyle w:val="001000000000" w:firstRow="0" w:lastRow="0" w:firstColumn="1" w:lastColumn="0" w:oddVBand="0" w:evenVBand="0" w:oddHBand="0" w:evenHBand="0" w:firstRowFirstColumn="0" w:firstRowLastColumn="0" w:lastRowFirstColumn="0" w:lastRowLastColumn="0"/>
            <w:tcW w:w="1102" w:type="pct"/>
            <w:shd w:val="clear" w:color="auto" w:fill="22635D"/>
            <w:vAlign w:val="center"/>
            <w:hideMark/>
          </w:tcPr>
          <w:p w14:paraId="0B7A5FAF" w14:textId="26554F10" w:rsidR="00344E35" w:rsidRPr="001C61AE" w:rsidRDefault="00344E35" w:rsidP="00344E35">
            <w:pPr>
              <w:spacing w:before="0" w:line="240" w:lineRule="auto"/>
              <w:jc w:val="center"/>
              <w:rPr>
                <w:rFonts w:ascii="Arial" w:eastAsia="Myriad Pro" w:hAnsi="Arial" w:cs="Arial"/>
                <w:color w:val="FFFFFF" w:themeColor="background1"/>
                <w:sz w:val="20"/>
                <w:szCs w:val="20"/>
                <w:lang w:val="sq-AL"/>
              </w:rPr>
            </w:pPr>
            <w:bookmarkStart w:id="101" w:name="_Hlk201588462"/>
            <w:r w:rsidRPr="001C61AE">
              <w:rPr>
                <w:rFonts w:ascii="Arial" w:eastAsia="Myriad Pro" w:hAnsi="Arial" w:cs="Arial"/>
                <w:color w:val="FFFFFF" w:themeColor="background1"/>
                <w:sz w:val="20"/>
                <w:szCs w:val="20"/>
                <w:lang w:val="sq-AL"/>
              </w:rPr>
              <w:t>Treguesit për Objektivat Specifike</w:t>
            </w:r>
          </w:p>
        </w:tc>
        <w:tc>
          <w:tcPr>
            <w:tcW w:w="1005" w:type="pct"/>
            <w:gridSpan w:val="3"/>
            <w:shd w:val="clear" w:color="auto" w:fill="22635D"/>
            <w:vAlign w:val="center"/>
            <w:hideMark/>
          </w:tcPr>
          <w:p w14:paraId="70B57345" w14:textId="354CC563" w:rsidR="00344E35" w:rsidRPr="001C61AE" w:rsidRDefault="00344E35" w:rsidP="00344E3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Myriad Pro" w:hAnsi="Arial" w:cs="Arial"/>
                <w:color w:val="FFFFFF" w:themeColor="background1"/>
                <w:sz w:val="20"/>
                <w:szCs w:val="20"/>
                <w:lang w:val="sq-AL"/>
              </w:rPr>
            </w:pPr>
            <w:r w:rsidRPr="001C61AE">
              <w:rPr>
                <w:rFonts w:ascii="Arial" w:hAnsi="Arial" w:cs="Arial"/>
                <w:color w:val="FFFFFF" w:themeColor="background1"/>
                <w:sz w:val="20"/>
                <w:szCs w:val="20"/>
                <w:lang w:val="sq-AL"/>
              </w:rPr>
              <w:t>Baza fillestare (2025)</w:t>
            </w:r>
          </w:p>
        </w:tc>
        <w:tc>
          <w:tcPr>
            <w:tcW w:w="969" w:type="pct"/>
            <w:gridSpan w:val="2"/>
            <w:shd w:val="clear" w:color="auto" w:fill="22635D"/>
            <w:vAlign w:val="center"/>
            <w:hideMark/>
          </w:tcPr>
          <w:p w14:paraId="7C140ED5" w14:textId="30240037" w:rsidR="00344E35" w:rsidRPr="001C61AE" w:rsidRDefault="006672E3" w:rsidP="00344E3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Myriad Pro" w:hAnsi="Arial" w:cs="Arial"/>
                <w:color w:val="FFFFFF" w:themeColor="background1"/>
                <w:sz w:val="20"/>
                <w:szCs w:val="20"/>
                <w:lang w:val="sq-AL"/>
              </w:rPr>
            </w:pPr>
            <w:r w:rsidRPr="001C61AE">
              <w:rPr>
                <w:rFonts w:ascii="Arial" w:hAnsi="Arial" w:cs="Arial"/>
                <w:color w:val="FFFFFF" w:themeColor="background1"/>
                <w:sz w:val="20"/>
                <w:szCs w:val="20"/>
                <w:lang w:val="sq-AL"/>
              </w:rPr>
              <w:t xml:space="preserve">Caku </w:t>
            </w:r>
            <w:r w:rsidR="00344E35" w:rsidRPr="001C61AE">
              <w:rPr>
                <w:rFonts w:ascii="Arial" w:hAnsi="Arial" w:cs="Arial"/>
                <w:color w:val="FFFFFF" w:themeColor="background1"/>
                <w:sz w:val="20"/>
                <w:szCs w:val="20"/>
                <w:lang w:val="sq-AL"/>
              </w:rPr>
              <w:t>2027 (afatshkurtër)</w:t>
            </w:r>
          </w:p>
        </w:tc>
        <w:tc>
          <w:tcPr>
            <w:tcW w:w="905" w:type="pct"/>
            <w:shd w:val="clear" w:color="auto" w:fill="22635D"/>
            <w:vAlign w:val="center"/>
            <w:hideMark/>
          </w:tcPr>
          <w:p w14:paraId="2889E975" w14:textId="34661E98" w:rsidR="00344E35" w:rsidRPr="001C61AE" w:rsidRDefault="006672E3" w:rsidP="00344E3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Myriad Pro" w:hAnsi="Arial" w:cs="Arial"/>
                <w:color w:val="FFFFFF" w:themeColor="background1"/>
                <w:sz w:val="20"/>
                <w:szCs w:val="20"/>
                <w:lang w:val="sq-AL"/>
              </w:rPr>
            </w:pPr>
            <w:r w:rsidRPr="001C61AE">
              <w:rPr>
                <w:rFonts w:ascii="Arial" w:hAnsi="Arial" w:cs="Arial"/>
                <w:color w:val="FFFFFF" w:themeColor="background1"/>
                <w:sz w:val="20"/>
                <w:szCs w:val="20"/>
                <w:lang w:val="sq-AL"/>
              </w:rPr>
              <w:t>Caku</w:t>
            </w:r>
            <w:r w:rsidR="00344E35" w:rsidRPr="001C61AE">
              <w:rPr>
                <w:rFonts w:ascii="Arial" w:hAnsi="Arial" w:cs="Arial"/>
                <w:color w:val="FFFFFF" w:themeColor="background1"/>
                <w:sz w:val="20"/>
                <w:szCs w:val="20"/>
                <w:lang w:val="sq-AL"/>
              </w:rPr>
              <w:t>2030 (afatmesëm)</w:t>
            </w:r>
          </w:p>
        </w:tc>
        <w:tc>
          <w:tcPr>
            <w:tcW w:w="1019" w:type="pct"/>
            <w:gridSpan w:val="2"/>
            <w:shd w:val="clear" w:color="auto" w:fill="22635D"/>
            <w:vAlign w:val="center"/>
          </w:tcPr>
          <w:p w14:paraId="4DCDEC85" w14:textId="2AD2AAB5" w:rsidR="00344E35" w:rsidRPr="001C61AE" w:rsidRDefault="006672E3" w:rsidP="00344E3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Myriad Pro" w:hAnsi="Arial" w:cs="Arial"/>
                <w:color w:val="FFFFFF" w:themeColor="background1"/>
                <w:sz w:val="20"/>
                <w:szCs w:val="20"/>
                <w:lang w:val="sq-AL"/>
              </w:rPr>
            </w:pPr>
            <w:r w:rsidRPr="001C61AE">
              <w:rPr>
                <w:rFonts w:ascii="Arial" w:hAnsi="Arial" w:cs="Arial"/>
                <w:color w:val="FFFFFF" w:themeColor="background1"/>
                <w:sz w:val="20"/>
                <w:szCs w:val="20"/>
                <w:lang w:val="sq-AL"/>
              </w:rPr>
              <w:t xml:space="preserve">Caku </w:t>
            </w:r>
            <w:r w:rsidR="00344E35" w:rsidRPr="001C61AE">
              <w:rPr>
                <w:rFonts w:ascii="Arial" w:hAnsi="Arial" w:cs="Arial"/>
                <w:color w:val="FFFFFF" w:themeColor="background1"/>
                <w:sz w:val="20"/>
                <w:szCs w:val="20"/>
                <w:lang w:val="sq-AL"/>
              </w:rPr>
              <w:t>2040 (afatgjatë)</w:t>
            </w:r>
          </w:p>
        </w:tc>
      </w:tr>
      <w:bookmarkEnd w:id="101"/>
      <w:tr w:rsidR="00554A2A" w:rsidRPr="001C61AE" w14:paraId="61BFF7CD" w14:textId="77777777" w:rsidTr="008E17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0F4761"/>
            <w:vAlign w:val="center"/>
          </w:tcPr>
          <w:p w14:paraId="0434341D" w14:textId="405ACDD6" w:rsidR="00554A2A" w:rsidRPr="001C61AE" w:rsidRDefault="0040465B" w:rsidP="00A70686">
            <w:pPr>
              <w:spacing w:before="0"/>
              <w:jc w:val="center"/>
              <w:rPr>
                <w:rFonts w:ascii="Arial" w:hAnsi="Arial" w:cs="Arial"/>
                <w:sz w:val="20"/>
                <w:szCs w:val="20"/>
                <w:lang w:val="sq-AL"/>
              </w:rPr>
            </w:pPr>
            <w:r w:rsidRPr="001C61AE">
              <w:rPr>
                <w:rFonts w:ascii="Arial" w:eastAsia="Myriad Pro" w:hAnsi="Arial" w:cs="Arial"/>
                <w:sz w:val="20"/>
                <w:szCs w:val="20"/>
                <w:lang w:val="sq-AL"/>
              </w:rPr>
              <w:t>Prioriteti kyç për përshtatje</w:t>
            </w:r>
            <w:r w:rsidR="00554A2A" w:rsidRPr="001C61AE">
              <w:rPr>
                <w:rFonts w:ascii="Arial" w:eastAsia="Myriad Pro" w:hAnsi="Arial" w:cs="Arial"/>
                <w:sz w:val="20"/>
                <w:szCs w:val="20"/>
                <w:lang w:val="sq-AL"/>
              </w:rPr>
              <w:t xml:space="preserve">: </w:t>
            </w:r>
            <w:r w:rsidR="00AD0D94" w:rsidRPr="001C61AE">
              <w:rPr>
                <w:rFonts w:ascii="Arial" w:hAnsi="Arial" w:cs="Arial"/>
                <w:sz w:val="20"/>
                <w:szCs w:val="20"/>
                <w:lang w:val="sq-AL"/>
              </w:rPr>
              <w:t>Diversifikimi i burimeve të energjisë dhe përmirësimi i efiçiencës energjetike</w:t>
            </w:r>
            <w:r w:rsidR="00AD0D94" w:rsidRPr="001C61AE" w:rsidDel="000D7628">
              <w:rPr>
                <w:rFonts w:ascii="Arial" w:hAnsi="Arial" w:cs="Arial"/>
                <w:sz w:val="20"/>
                <w:szCs w:val="20"/>
                <w:lang w:val="sq-AL"/>
              </w:rPr>
              <w:t xml:space="preserve"> </w:t>
            </w:r>
          </w:p>
        </w:tc>
      </w:tr>
      <w:tr w:rsidR="00554A2A" w:rsidRPr="001C61AE" w14:paraId="37923ADC" w14:textId="77777777" w:rsidTr="008E17FD">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C6E7F6"/>
            <w:vAlign w:val="center"/>
          </w:tcPr>
          <w:p w14:paraId="1C926750" w14:textId="76975A63" w:rsidR="00554A2A" w:rsidRPr="001C61AE" w:rsidRDefault="00AC67CE" w:rsidP="00A70686">
            <w:pPr>
              <w:spacing w:before="0"/>
              <w:jc w:val="both"/>
              <w:rPr>
                <w:rFonts w:ascii="Arial" w:hAnsi="Arial" w:cs="Arial"/>
                <w:sz w:val="20"/>
                <w:szCs w:val="20"/>
                <w:lang w:val="sq-AL"/>
              </w:rPr>
            </w:pPr>
            <w:r w:rsidRPr="001C61AE">
              <w:rPr>
                <w:rFonts w:ascii="Arial" w:hAnsi="Arial" w:cs="Arial"/>
                <w:sz w:val="20"/>
                <w:szCs w:val="20"/>
                <w:lang w:val="sq-AL"/>
              </w:rPr>
              <w:t>II.1</w:t>
            </w:r>
            <w:r w:rsidR="00AD0D94" w:rsidRPr="001C61AE">
              <w:rPr>
                <w:rFonts w:ascii="Arial" w:hAnsi="Arial" w:cs="Arial"/>
                <w:sz w:val="20"/>
                <w:szCs w:val="20"/>
                <w:lang w:val="sq-AL"/>
              </w:rPr>
              <w:t>4</w:t>
            </w:r>
            <w:r w:rsidR="00554A2A" w:rsidRPr="001C61AE">
              <w:rPr>
                <w:rFonts w:ascii="Arial" w:hAnsi="Arial" w:cs="Arial"/>
                <w:sz w:val="20"/>
                <w:szCs w:val="20"/>
                <w:lang w:val="sq-AL"/>
              </w:rPr>
              <w:t xml:space="preserve"> </w:t>
            </w:r>
            <w:r w:rsidR="00344E35" w:rsidRPr="001C61AE">
              <w:rPr>
                <w:rFonts w:ascii="Arial" w:hAnsi="Arial" w:cs="Arial"/>
                <w:sz w:val="20"/>
                <w:szCs w:val="20"/>
                <w:lang w:val="sq-AL"/>
              </w:rPr>
              <w:t>Zgjerimi i kapaciteteve të energjisë së erës për të shfrytëzuar prodhimin e qëndrueshëm ndaj ndryshimeve klimatike</w:t>
            </w:r>
          </w:p>
        </w:tc>
      </w:tr>
      <w:tr w:rsidR="00554A2A" w:rsidRPr="001C61AE" w14:paraId="1157E97E" w14:textId="77777777" w:rsidTr="00B85011">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105" w:type="pct"/>
            <w:gridSpan w:val="2"/>
            <w:shd w:val="clear" w:color="auto" w:fill="auto"/>
            <w:vAlign w:val="center"/>
          </w:tcPr>
          <w:p w14:paraId="7FE8D8BE" w14:textId="69902029" w:rsidR="00554A2A" w:rsidRPr="001C61AE" w:rsidRDefault="00B85011" w:rsidP="00A70686">
            <w:pPr>
              <w:spacing w:before="0"/>
              <w:jc w:val="center"/>
              <w:rPr>
                <w:rFonts w:ascii="Arial" w:hAnsi="Arial" w:cs="Arial"/>
                <w:sz w:val="20"/>
                <w:szCs w:val="20"/>
                <w:lang w:val="sq-AL"/>
              </w:rPr>
            </w:pPr>
            <w:r w:rsidRPr="001C61AE">
              <w:rPr>
                <w:rFonts w:ascii="Arial" w:hAnsi="Arial" w:cs="Arial"/>
                <w:sz w:val="20"/>
                <w:szCs w:val="20"/>
                <w:lang w:val="sq-AL"/>
              </w:rPr>
              <w:t>Kapaciteti i instaluar i energjisë së erës (MW).</w:t>
            </w:r>
          </w:p>
        </w:tc>
        <w:tc>
          <w:tcPr>
            <w:tcW w:w="971" w:type="pct"/>
            <w:shd w:val="clear" w:color="auto" w:fill="auto"/>
            <w:vAlign w:val="center"/>
          </w:tcPr>
          <w:p w14:paraId="22CFF486" w14:textId="020632DD" w:rsidR="00554A2A" w:rsidRPr="001C61AE" w:rsidRDefault="00B85011" w:rsidP="00A70686">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sq-AL"/>
              </w:rPr>
            </w:pPr>
            <w:r w:rsidRPr="001C61AE">
              <w:rPr>
                <w:rFonts w:ascii="Arial" w:hAnsi="Arial" w:cs="Arial"/>
                <w:sz w:val="20"/>
                <w:szCs w:val="20"/>
                <w:lang w:val="sq-AL"/>
              </w:rPr>
              <w:t>~140 MW (kapaciteti ekzistues i erës, p.sh. parku eolik Kitka).</w:t>
            </w:r>
          </w:p>
        </w:tc>
        <w:tc>
          <w:tcPr>
            <w:tcW w:w="971" w:type="pct"/>
            <w:gridSpan w:val="2"/>
            <w:shd w:val="clear" w:color="auto" w:fill="auto"/>
            <w:vAlign w:val="center"/>
          </w:tcPr>
          <w:p w14:paraId="1EE48A21" w14:textId="304BF0F9" w:rsidR="00554A2A" w:rsidRPr="001C61AE" w:rsidRDefault="00B85011" w:rsidP="00A70686">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sq-AL"/>
              </w:rPr>
            </w:pPr>
            <w:r w:rsidRPr="001C61AE">
              <w:rPr>
                <w:rFonts w:ascii="Arial" w:hAnsi="Arial" w:cs="Arial"/>
                <w:sz w:val="20"/>
                <w:szCs w:val="20"/>
                <w:lang w:val="sq-AL"/>
              </w:rPr>
              <w:t>250 MW të instaluara (parqe të tjera eolik në proces).</w:t>
            </w:r>
          </w:p>
        </w:tc>
        <w:tc>
          <w:tcPr>
            <w:tcW w:w="967" w:type="pct"/>
            <w:gridSpan w:val="3"/>
            <w:shd w:val="clear" w:color="auto" w:fill="auto"/>
            <w:vAlign w:val="center"/>
          </w:tcPr>
          <w:p w14:paraId="4093D879" w14:textId="566B3D21" w:rsidR="00554A2A" w:rsidRPr="001C61AE" w:rsidRDefault="00B85011" w:rsidP="00A70686">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sq-AL"/>
              </w:rPr>
            </w:pPr>
            <w:r w:rsidRPr="001C61AE">
              <w:rPr>
                <w:rFonts w:ascii="Arial" w:hAnsi="Arial" w:cs="Arial"/>
                <w:sz w:val="20"/>
                <w:szCs w:val="20"/>
                <w:lang w:val="sq-AL"/>
              </w:rPr>
              <w:t>600 MW të instaluara **** (projekte të mëdha eolik të arritura sipas Strategjisë së Energjisë).</w:t>
            </w:r>
          </w:p>
        </w:tc>
        <w:tc>
          <w:tcPr>
            <w:tcW w:w="987" w:type="pct"/>
            <w:shd w:val="clear" w:color="auto" w:fill="auto"/>
            <w:vAlign w:val="center"/>
          </w:tcPr>
          <w:p w14:paraId="02E4748D" w14:textId="5C63FFA6" w:rsidR="00554A2A" w:rsidRPr="001C61AE" w:rsidRDefault="00B85011" w:rsidP="00A70686">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1,200 MW të instaluara (shfrytëzim i plotë i vendeve kryesore të energjisë së erës).</w:t>
            </w:r>
          </w:p>
        </w:tc>
      </w:tr>
      <w:tr w:rsidR="00554A2A" w:rsidRPr="001C61AE" w14:paraId="013A179F" w14:textId="77777777" w:rsidTr="008E17FD">
        <w:trPr>
          <w:trHeight w:val="349"/>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C6E7F6"/>
            <w:vAlign w:val="center"/>
          </w:tcPr>
          <w:p w14:paraId="74A536F4" w14:textId="27738B64" w:rsidR="00554A2A" w:rsidRPr="001C61AE" w:rsidRDefault="00AC67CE" w:rsidP="00A70686">
            <w:pPr>
              <w:spacing w:before="0"/>
              <w:jc w:val="both"/>
              <w:rPr>
                <w:rFonts w:ascii="Arial" w:hAnsi="Arial" w:cs="Arial"/>
                <w:sz w:val="20"/>
                <w:szCs w:val="20"/>
                <w:lang w:val="sq-AL"/>
              </w:rPr>
            </w:pPr>
            <w:r w:rsidRPr="001C61AE">
              <w:rPr>
                <w:rFonts w:ascii="Arial" w:hAnsi="Arial" w:cs="Arial"/>
                <w:sz w:val="20"/>
                <w:szCs w:val="20"/>
                <w:lang w:val="sq-AL"/>
              </w:rPr>
              <w:t>II.1</w:t>
            </w:r>
            <w:r w:rsidR="00AD0D94" w:rsidRPr="001C61AE">
              <w:rPr>
                <w:rFonts w:ascii="Arial" w:hAnsi="Arial" w:cs="Arial"/>
                <w:sz w:val="20"/>
                <w:szCs w:val="20"/>
                <w:lang w:val="sq-AL"/>
              </w:rPr>
              <w:t>5</w:t>
            </w:r>
            <w:r w:rsidR="00554A2A" w:rsidRPr="001C61AE">
              <w:rPr>
                <w:rFonts w:ascii="Arial" w:hAnsi="Arial" w:cs="Arial"/>
                <w:sz w:val="20"/>
                <w:szCs w:val="20"/>
                <w:lang w:val="sq-AL"/>
              </w:rPr>
              <w:t xml:space="preserve"> </w:t>
            </w:r>
            <w:r w:rsidR="00344E35" w:rsidRPr="001C61AE">
              <w:rPr>
                <w:rFonts w:ascii="Arial" w:hAnsi="Arial" w:cs="Arial"/>
                <w:sz w:val="20"/>
                <w:szCs w:val="20"/>
                <w:lang w:val="sq-AL"/>
              </w:rPr>
              <w:t>Rritja e instalimit të paneleve fotovoltaike diellore (në shkallë industriale dhe mbi ndërtesa) për të diversifikuar furnizimin, veçanërisht gjatë pikut të verës</w:t>
            </w:r>
          </w:p>
        </w:tc>
      </w:tr>
      <w:tr w:rsidR="00554A2A" w:rsidRPr="001C61AE" w14:paraId="3579BA2D" w14:textId="77777777" w:rsidTr="00B8501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105" w:type="pct"/>
            <w:gridSpan w:val="2"/>
            <w:shd w:val="clear" w:color="auto" w:fill="auto"/>
            <w:vAlign w:val="center"/>
          </w:tcPr>
          <w:p w14:paraId="2CA8CE4F" w14:textId="1D11E93F" w:rsidR="00554A2A" w:rsidRPr="001C61AE" w:rsidRDefault="00B85011" w:rsidP="00A70686">
            <w:pPr>
              <w:spacing w:before="0"/>
              <w:jc w:val="center"/>
              <w:rPr>
                <w:rFonts w:ascii="Arial" w:hAnsi="Arial" w:cs="Arial"/>
                <w:sz w:val="20"/>
                <w:szCs w:val="20"/>
                <w:lang w:val="sq-AL"/>
              </w:rPr>
            </w:pPr>
            <w:r w:rsidRPr="001C61AE">
              <w:rPr>
                <w:rFonts w:ascii="Arial" w:hAnsi="Arial" w:cs="Arial"/>
                <w:sz w:val="20"/>
                <w:szCs w:val="20"/>
                <w:lang w:val="sq-AL"/>
              </w:rPr>
              <w:t>Kapaciteti i instaluar i paneleve diellore fotovoltaike (MW).</w:t>
            </w:r>
          </w:p>
        </w:tc>
        <w:tc>
          <w:tcPr>
            <w:tcW w:w="971" w:type="pct"/>
            <w:shd w:val="clear" w:color="auto" w:fill="auto"/>
            <w:vAlign w:val="center"/>
          </w:tcPr>
          <w:p w14:paraId="62FF723B" w14:textId="59795E9A" w:rsidR="00554A2A" w:rsidRPr="001C61AE" w:rsidRDefault="00B85011" w:rsidP="00A70686">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sq-AL"/>
              </w:rPr>
            </w:pPr>
            <w:r w:rsidRPr="001C61AE">
              <w:rPr>
                <w:rFonts w:ascii="Arial" w:hAnsi="Arial" w:cs="Arial"/>
                <w:sz w:val="20"/>
                <w:szCs w:val="20"/>
                <w:lang w:val="sq-AL"/>
              </w:rPr>
              <w:t>~50 MW (centrale të vogla shërbimi + instalime në çati).</w:t>
            </w:r>
          </w:p>
        </w:tc>
        <w:tc>
          <w:tcPr>
            <w:tcW w:w="971" w:type="pct"/>
            <w:gridSpan w:val="2"/>
            <w:shd w:val="clear" w:color="auto" w:fill="auto"/>
            <w:vAlign w:val="center"/>
          </w:tcPr>
          <w:p w14:paraId="7CCE3C5A" w14:textId="22D84959" w:rsidR="00554A2A" w:rsidRPr="001C61AE" w:rsidRDefault="00B85011" w:rsidP="00A70686">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sq-AL"/>
              </w:rPr>
            </w:pPr>
            <w:r w:rsidRPr="001C61AE">
              <w:rPr>
                <w:rFonts w:ascii="Arial" w:hAnsi="Arial" w:cs="Arial"/>
                <w:sz w:val="20"/>
                <w:szCs w:val="20"/>
                <w:lang w:val="sq-AL"/>
              </w:rPr>
              <w:t>200 MW (duke përfshirë &gt;50 MW fotovoltaike në çati përmes programeve të konsumatorëve privatë).</w:t>
            </w:r>
          </w:p>
        </w:tc>
        <w:tc>
          <w:tcPr>
            <w:tcW w:w="967" w:type="pct"/>
            <w:gridSpan w:val="3"/>
            <w:shd w:val="clear" w:color="auto" w:fill="auto"/>
            <w:vAlign w:val="center"/>
          </w:tcPr>
          <w:p w14:paraId="0EEE350C" w14:textId="0B6CEBE5" w:rsidR="00554A2A" w:rsidRPr="001C61AE" w:rsidRDefault="00B85011" w:rsidP="00A70686">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sq-AL"/>
              </w:rPr>
            </w:pPr>
            <w:r w:rsidRPr="001C61AE">
              <w:rPr>
                <w:rFonts w:ascii="Arial" w:hAnsi="Arial" w:cs="Arial"/>
                <w:sz w:val="20"/>
                <w:szCs w:val="20"/>
                <w:lang w:val="sq-AL"/>
              </w:rPr>
              <w:t>700 MW **** (600 MW në shkallë shërbimi + ~100 MW konsumatorë privatë për strategji).</w:t>
            </w:r>
          </w:p>
        </w:tc>
        <w:tc>
          <w:tcPr>
            <w:tcW w:w="987" w:type="pct"/>
            <w:shd w:val="clear" w:color="auto" w:fill="auto"/>
            <w:vAlign w:val="center"/>
          </w:tcPr>
          <w:p w14:paraId="6375B3A5" w14:textId="770704A6" w:rsidR="00554A2A" w:rsidRPr="001C61AE" w:rsidRDefault="00B85011" w:rsidP="00A70686">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1,200 MW (energji diellore e përhapur gjerësisht në çati, në centrale komerciale dhe të shërbimeve).</w:t>
            </w:r>
          </w:p>
        </w:tc>
      </w:tr>
      <w:tr w:rsidR="00554A2A" w:rsidRPr="001C61AE" w14:paraId="7A0C0C17" w14:textId="77777777" w:rsidTr="008E17FD">
        <w:trPr>
          <w:trHeight w:val="349"/>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C6E7F6"/>
            <w:vAlign w:val="center"/>
          </w:tcPr>
          <w:p w14:paraId="19E82625" w14:textId="16B745E2" w:rsidR="00554A2A" w:rsidRPr="001C61AE" w:rsidRDefault="00AC67CE" w:rsidP="00A70686">
            <w:pPr>
              <w:spacing w:before="0"/>
              <w:jc w:val="both"/>
              <w:rPr>
                <w:rFonts w:ascii="Arial" w:hAnsi="Arial" w:cs="Arial"/>
                <w:sz w:val="20"/>
                <w:szCs w:val="20"/>
                <w:lang w:val="sq-AL"/>
              </w:rPr>
            </w:pPr>
            <w:r w:rsidRPr="001C61AE">
              <w:rPr>
                <w:rFonts w:ascii="Arial" w:hAnsi="Arial" w:cs="Arial"/>
                <w:sz w:val="20"/>
                <w:szCs w:val="20"/>
                <w:lang w:val="sq-AL"/>
              </w:rPr>
              <w:t>II.1</w:t>
            </w:r>
            <w:r w:rsidR="00AD0D94" w:rsidRPr="001C61AE">
              <w:rPr>
                <w:rFonts w:ascii="Arial" w:hAnsi="Arial" w:cs="Arial"/>
                <w:sz w:val="20"/>
                <w:szCs w:val="20"/>
                <w:lang w:val="sq-AL"/>
              </w:rPr>
              <w:t>6</w:t>
            </w:r>
            <w:r w:rsidR="00554A2A" w:rsidRPr="001C61AE">
              <w:rPr>
                <w:rFonts w:ascii="Arial" w:hAnsi="Arial" w:cs="Arial"/>
                <w:sz w:val="20"/>
                <w:szCs w:val="20"/>
                <w:lang w:val="sq-AL"/>
              </w:rPr>
              <w:t xml:space="preserve"> </w:t>
            </w:r>
            <w:r w:rsidR="00344E35" w:rsidRPr="001C61AE">
              <w:rPr>
                <w:rFonts w:ascii="Arial" w:hAnsi="Arial" w:cs="Arial"/>
                <w:sz w:val="20"/>
                <w:szCs w:val="20"/>
                <w:lang w:val="sq-AL"/>
              </w:rPr>
              <w:t>Rritja e pjesëmarrjes së burimeve të ripërtëritshme në prodhimin dhe konsumimin e energjisë elektrike, në përputhje me objektivat e BE-së</w:t>
            </w:r>
          </w:p>
        </w:tc>
      </w:tr>
      <w:tr w:rsidR="00554A2A" w:rsidRPr="001C61AE" w14:paraId="1852D0DE" w14:textId="77777777" w:rsidTr="00B8501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105" w:type="pct"/>
            <w:gridSpan w:val="2"/>
            <w:shd w:val="clear" w:color="auto" w:fill="auto"/>
            <w:vAlign w:val="center"/>
          </w:tcPr>
          <w:p w14:paraId="3B38C677" w14:textId="203488A5" w:rsidR="00554A2A" w:rsidRPr="001C61AE" w:rsidRDefault="00B85011" w:rsidP="00A70686">
            <w:pPr>
              <w:spacing w:before="0"/>
              <w:jc w:val="center"/>
              <w:rPr>
                <w:rFonts w:ascii="Arial" w:hAnsi="Arial" w:cs="Arial"/>
                <w:sz w:val="20"/>
                <w:szCs w:val="20"/>
                <w:lang w:val="sq-AL"/>
              </w:rPr>
            </w:pPr>
            <w:r w:rsidRPr="001C61AE">
              <w:rPr>
                <w:rFonts w:ascii="Arial" w:hAnsi="Arial" w:cs="Arial"/>
                <w:sz w:val="20"/>
                <w:szCs w:val="20"/>
                <w:lang w:val="sq-AL"/>
              </w:rPr>
              <w:t>Pjesa e burimeve të rinovueshme në konsumin bruto të energjisë elektrike (%).</w:t>
            </w:r>
          </w:p>
        </w:tc>
        <w:tc>
          <w:tcPr>
            <w:tcW w:w="971" w:type="pct"/>
            <w:shd w:val="clear" w:color="auto" w:fill="auto"/>
            <w:vAlign w:val="center"/>
          </w:tcPr>
          <w:p w14:paraId="0C22A3AB" w14:textId="4BE21F22" w:rsidR="00554A2A" w:rsidRPr="001C61AE" w:rsidRDefault="00B85011" w:rsidP="00A70686">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sq-AL"/>
              </w:rPr>
            </w:pPr>
            <w:r w:rsidRPr="001C61AE">
              <w:rPr>
                <w:rFonts w:ascii="Arial" w:hAnsi="Arial" w:cs="Arial"/>
                <w:sz w:val="20"/>
                <w:szCs w:val="20"/>
                <w:lang w:val="sq-AL"/>
              </w:rPr>
              <w:t>~10% (pjesa e burimeve të rinovueshme të energjisë elektrike në vitin 2024, nga ~6% në vitin 2021).</w:t>
            </w:r>
          </w:p>
        </w:tc>
        <w:tc>
          <w:tcPr>
            <w:tcW w:w="971" w:type="pct"/>
            <w:gridSpan w:val="2"/>
            <w:shd w:val="clear" w:color="auto" w:fill="auto"/>
            <w:vAlign w:val="center"/>
          </w:tcPr>
          <w:p w14:paraId="27ED81D5" w14:textId="3EDBC7E1" w:rsidR="00554A2A" w:rsidRPr="001C61AE" w:rsidRDefault="00B85011" w:rsidP="00A70686">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sq-AL"/>
              </w:rPr>
            </w:pPr>
            <w:r w:rsidRPr="001C61AE">
              <w:rPr>
                <w:rFonts w:ascii="Arial" w:hAnsi="Arial" w:cs="Arial"/>
                <w:sz w:val="20"/>
                <w:szCs w:val="20"/>
                <w:lang w:val="sq-AL"/>
              </w:rPr>
              <w:t>25% e energjisë elektrike nga BRE-të (përfshirje e konsiderueshme e projekteve të reja).</w:t>
            </w:r>
          </w:p>
        </w:tc>
        <w:tc>
          <w:tcPr>
            <w:tcW w:w="967" w:type="pct"/>
            <w:gridSpan w:val="3"/>
            <w:shd w:val="clear" w:color="auto" w:fill="auto"/>
            <w:vAlign w:val="center"/>
          </w:tcPr>
          <w:p w14:paraId="5D9A9062" w14:textId="224CBFA8" w:rsidR="00554A2A" w:rsidRPr="001C61AE" w:rsidRDefault="00B85011" w:rsidP="00A70686">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sq-AL"/>
              </w:rPr>
            </w:pPr>
            <w:r w:rsidRPr="001C61AE">
              <w:rPr>
                <w:rFonts w:ascii="Arial" w:hAnsi="Arial" w:cs="Arial"/>
                <w:sz w:val="20"/>
                <w:szCs w:val="20"/>
                <w:lang w:val="sq-AL"/>
              </w:rPr>
              <w:t>≥35% nga BRE-të **** (përmbush objektivin e Strategjisë së Energjisë 2031); energjia hidrike, e erës dhe diellore të integruara plotësisht.</w:t>
            </w:r>
          </w:p>
        </w:tc>
        <w:tc>
          <w:tcPr>
            <w:tcW w:w="987" w:type="pct"/>
            <w:shd w:val="clear" w:color="auto" w:fill="auto"/>
            <w:vAlign w:val="center"/>
          </w:tcPr>
          <w:p w14:paraId="0DA1EECC" w14:textId="1DD0E8CB" w:rsidR="00554A2A" w:rsidRPr="001C61AE" w:rsidRDefault="00B85011" w:rsidP="00A70686">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≥50% nga BRE-të (sistemi i energjisë me shumicë të rinovueshme, duke iu afruar objektivave të BE-së për mesin e shekullit).</w:t>
            </w:r>
          </w:p>
        </w:tc>
      </w:tr>
      <w:tr w:rsidR="00554A2A" w:rsidRPr="001C61AE" w14:paraId="3C4F0C99" w14:textId="77777777" w:rsidTr="008E17FD">
        <w:trPr>
          <w:trHeight w:val="349"/>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C6E7F6"/>
            <w:vAlign w:val="center"/>
          </w:tcPr>
          <w:p w14:paraId="3C239670" w14:textId="1000BEAE" w:rsidR="00554A2A" w:rsidRPr="001C61AE" w:rsidRDefault="00AC67CE" w:rsidP="00A70686">
            <w:pPr>
              <w:spacing w:before="0"/>
              <w:jc w:val="both"/>
              <w:rPr>
                <w:rFonts w:ascii="Arial" w:hAnsi="Arial" w:cs="Arial"/>
                <w:sz w:val="20"/>
                <w:szCs w:val="20"/>
                <w:lang w:val="sq-AL"/>
              </w:rPr>
            </w:pPr>
            <w:r w:rsidRPr="001C61AE">
              <w:rPr>
                <w:rFonts w:ascii="Arial" w:hAnsi="Arial" w:cs="Arial"/>
                <w:sz w:val="20"/>
                <w:szCs w:val="20"/>
                <w:lang w:val="sq-AL"/>
              </w:rPr>
              <w:t>II.1</w:t>
            </w:r>
            <w:r w:rsidR="00AD0D94" w:rsidRPr="001C61AE">
              <w:rPr>
                <w:rFonts w:ascii="Arial" w:hAnsi="Arial" w:cs="Arial"/>
                <w:sz w:val="20"/>
                <w:szCs w:val="20"/>
                <w:lang w:val="sq-AL"/>
              </w:rPr>
              <w:t>7</w:t>
            </w:r>
            <w:r w:rsidR="00344E35" w:rsidRPr="001C61AE">
              <w:rPr>
                <w:rFonts w:ascii="Arial" w:hAnsi="Arial" w:cs="Arial"/>
                <w:sz w:val="20"/>
                <w:szCs w:val="20"/>
                <w:lang w:val="sq-AL"/>
              </w:rPr>
              <w:t xml:space="preserve"> Promovimi i energjisë së ripërtëritshme të shpërndarë (prodhues-konsumues dhe sisteme të vogla të biomasës/biogazit) për qëndrueshmëri lokale</w:t>
            </w:r>
          </w:p>
        </w:tc>
      </w:tr>
      <w:tr w:rsidR="00554A2A" w:rsidRPr="001C61AE" w14:paraId="4D1B1020" w14:textId="77777777" w:rsidTr="00B8501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105" w:type="pct"/>
            <w:gridSpan w:val="2"/>
            <w:shd w:val="clear" w:color="auto" w:fill="auto"/>
            <w:vAlign w:val="center"/>
          </w:tcPr>
          <w:p w14:paraId="3FA30F1E" w14:textId="4F80B20E" w:rsidR="00554A2A" w:rsidRPr="001C61AE" w:rsidRDefault="00B85011" w:rsidP="00A70686">
            <w:pPr>
              <w:spacing w:before="0"/>
              <w:jc w:val="center"/>
              <w:rPr>
                <w:rFonts w:ascii="Arial" w:hAnsi="Arial" w:cs="Arial"/>
                <w:sz w:val="20"/>
                <w:szCs w:val="20"/>
                <w:lang w:val="sq-AL"/>
              </w:rPr>
            </w:pPr>
            <w:r w:rsidRPr="001C61AE">
              <w:rPr>
                <w:rFonts w:ascii="Arial" w:hAnsi="Arial" w:cs="Arial"/>
                <w:sz w:val="20"/>
                <w:szCs w:val="20"/>
                <w:lang w:val="sq-AL"/>
              </w:rPr>
              <w:t>Kapaciteti i gjenerimit të shpërndarë (sisteme të vogla BRE, MW) dhe numri i instalimeve konsumatore.</w:t>
            </w:r>
          </w:p>
        </w:tc>
        <w:tc>
          <w:tcPr>
            <w:tcW w:w="971" w:type="pct"/>
            <w:shd w:val="clear" w:color="auto" w:fill="auto"/>
            <w:vAlign w:val="center"/>
          </w:tcPr>
          <w:p w14:paraId="6D87BAF3" w14:textId="1AB7006B" w:rsidR="00554A2A" w:rsidRPr="001C61AE" w:rsidRDefault="00B85011" w:rsidP="00A70686">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sq-AL"/>
              </w:rPr>
            </w:pPr>
            <w:r w:rsidRPr="001C61AE">
              <w:rPr>
                <w:rFonts w:ascii="Arial" w:hAnsi="Arial" w:cs="Arial"/>
                <w:sz w:val="20"/>
                <w:szCs w:val="20"/>
                <w:lang w:val="sq-AL"/>
              </w:rPr>
              <w:t>Niveli bazë: aktiviteti i sapolindur i konsumatoreve (disa qindra konsumatore, ~5–10 MW gjithsej).</w:t>
            </w:r>
          </w:p>
        </w:tc>
        <w:tc>
          <w:tcPr>
            <w:tcW w:w="971" w:type="pct"/>
            <w:gridSpan w:val="2"/>
            <w:shd w:val="clear" w:color="auto" w:fill="auto"/>
            <w:vAlign w:val="center"/>
          </w:tcPr>
          <w:p w14:paraId="0B1C004E" w14:textId="5446F407" w:rsidR="00554A2A" w:rsidRPr="001C61AE" w:rsidRDefault="00B85011" w:rsidP="00A70686">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sq-AL"/>
              </w:rPr>
            </w:pPr>
            <w:r w:rsidRPr="001C61AE">
              <w:rPr>
                <w:rFonts w:ascii="Arial" w:hAnsi="Arial" w:cs="Arial"/>
                <w:sz w:val="20"/>
                <w:szCs w:val="20"/>
                <w:lang w:val="sq-AL"/>
              </w:rPr>
              <w:t>50 MW BRE të shpërndara (&lt;10,000 konsumatore që përfitojnë nga matja neto).</w:t>
            </w:r>
          </w:p>
        </w:tc>
        <w:tc>
          <w:tcPr>
            <w:tcW w:w="967" w:type="pct"/>
            <w:gridSpan w:val="3"/>
            <w:shd w:val="clear" w:color="auto" w:fill="auto"/>
            <w:vAlign w:val="center"/>
          </w:tcPr>
          <w:p w14:paraId="4C4465E9" w14:textId="7AD2B7B0" w:rsidR="00554A2A" w:rsidRPr="001C61AE" w:rsidRDefault="00B85011" w:rsidP="00A70686">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sq-AL"/>
              </w:rPr>
            </w:pPr>
            <w:r w:rsidRPr="001C61AE">
              <w:rPr>
                <w:rFonts w:ascii="Arial" w:hAnsi="Arial" w:cs="Arial"/>
                <w:sz w:val="20"/>
                <w:szCs w:val="20"/>
                <w:lang w:val="sq-AL"/>
              </w:rPr>
              <w:t>150 MW BRE të shpërndara (p.sh. &gt;30,000 konsumatore, duke përfshirë ngrohësit diellorë të ujit dhe kaldajat e biomasës në komunitete)</w:t>
            </w:r>
            <w:r w:rsidR="00554A2A" w:rsidRPr="001C61AE">
              <w:rPr>
                <w:rFonts w:ascii="Arial" w:hAnsi="Arial" w:cs="Arial"/>
                <w:sz w:val="20"/>
                <w:szCs w:val="20"/>
                <w:lang w:val="sq-AL"/>
              </w:rPr>
              <w:t>.</w:t>
            </w:r>
          </w:p>
        </w:tc>
        <w:tc>
          <w:tcPr>
            <w:tcW w:w="987" w:type="pct"/>
            <w:shd w:val="clear" w:color="auto" w:fill="auto"/>
            <w:vAlign w:val="center"/>
          </w:tcPr>
          <w:p w14:paraId="7706709C" w14:textId="3DC1905B" w:rsidR="00554A2A" w:rsidRPr="001C61AE" w:rsidRDefault="00B85011" w:rsidP="00A70686">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300+ MW të shpërndara (depërtim i lartë i energjisë së komunitetit; konsumatorët janë të zakonshëm në familje dhe ferma).</w:t>
            </w:r>
          </w:p>
        </w:tc>
      </w:tr>
      <w:tr w:rsidR="00554A2A" w:rsidRPr="001C61AE" w14:paraId="03ECE9B8" w14:textId="77777777" w:rsidTr="008E17FD">
        <w:trPr>
          <w:trHeight w:val="349"/>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C6E7F6"/>
            <w:vAlign w:val="center"/>
          </w:tcPr>
          <w:p w14:paraId="2246746B" w14:textId="17EC9414" w:rsidR="00554A2A" w:rsidRPr="001C61AE" w:rsidRDefault="00AC67CE" w:rsidP="00A70686">
            <w:pPr>
              <w:spacing w:before="0"/>
              <w:jc w:val="both"/>
              <w:rPr>
                <w:rFonts w:ascii="Arial" w:hAnsi="Arial" w:cs="Arial"/>
                <w:sz w:val="20"/>
                <w:szCs w:val="20"/>
                <w:lang w:val="sq-AL"/>
              </w:rPr>
            </w:pPr>
            <w:r w:rsidRPr="001C61AE">
              <w:rPr>
                <w:rFonts w:ascii="Arial" w:hAnsi="Arial" w:cs="Arial"/>
                <w:sz w:val="20"/>
                <w:szCs w:val="20"/>
                <w:lang w:val="sq-AL"/>
              </w:rPr>
              <w:t>II.1</w:t>
            </w:r>
            <w:r w:rsidR="00AD0D94" w:rsidRPr="001C61AE">
              <w:rPr>
                <w:rFonts w:ascii="Arial" w:hAnsi="Arial" w:cs="Arial"/>
                <w:sz w:val="20"/>
                <w:szCs w:val="20"/>
                <w:lang w:val="sq-AL"/>
              </w:rPr>
              <w:t>8</w:t>
            </w:r>
            <w:r w:rsidR="00344E35" w:rsidRPr="001C61AE">
              <w:rPr>
                <w:rFonts w:ascii="Arial" w:hAnsi="Arial" w:cs="Arial"/>
                <w:sz w:val="20"/>
                <w:szCs w:val="20"/>
                <w:lang w:val="sq-AL"/>
              </w:rPr>
              <w:t>Zhvillimi i kapaciteteve për ruajtjen e energjisë dhe fleksibilitetin e sistemit për të mbështetur integrimin e burimeve të ripërtëritshme (duke zhvendosur furnizimin për t'iu përshtatur kërkesës)</w:t>
            </w:r>
          </w:p>
        </w:tc>
      </w:tr>
      <w:tr w:rsidR="00554A2A" w:rsidRPr="001C61AE" w14:paraId="179C1452" w14:textId="77777777" w:rsidTr="00B85011">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105" w:type="pct"/>
            <w:gridSpan w:val="2"/>
            <w:shd w:val="clear" w:color="auto" w:fill="auto"/>
            <w:vAlign w:val="center"/>
          </w:tcPr>
          <w:p w14:paraId="32CED7D7" w14:textId="0B5DED38" w:rsidR="00554A2A" w:rsidRPr="001C61AE" w:rsidRDefault="00B85011" w:rsidP="00A70686">
            <w:pPr>
              <w:spacing w:before="0"/>
              <w:jc w:val="center"/>
              <w:rPr>
                <w:rFonts w:ascii="Arial" w:hAnsi="Arial" w:cs="Arial"/>
                <w:bCs w:val="0"/>
                <w:sz w:val="20"/>
                <w:szCs w:val="20"/>
                <w:lang w:val="sq-AL"/>
              </w:rPr>
            </w:pPr>
            <w:r w:rsidRPr="001C61AE">
              <w:rPr>
                <w:rFonts w:ascii="Arial" w:hAnsi="Arial" w:cs="Arial"/>
                <w:sz w:val="20"/>
                <w:szCs w:val="20"/>
                <w:lang w:val="sq-AL"/>
              </w:rPr>
              <w:t>Kapaciteti i instaluar i ruajtjes së baterive (MW / MWh).</w:t>
            </w:r>
          </w:p>
        </w:tc>
        <w:tc>
          <w:tcPr>
            <w:tcW w:w="971" w:type="pct"/>
            <w:shd w:val="clear" w:color="auto" w:fill="auto"/>
            <w:vAlign w:val="center"/>
          </w:tcPr>
          <w:p w14:paraId="443B1C16" w14:textId="33BF125B" w:rsidR="00554A2A" w:rsidRPr="001C61AE" w:rsidRDefault="00B85011" w:rsidP="00A70686">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sq-AL"/>
              </w:rPr>
            </w:pPr>
            <w:r w:rsidRPr="001C61AE">
              <w:rPr>
                <w:rFonts w:ascii="Arial" w:hAnsi="Arial" w:cs="Arial"/>
                <w:sz w:val="20"/>
                <w:szCs w:val="20"/>
                <w:lang w:val="sq-AL"/>
              </w:rPr>
              <w:t>0 MW (nuk ka bateri në shkallë rrjeti në funksionim në vitin 2024; projekti MCC në vazhdim).</w:t>
            </w:r>
          </w:p>
        </w:tc>
        <w:tc>
          <w:tcPr>
            <w:tcW w:w="971" w:type="pct"/>
            <w:gridSpan w:val="2"/>
            <w:shd w:val="clear" w:color="auto" w:fill="auto"/>
            <w:vAlign w:val="center"/>
          </w:tcPr>
          <w:p w14:paraId="2AB14EB0" w14:textId="64B1218F" w:rsidR="00554A2A" w:rsidRPr="001C61AE" w:rsidRDefault="00B85011" w:rsidP="00A70686">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sq-AL"/>
              </w:rPr>
            </w:pPr>
            <w:r w:rsidRPr="001C61AE">
              <w:rPr>
                <w:rFonts w:ascii="Arial" w:hAnsi="Arial" w:cs="Arial"/>
                <w:sz w:val="20"/>
                <w:szCs w:val="20"/>
                <w:lang w:val="sq-AL"/>
              </w:rPr>
              <w:t>100 MW (200 MWh) ruajtje funksionale (bateria e financuar nga MCC në internet).</w:t>
            </w:r>
          </w:p>
        </w:tc>
        <w:tc>
          <w:tcPr>
            <w:tcW w:w="967" w:type="pct"/>
            <w:gridSpan w:val="3"/>
            <w:shd w:val="clear" w:color="auto" w:fill="auto"/>
            <w:vAlign w:val="center"/>
          </w:tcPr>
          <w:p w14:paraId="6F246F7B" w14:textId="27699F04" w:rsidR="00554A2A" w:rsidRPr="001C61AE" w:rsidRDefault="00B85011" w:rsidP="00A70686">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sq-AL"/>
              </w:rPr>
            </w:pPr>
            <w:r w:rsidRPr="001C61AE">
              <w:rPr>
                <w:rFonts w:ascii="Arial" w:hAnsi="Arial" w:cs="Arial"/>
                <w:sz w:val="20"/>
                <w:szCs w:val="20"/>
                <w:lang w:val="sq-AL"/>
              </w:rPr>
              <w:t>170 MW (340 MWh) ruajtje (përmbushja e objektivit të strategjisë për vitin 2031); plus hidrocentrale pilot me pompë ose ruajtje tjetër e filluar.</w:t>
            </w:r>
          </w:p>
        </w:tc>
        <w:tc>
          <w:tcPr>
            <w:tcW w:w="987" w:type="pct"/>
            <w:shd w:val="clear" w:color="auto" w:fill="auto"/>
            <w:vAlign w:val="center"/>
          </w:tcPr>
          <w:p w14:paraId="63D5AEB4" w14:textId="3B777C82" w:rsidR="00554A2A" w:rsidRPr="001C61AE" w:rsidRDefault="00B85011" w:rsidP="00A70686">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300 MW (600+ MWh) ruajtje e larmishme (bateri, ndoshta ruajtje hidro ose teknologji tjetër, që siguron stabilitet të rrjetit gjatë ngjarjeve ekstreme).</w:t>
            </w:r>
          </w:p>
        </w:tc>
      </w:tr>
      <w:tr w:rsidR="00554A2A" w:rsidRPr="001C61AE" w14:paraId="5CE29304" w14:textId="77777777" w:rsidTr="00A70686">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0F4761"/>
            <w:vAlign w:val="center"/>
          </w:tcPr>
          <w:p w14:paraId="59C45AF7" w14:textId="69F98487" w:rsidR="00554A2A" w:rsidRPr="001C61AE" w:rsidRDefault="0040465B" w:rsidP="00A70686">
            <w:pPr>
              <w:spacing w:before="0"/>
              <w:jc w:val="center"/>
              <w:rPr>
                <w:rFonts w:ascii="Arial" w:eastAsia="Times New Roman" w:hAnsi="Arial" w:cs="Arial"/>
                <w:b w:val="0"/>
                <w:bCs w:val="0"/>
                <w:kern w:val="0"/>
                <w:sz w:val="20"/>
                <w:szCs w:val="20"/>
                <w:lang w:val="sq-AL" w:eastAsia="es-ES"/>
                <w14:ligatures w14:val="none"/>
              </w:rPr>
            </w:pPr>
            <w:r w:rsidRPr="001C61AE">
              <w:rPr>
                <w:rFonts w:ascii="Arial" w:eastAsia="Myriad Pro" w:hAnsi="Arial" w:cs="Arial"/>
                <w:sz w:val="20"/>
                <w:szCs w:val="20"/>
                <w:lang w:val="sq-AL"/>
              </w:rPr>
              <w:lastRenderedPageBreak/>
              <w:t>Prioriteti kyç për përshtatje</w:t>
            </w:r>
            <w:r w:rsidR="00554A2A" w:rsidRPr="001C61AE">
              <w:rPr>
                <w:rFonts w:ascii="Arial" w:eastAsia="Myriad Pro" w:hAnsi="Arial" w:cs="Arial"/>
                <w:sz w:val="20"/>
                <w:szCs w:val="20"/>
                <w:lang w:val="sq-AL"/>
              </w:rPr>
              <w:t xml:space="preserve">: </w:t>
            </w:r>
            <w:r w:rsidR="00AD0D94" w:rsidRPr="001C61AE">
              <w:rPr>
                <w:rFonts w:ascii="Arial" w:hAnsi="Arial" w:cs="Arial"/>
                <w:sz w:val="20"/>
                <w:szCs w:val="20"/>
                <w:lang w:val="sq-AL"/>
              </w:rPr>
              <w:t>Forcimi i qëndrueshmërisë së rrjetit energjetik ndaj ndryshimeve klimatike</w:t>
            </w:r>
            <w:r w:rsidR="00AD0D94" w:rsidRPr="001C61AE" w:rsidDel="000D7628">
              <w:rPr>
                <w:rFonts w:ascii="Arial" w:hAnsi="Arial" w:cs="Arial"/>
                <w:sz w:val="20"/>
                <w:szCs w:val="20"/>
                <w:lang w:val="sq-AL"/>
              </w:rPr>
              <w:t xml:space="preserve"> </w:t>
            </w:r>
          </w:p>
        </w:tc>
      </w:tr>
      <w:tr w:rsidR="00554A2A" w:rsidRPr="001C61AE" w14:paraId="504B177A" w14:textId="77777777" w:rsidTr="00A706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C6E7F6"/>
            <w:vAlign w:val="center"/>
          </w:tcPr>
          <w:p w14:paraId="7B2EDFC2" w14:textId="245E10E7" w:rsidR="00554A2A" w:rsidRPr="001C61AE" w:rsidRDefault="00AC67CE" w:rsidP="00A70686">
            <w:pPr>
              <w:spacing w:before="0" w:line="240" w:lineRule="auto"/>
              <w:jc w:val="both"/>
              <w:rPr>
                <w:rFonts w:ascii="Arial" w:eastAsia="Myriad Pro" w:hAnsi="Arial" w:cs="Arial"/>
                <w:sz w:val="20"/>
                <w:szCs w:val="20"/>
                <w:lang w:val="sq-AL"/>
              </w:rPr>
            </w:pPr>
            <w:r w:rsidRPr="001C61AE">
              <w:rPr>
                <w:rFonts w:ascii="Arial" w:hAnsi="Arial" w:cs="Arial"/>
                <w:sz w:val="20"/>
                <w:szCs w:val="20"/>
                <w:lang w:val="sq-AL"/>
              </w:rPr>
              <w:t>II.1</w:t>
            </w:r>
            <w:r w:rsidR="00AD0D94" w:rsidRPr="001C61AE">
              <w:rPr>
                <w:rFonts w:ascii="Arial" w:hAnsi="Arial" w:cs="Arial"/>
                <w:sz w:val="20"/>
                <w:szCs w:val="20"/>
                <w:lang w:val="sq-AL"/>
              </w:rPr>
              <w:t>9</w:t>
            </w:r>
            <w:r w:rsidR="00554A2A" w:rsidRPr="001C61AE">
              <w:rPr>
                <w:rFonts w:ascii="Arial" w:hAnsi="Arial" w:cs="Arial"/>
                <w:sz w:val="20"/>
                <w:szCs w:val="20"/>
                <w:lang w:val="sq-AL"/>
              </w:rPr>
              <w:t xml:space="preserve"> </w:t>
            </w:r>
            <w:r w:rsidR="000B16BE" w:rsidRPr="001C61AE">
              <w:rPr>
                <w:rFonts w:ascii="Arial" w:eastAsia="Myriad Pro" w:hAnsi="Arial" w:cs="Arial"/>
                <w:sz w:val="20"/>
                <w:szCs w:val="20"/>
                <w:lang w:val="sq-AL"/>
              </w:rPr>
              <w:t>Sigurimi ndaj klimës i infrastrukturës kritike të energjisë (termocentraleve, linjave të transmetimit, nënstacioneve) kundër përmbytjeve, valëve të të nxehtit dhe rreziqeve të tjera</w:t>
            </w:r>
          </w:p>
        </w:tc>
      </w:tr>
      <w:tr w:rsidR="00B85011" w:rsidRPr="001C61AE" w14:paraId="491C6D42" w14:textId="77777777" w:rsidTr="00B85011">
        <w:tc>
          <w:tcPr>
            <w:cnfStyle w:val="001000000000" w:firstRow="0" w:lastRow="0" w:firstColumn="1" w:lastColumn="0" w:oddVBand="0" w:evenVBand="0" w:oddHBand="0" w:evenHBand="0" w:firstRowFirstColumn="0" w:firstRowLastColumn="0" w:lastRowFirstColumn="0" w:lastRowLastColumn="0"/>
            <w:tcW w:w="1102" w:type="pct"/>
            <w:vAlign w:val="center"/>
          </w:tcPr>
          <w:p w14:paraId="6BD082DA" w14:textId="5FCDE0AA" w:rsidR="00B85011" w:rsidRPr="001C61AE" w:rsidRDefault="00B85011" w:rsidP="00B85011">
            <w:pPr>
              <w:widowControl w:val="0"/>
              <w:autoSpaceDE w:val="0"/>
              <w:autoSpaceDN w:val="0"/>
              <w:spacing w:before="0" w:line="240" w:lineRule="auto"/>
              <w:jc w:val="center"/>
              <w:rPr>
                <w:rFonts w:ascii="Arial" w:hAnsi="Arial" w:cs="Arial"/>
                <w:b w:val="0"/>
                <w:bCs w:val="0"/>
                <w:sz w:val="20"/>
                <w:szCs w:val="20"/>
                <w:lang w:val="sq-AL"/>
              </w:rPr>
            </w:pPr>
            <w:r w:rsidRPr="001C61AE">
              <w:rPr>
                <w:rFonts w:ascii="Arial" w:hAnsi="Arial" w:cs="Arial"/>
                <w:sz w:val="20"/>
                <w:szCs w:val="20"/>
                <w:lang w:val="sq-AL"/>
              </w:rPr>
              <w:t>Përqindja e infrastrukturës kritike të energjisë me masa përshtatjeje ndaj klimës në vend (p.sh. mbrojtje nga përmbytjet, përmirësime të ftohjes, përforcime nga era/stuhitë).</w:t>
            </w:r>
          </w:p>
        </w:tc>
        <w:tc>
          <w:tcPr>
            <w:tcW w:w="1005" w:type="pct"/>
            <w:gridSpan w:val="3"/>
            <w:vAlign w:val="center"/>
          </w:tcPr>
          <w:p w14:paraId="3938D5BD" w14:textId="00413C6E" w:rsidR="00B85011" w:rsidRPr="001C61AE" w:rsidRDefault="00B85011" w:rsidP="00B85011">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Niveli bazë: &lt;10% (masa ad-hoc në disa vende; shumica e infrastrukturës nuk ka veçori të dedikuara për përshtatje ndaj klimës).</w:t>
            </w:r>
          </w:p>
        </w:tc>
        <w:tc>
          <w:tcPr>
            <w:tcW w:w="969" w:type="pct"/>
            <w:gridSpan w:val="2"/>
            <w:vAlign w:val="center"/>
          </w:tcPr>
          <w:p w14:paraId="546C86E8" w14:textId="6938D4BD" w:rsidR="00B85011" w:rsidRPr="001C61AE" w:rsidRDefault="00B85011" w:rsidP="00B85011">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30% e objekteve kritike të mbrojtura nga klima (p.sh. barriera kundër përmbytjeve të shtuara në nënstacionet kryesore, sisteme ftohjeje të përmirësuara në termocentralet).</w:t>
            </w:r>
          </w:p>
        </w:tc>
        <w:tc>
          <w:tcPr>
            <w:tcW w:w="905" w:type="pct"/>
            <w:vAlign w:val="center"/>
          </w:tcPr>
          <w:p w14:paraId="6280448D" w14:textId="5870FA1D" w:rsidR="00B85011" w:rsidRPr="001C61AE" w:rsidRDefault="00B85011" w:rsidP="00B85011">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75% e mbrojtjes nga klima e arritur (të gjitha objektet me përparësi të lartë të përmirësuara; standardet e rrezikut klimatik të përfshira në projekte të reja).</w:t>
            </w:r>
          </w:p>
        </w:tc>
        <w:tc>
          <w:tcPr>
            <w:tcW w:w="1019" w:type="pct"/>
            <w:gridSpan w:val="2"/>
            <w:shd w:val="clear" w:color="auto" w:fill="FFFFFF" w:themeFill="background1"/>
            <w:vAlign w:val="center"/>
          </w:tcPr>
          <w:p w14:paraId="6DD2BFFE" w14:textId="5D8B22DB" w:rsidR="00B85011" w:rsidRPr="001C61AE" w:rsidRDefault="00B85011" w:rsidP="00B85011">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100% e infrastrukturës kritike e përshtatur me standardet klimatike (dizajne universale elastike; përmirësime të vazhdueshme të përfunduara për asetet e vjetra)</w:t>
            </w:r>
          </w:p>
        </w:tc>
      </w:tr>
      <w:tr w:rsidR="00554A2A" w:rsidRPr="001C61AE" w14:paraId="079DF4BE" w14:textId="77777777" w:rsidTr="008E1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C6E7F6"/>
            <w:vAlign w:val="center"/>
          </w:tcPr>
          <w:p w14:paraId="62984BB9" w14:textId="7244A29E" w:rsidR="00554A2A" w:rsidRPr="001C61AE" w:rsidRDefault="00AC67CE" w:rsidP="00A70686">
            <w:pPr>
              <w:widowControl w:val="0"/>
              <w:autoSpaceDE w:val="0"/>
              <w:autoSpaceDN w:val="0"/>
              <w:spacing w:before="0" w:line="240" w:lineRule="auto"/>
              <w:jc w:val="both"/>
              <w:rPr>
                <w:rFonts w:ascii="Arial" w:hAnsi="Arial" w:cs="Arial"/>
                <w:sz w:val="20"/>
                <w:szCs w:val="20"/>
                <w:lang w:val="sq-AL"/>
              </w:rPr>
            </w:pPr>
            <w:r w:rsidRPr="001C61AE">
              <w:rPr>
                <w:rFonts w:ascii="Arial" w:hAnsi="Arial" w:cs="Arial"/>
                <w:sz w:val="20"/>
                <w:szCs w:val="20"/>
                <w:lang w:val="sq-AL"/>
              </w:rPr>
              <w:t>II.</w:t>
            </w:r>
            <w:r w:rsidR="00AD0D94" w:rsidRPr="001C61AE">
              <w:rPr>
                <w:rFonts w:ascii="Arial" w:hAnsi="Arial" w:cs="Arial"/>
                <w:sz w:val="20"/>
                <w:szCs w:val="20"/>
                <w:lang w:val="sq-AL"/>
              </w:rPr>
              <w:t xml:space="preserve">20 </w:t>
            </w:r>
            <w:r w:rsidR="000B16BE" w:rsidRPr="001C61AE">
              <w:rPr>
                <w:rFonts w:ascii="Arial" w:eastAsia="Myriad Pro" w:hAnsi="Arial" w:cs="Arial"/>
                <w:sz w:val="20"/>
                <w:szCs w:val="20"/>
                <w:lang w:val="sq-AL"/>
              </w:rPr>
              <w:t>Modernizimi dhe automatizimi i rrjetit të energjisë elektrike për të përmirësuar besueshmërinë në kushte stresi (rrjete të mençura, tepricë N-1, izolim i shpejtë i defekteve)</w:t>
            </w:r>
          </w:p>
        </w:tc>
      </w:tr>
      <w:tr w:rsidR="00B85011" w:rsidRPr="001C61AE" w14:paraId="6FAF92AB" w14:textId="77777777" w:rsidTr="00B85011">
        <w:tc>
          <w:tcPr>
            <w:cnfStyle w:val="001000000000" w:firstRow="0" w:lastRow="0" w:firstColumn="1" w:lastColumn="0" w:oddVBand="0" w:evenVBand="0" w:oddHBand="0" w:evenHBand="0" w:firstRowFirstColumn="0" w:firstRowLastColumn="0" w:lastRowFirstColumn="0" w:lastRowLastColumn="0"/>
            <w:tcW w:w="1102" w:type="pct"/>
            <w:vAlign w:val="center"/>
          </w:tcPr>
          <w:p w14:paraId="51C2CC27" w14:textId="5020C8A2" w:rsidR="00B85011" w:rsidRPr="001C61AE" w:rsidRDefault="00B85011" w:rsidP="00B85011">
            <w:pPr>
              <w:widowControl w:val="0"/>
              <w:autoSpaceDE w:val="0"/>
              <w:autoSpaceDN w:val="0"/>
              <w:spacing w:before="0" w:line="240" w:lineRule="auto"/>
              <w:jc w:val="center"/>
              <w:rPr>
                <w:rFonts w:ascii="Arial" w:hAnsi="Arial" w:cs="Arial"/>
                <w:b w:val="0"/>
                <w:bCs w:val="0"/>
                <w:sz w:val="20"/>
                <w:szCs w:val="20"/>
                <w:lang w:val="sq-AL"/>
              </w:rPr>
            </w:pPr>
            <w:r w:rsidRPr="001C61AE">
              <w:rPr>
                <w:rFonts w:ascii="Arial" w:hAnsi="Arial" w:cs="Arial"/>
                <w:sz w:val="20"/>
                <w:szCs w:val="20"/>
                <w:lang w:val="sq-AL"/>
              </w:rPr>
              <w:t>Indekset e besueshmërisë së rrjetit (SAIDI/SAIFI – kohëzgjatja/frekuenca mesatare e ndërprerjeve) – vlerat më të ulëta tregojnë shërbim më elastik.</w:t>
            </w:r>
          </w:p>
        </w:tc>
        <w:tc>
          <w:tcPr>
            <w:tcW w:w="1005" w:type="pct"/>
            <w:gridSpan w:val="3"/>
            <w:vAlign w:val="center"/>
          </w:tcPr>
          <w:p w14:paraId="391ED7AC" w14:textId="52E53C26" w:rsidR="00B85011" w:rsidRPr="001C61AE" w:rsidRDefault="00B85011" w:rsidP="00B85011">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Niveli bazë: SAIDI &gt;30 orë/vit; SAIFI ~15 (i përafërt – tregon ndërprerje të shpeshta, veçanërisht në kulmet e dimrit ose stuhitë).</w:t>
            </w:r>
          </w:p>
        </w:tc>
        <w:tc>
          <w:tcPr>
            <w:tcW w:w="969" w:type="pct"/>
            <w:gridSpan w:val="2"/>
            <w:vAlign w:val="center"/>
          </w:tcPr>
          <w:p w14:paraId="6F44C3B6" w14:textId="4A223739" w:rsidR="00B85011" w:rsidRPr="001C61AE" w:rsidRDefault="00B85011" w:rsidP="00B85011">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SAIDI &lt;15; SAIFI &lt;10 (ulje e ndjeshme nëpërmjet përmirësimeve të rrjetit dhe automatizimit të shpërndarjes).</w:t>
            </w:r>
          </w:p>
        </w:tc>
        <w:tc>
          <w:tcPr>
            <w:tcW w:w="905" w:type="pct"/>
            <w:vAlign w:val="center"/>
          </w:tcPr>
          <w:p w14:paraId="3C152257" w14:textId="206521F4" w:rsidR="00B85011" w:rsidRPr="001C61AE" w:rsidRDefault="00B85011" w:rsidP="00B85011">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SAIDI &lt;5; SAIFI &lt;3 (besueshmëri gati 24/7 në kushte normale; rrjeti mund të përballojë eventuale të vetme pa ndërprerje të mëdha, duke përmbushur kriteret N-1 në përgjithësi).</w:t>
            </w:r>
          </w:p>
        </w:tc>
        <w:tc>
          <w:tcPr>
            <w:tcW w:w="1019" w:type="pct"/>
            <w:gridSpan w:val="2"/>
            <w:shd w:val="clear" w:color="auto" w:fill="FFFFFF" w:themeFill="background1"/>
            <w:vAlign w:val="center"/>
          </w:tcPr>
          <w:p w14:paraId="11D33BF3" w14:textId="07E65EA1" w:rsidR="00B85011" w:rsidRPr="001C61AE" w:rsidRDefault="00B85011" w:rsidP="00B85011">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SAIDI &lt;1 orë; SAIFI ~1 (rrjet "inteligjent" shumë i besueshëm me rrjete vetë-shërimi; ndërprerje minimale edhe gjatë ngjarjeve ekstreme për shkak të automatizimit të përparuar).</w:t>
            </w:r>
          </w:p>
        </w:tc>
      </w:tr>
      <w:tr w:rsidR="00554A2A" w:rsidRPr="001C61AE" w14:paraId="724E3AD8" w14:textId="77777777" w:rsidTr="008E1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C6E7F6"/>
            <w:vAlign w:val="center"/>
          </w:tcPr>
          <w:p w14:paraId="3D9AAF92" w14:textId="4E1F7DB6" w:rsidR="00554A2A" w:rsidRPr="001C61AE" w:rsidRDefault="00AC67CE" w:rsidP="00A70686">
            <w:pPr>
              <w:widowControl w:val="0"/>
              <w:autoSpaceDE w:val="0"/>
              <w:autoSpaceDN w:val="0"/>
              <w:spacing w:before="0" w:line="240" w:lineRule="auto"/>
              <w:jc w:val="both"/>
              <w:rPr>
                <w:rFonts w:ascii="Arial" w:hAnsi="Arial" w:cs="Arial"/>
                <w:sz w:val="20"/>
                <w:szCs w:val="20"/>
                <w:lang w:val="sq-AL"/>
              </w:rPr>
            </w:pPr>
            <w:r w:rsidRPr="001C61AE">
              <w:rPr>
                <w:rFonts w:ascii="Arial" w:hAnsi="Arial" w:cs="Arial"/>
                <w:sz w:val="20"/>
                <w:szCs w:val="20"/>
                <w:lang w:val="sq-AL"/>
              </w:rPr>
              <w:t>II.2</w:t>
            </w:r>
            <w:r w:rsidR="00AD0D94" w:rsidRPr="001C61AE">
              <w:rPr>
                <w:rFonts w:ascii="Arial" w:hAnsi="Arial" w:cs="Arial"/>
                <w:sz w:val="20"/>
                <w:szCs w:val="20"/>
                <w:lang w:val="sq-AL"/>
              </w:rPr>
              <w:t>1</w:t>
            </w:r>
            <w:r w:rsidR="00554A2A" w:rsidRPr="001C61AE">
              <w:rPr>
                <w:rFonts w:ascii="Arial" w:hAnsi="Arial" w:cs="Arial"/>
                <w:sz w:val="20"/>
                <w:szCs w:val="20"/>
                <w:lang w:val="sq-AL"/>
              </w:rPr>
              <w:t xml:space="preserve"> </w:t>
            </w:r>
            <w:r w:rsidR="000B16BE" w:rsidRPr="001C61AE">
              <w:rPr>
                <w:rFonts w:ascii="Arial" w:eastAsia="Myriad Pro" w:hAnsi="Arial" w:cs="Arial"/>
                <w:sz w:val="20"/>
                <w:szCs w:val="20"/>
                <w:lang w:val="sq-AL"/>
              </w:rPr>
              <w:t>Rritja e kapaciteteve rezervë dhe të ruajtjes së energjisë për të siguruar furnizim me energji gjatë) emergjencave ose ngarkesave maksimale (Kjo përfshin rezerva të diversifikuara si bateritë, hidrocentralet me pompim dhe gjeneratorët rezervë</w:t>
            </w:r>
          </w:p>
        </w:tc>
      </w:tr>
      <w:tr w:rsidR="00B85011" w:rsidRPr="001C61AE" w14:paraId="749A9FC4" w14:textId="77777777" w:rsidTr="00B85011">
        <w:tc>
          <w:tcPr>
            <w:cnfStyle w:val="001000000000" w:firstRow="0" w:lastRow="0" w:firstColumn="1" w:lastColumn="0" w:oddVBand="0" w:evenVBand="0" w:oddHBand="0" w:evenHBand="0" w:firstRowFirstColumn="0" w:firstRowLastColumn="0" w:lastRowFirstColumn="0" w:lastRowLastColumn="0"/>
            <w:tcW w:w="1102" w:type="pct"/>
            <w:vAlign w:val="center"/>
          </w:tcPr>
          <w:p w14:paraId="3E346342" w14:textId="1624DF62" w:rsidR="00B85011" w:rsidRPr="001C61AE" w:rsidRDefault="00B85011" w:rsidP="00B85011">
            <w:pPr>
              <w:widowControl w:val="0"/>
              <w:autoSpaceDE w:val="0"/>
              <w:autoSpaceDN w:val="0"/>
              <w:spacing w:before="0" w:line="240" w:lineRule="auto"/>
              <w:jc w:val="center"/>
              <w:rPr>
                <w:rFonts w:ascii="Arial" w:hAnsi="Arial" w:cs="Arial"/>
                <w:b w:val="0"/>
                <w:bCs w:val="0"/>
                <w:sz w:val="20"/>
                <w:szCs w:val="20"/>
                <w:lang w:val="sq-AL"/>
              </w:rPr>
            </w:pPr>
            <w:r w:rsidRPr="001C61AE">
              <w:rPr>
                <w:rFonts w:ascii="Arial" w:hAnsi="Arial" w:cs="Arial"/>
                <w:sz w:val="20"/>
                <w:szCs w:val="20"/>
                <w:lang w:val="sq-AL"/>
              </w:rPr>
              <w:t>Marzhi i rezervës së sistemit energjetik (% mbi kërkesën e pikut) dhe kapaciteti total rezervë i disponueshëm (MW).</w:t>
            </w:r>
          </w:p>
        </w:tc>
        <w:tc>
          <w:tcPr>
            <w:tcW w:w="1005" w:type="pct"/>
            <w:gridSpan w:val="3"/>
            <w:vAlign w:val="center"/>
          </w:tcPr>
          <w:p w14:paraId="7AD0BF4D" w14:textId="05868E2F" w:rsidR="00B85011" w:rsidRPr="001C61AE" w:rsidRDefault="00B85011" w:rsidP="00B85011">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Niveli bazë: ~0–5% diferencë efektive rezervë (shumë e ngushtë; e varur nga importet e emergjencës); gjenerim minimal i baterive ose rezervë në vend.</w:t>
            </w:r>
          </w:p>
        </w:tc>
        <w:tc>
          <w:tcPr>
            <w:tcW w:w="969" w:type="pct"/>
            <w:gridSpan w:val="2"/>
            <w:vAlign w:val="center"/>
          </w:tcPr>
          <w:p w14:paraId="3547F57E" w14:textId="01CEF670" w:rsidR="00B85011" w:rsidRPr="001C61AE" w:rsidRDefault="00B85011" w:rsidP="00B85011">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≥10% diferencë rezervë (komision 2×100 MW gjeneratorë rezervë me reagim të shpejtë ose importe; bateri 100 MW në linjë).</w:t>
            </w:r>
          </w:p>
        </w:tc>
        <w:tc>
          <w:tcPr>
            <w:tcW w:w="905" w:type="pct"/>
            <w:vAlign w:val="center"/>
          </w:tcPr>
          <w:p w14:paraId="24A1BAD1" w14:textId="1673AD41" w:rsidR="00B85011" w:rsidRPr="001C61AE" w:rsidRDefault="00B85011" w:rsidP="00B85011">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≥15% diferencë rezervë (depozitim në bateri 170 MW në funksion; rezervë strategjike nga njësia e rimodeluar e Kosova A dhe ndoshta marrëveshje rajonale sigurojnë rezervë të mjaftueshme).</w:t>
            </w:r>
          </w:p>
        </w:tc>
        <w:tc>
          <w:tcPr>
            <w:tcW w:w="1019" w:type="pct"/>
            <w:gridSpan w:val="2"/>
            <w:shd w:val="clear" w:color="auto" w:fill="FFFFFF" w:themeFill="background1"/>
            <w:vAlign w:val="center"/>
          </w:tcPr>
          <w:p w14:paraId="6B88A7CF" w14:textId="62A2D95A" w:rsidR="00B85011" w:rsidRPr="001C61AE" w:rsidRDefault="00B85011" w:rsidP="00B85011">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≥25% diferencë rezervë (kombinimi i fuqishëm i ruajtjes, përgjigjes ndaj kërkesës dhe gjenerimit të diversifikuar ofron një buffer të madh; i aftë të përmbushë pikun edhe nëse njësia kryesore është jashtë funksionit ose gjatë thatësirës).</w:t>
            </w:r>
          </w:p>
        </w:tc>
      </w:tr>
      <w:tr w:rsidR="00554A2A" w:rsidRPr="001C61AE" w14:paraId="165124F7" w14:textId="77777777" w:rsidTr="008E1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C6E7F6"/>
            <w:vAlign w:val="center"/>
          </w:tcPr>
          <w:p w14:paraId="6AF00DDF" w14:textId="292681C4" w:rsidR="00554A2A" w:rsidRPr="001C61AE" w:rsidRDefault="00AC67CE" w:rsidP="00A70686">
            <w:pPr>
              <w:widowControl w:val="0"/>
              <w:tabs>
                <w:tab w:val="left" w:pos="2190"/>
              </w:tabs>
              <w:autoSpaceDE w:val="0"/>
              <w:autoSpaceDN w:val="0"/>
              <w:spacing w:before="0" w:line="240" w:lineRule="auto"/>
              <w:jc w:val="both"/>
              <w:rPr>
                <w:rFonts w:ascii="Arial" w:hAnsi="Arial" w:cs="Arial"/>
                <w:sz w:val="20"/>
                <w:szCs w:val="20"/>
                <w:lang w:val="sq-AL"/>
              </w:rPr>
            </w:pPr>
            <w:r w:rsidRPr="001C61AE">
              <w:rPr>
                <w:rFonts w:ascii="Arial" w:hAnsi="Arial" w:cs="Arial"/>
                <w:sz w:val="20"/>
                <w:szCs w:val="20"/>
                <w:lang w:val="sq-AL"/>
              </w:rPr>
              <w:t>II.2</w:t>
            </w:r>
            <w:r w:rsidR="00AD0D94" w:rsidRPr="001C61AE">
              <w:rPr>
                <w:rFonts w:ascii="Arial" w:hAnsi="Arial" w:cs="Arial"/>
                <w:sz w:val="20"/>
                <w:szCs w:val="20"/>
                <w:lang w:val="sq-AL"/>
              </w:rPr>
              <w:t>2</w:t>
            </w:r>
            <w:r w:rsidR="00554A2A" w:rsidRPr="001C61AE">
              <w:rPr>
                <w:rFonts w:ascii="Arial" w:hAnsi="Arial" w:cs="Arial"/>
                <w:sz w:val="20"/>
                <w:szCs w:val="20"/>
                <w:lang w:val="sq-AL"/>
              </w:rPr>
              <w:t xml:space="preserve"> </w:t>
            </w:r>
            <w:r w:rsidR="000B16BE" w:rsidRPr="001C61AE">
              <w:rPr>
                <w:rFonts w:ascii="Arial" w:eastAsia="Myriad Pro" w:hAnsi="Arial" w:cs="Arial"/>
                <w:sz w:val="20"/>
                <w:szCs w:val="20"/>
                <w:lang w:val="sq-AL"/>
              </w:rPr>
              <w:t>Zgjerimi i ndërlidhjeve dhe bashkëpunimit rajonal për të forcuar qëndrueshmërinë e sistemit energjetik përmes importit/eksportit dhe mbështetjes ndërkufitare të rrjetit në situata krize</w:t>
            </w:r>
          </w:p>
        </w:tc>
      </w:tr>
      <w:tr w:rsidR="00B85011" w:rsidRPr="001C61AE" w14:paraId="02F50612" w14:textId="77777777" w:rsidTr="00B85011">
        <w:tc>
          <w:tcPr>
            <w:cnfStyle w:val="001000000000" w:firstRow="0" w:lastRow="0" w:firstColumn="1" w:lastColumn="0" w:oddVBand="0" w:evenVBand="0" w:oddHBand="0" w:evenHBand="0" w:firstRowFirstColumn="0" w:firstRowLastColumn="0" w:lastRowFirstColumn="0" w:lastRowLastColumn="0"/>
            <w:tcW w:w="1102" w:type="pct"/>
            <w:vAlign w:val="center"/>
          </w:tcPr>
          <w:p w14:paraId="4203E26F" w14:textId="2B3902F1" w:rsidR="00B85011" w:rsidRPr="001C61AE" w:rsidRDefault="00B85011" w:rsidP="00B85011">
            <w:pPr>
              <w:widowControl w:val="0"/>
              <w:autoSpaceDE w:val="0"/>
              <w:autoSpaceDN w:val="0"/>
              <w:spacing w:before="0" w:line="240" w:lineRule="auto"/>
              <w:jc w:val="center"/>
              <w:rPr>
                <w:rFonts w:ascii="Arial" w:hAnsi="Arial" w:cs="Arial"/>
                <w:b w:val="0"/>
                <w:bCs w:val="0"/>
                <w:sz w:val="20"/>
                <w:szCs w:val="20"/>
                <w:lang w:val="sq-AL"/>
              </w:rPr>
            </w:pPr>
            <w:r w:rsidRPr="001C61AE">
              <w:rPr>
                <w:rFonts w:ascii="Arial" w:hAnsi="Arial" w:cs="Arial"/>
                <w:sz w:val="20"/>
                <w:szCs w:val="20"/>
                <w:lang w:val="sq-AL"/>
              </w:rPr>
              <w:t>Kapaciteti total i ndërlidhjes me sistemet fqinje (MW) dhe pjesëmarrja në mekanizmat rajonalë të balancimit.</w:t>
            </w:r>
          </w:p>
        </w:tc>
        <w:tc>
          <w:tcPr>
            <w:tcW w:w="1005" w:type="pct"/>
            <w:gridSpan w:val="3"/>
            <w:vAlign w:val="center"/>
          </w:tcPr>
          <w:p w14:paraId="2A1299D6" w14:textId="4295D47A" w:rsidR="00B85011" w:rsidRPr="001C61AE" w:rsidRDefault="00B85011" w:rsidP="00B85011">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Niveli bazë: ~800 MW (ndërlidhje ekzistuese me AL, MK, SRB; bashkëpunimi rajonal i balancimit i kufizuar).</w:t>
            </w:r>
          </w:p>
        </w:tc>
        <w:tc>
          <w:tcPr>
            <w:tcW w:w="969" w:type="pct"/>
            <w:gridSpan w:val="2"/>
            <w:vAlign w:val="center"/>
          </w:tcPr>
          <w:p w14:paraId="26A47498" w14:textId="26731A9C" w:rsidR="00B85011" w:rsidRPr="001C61AE" w:rsidRDefault="00B85011" w:rsidP="00B85011">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Kapaciteti i ndërlidhjes 1000 MW (linja e re 400 kV me Shqipërinë plotësisht funksionale; marrëveshje për shkëmbime emergjente të energjisë në vend)</w:t>
            </w:r>
          </w:p>
        </w:tc>
        <w:tc>
          <w:tcPr>
            <w:tcW w:w="905" w:type="pct"/>
            <w:vAlign w:val="center"/>
          </w:tcPr>
          <w:p w14:paraId="0E19BA7F" w14:textId="66D62203" w:rsidR="00B85011" w:rsidRPr="001C61AE" w:rsidRDefault="00B85011" w:rsidP="00B85011">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Kapaciteti 1300 MW (lidhje ose përmirësime shtesë ndërkufitare; integrim i plotë në tregun rajonal të balancimit përmes ALPEX/Komunitetit të Energjisë).</w:t>
            </w:r>
          </w:p>
        </w:tc>
        <w:tc>
          <w:tcPr>
            <w:tcW w:w="1019" w:type="pct"/>
            <w:gridSpan w:val="2"/>
            <w:shd w:val="clear" w:color="auto" w:fill="FFFFFF" w:themeFill="background1"/>
            <w:vAlign w:val="center"/>
          </w:tcPr>
          <w:p w14:paraId="0C14545C" w14:textId="1EC684C3" w:rsidR="00B85011" w:rsidRPr="001C61AE" w:rsidRDefault="00B85011" w:rsidP="00B85011">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1500+ MW (integrim i fortë i rrjetëzuar në Ballkanin Perëndimor; Kosova mund të mbështetet gjerësisht në mbështetjen rajonale të rrjetit gjatë ngjarjeve ekstreme).</w:t>
            </w:r>
          </w:p>
        </w:tc>
      </w:tr>
      <w:tr w:rsidR="0046774C" w:rsidRPr="001C61AE" w14:paraId="33559997" w14:textId="77777777" w:rsidTr="004677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C6E7F6"/>
            <w:vAlign w:val="center"/>
          </w:tcPr>
          <w:p w14:paraId="25CC8D4D" w14:textId="454CFD17" w:rsidR="0046774C" w:rsidRPr="001C61AE" w:rsidRDefault="0046774C" w:rsidP="0046774C">
            <w:pPr>
              <w:widowControl w:val="0"/>
              <w:tabs>
                <w:tab w:val="left" w:pos="2190"/>
              </w:tabs>
              <w:autoSpaceDE w:val="0"/>
              <w:autoSpaceDN w:val="0"/>
              <w:spacing w:before="0" w:line="240" w:lineRule="auto"/>
              <w:jc w:val="both"/>
              <w:rPr>
                <w:rFonts w:ascii="Arial" w:hAnsi="Arial" w:cs="Arial"/>
                <w:sz w:val="20"/>
                <w:szCs w:val="20"/>
                <w:highlight w:val="yellow"/>
                <w:lang w:val="sq-AL"/>
              </w:rPr>
            </w:pPr>
            <w:bookmarkStart w:id="102" w:name="_Hlk201588477"/>
            <w:r w:rsidRPr="001C61AE">
              <w:rPr>
                <w:rFonts w:ascii="Arial" w:hAnsi="Arial" w:cs="Arial"/>
                <w:sz w:val="20"/>
                <w:szCs w:val="20"/>
                <w:lang w:val="sq-AL"/>
              </w:rPr>
              <w:t>II.2</w:t>
            </w:r>
            <w:r w:rsidR="00AD0D94" w:rsidRPr="001C61AE">
              <w:rPr>
                <w:rFonts w:ascii="Arial" w:hAnsi="Arial" w:cs="Arial"/>
                <w:sz w:val="20"/>
                <w:szCs w:val="20"/>
                <w:lang w:val="sq-AL"/>
              </w:rPr>
              <w:t>3</w:t>
            </w:r>
            <w:r w:rsidR="000B16BE" w:rsidRPr="001C61AE">
              <w:rPr>
                <w:rFonts w:ascii="Arial" w:hAnsi="Arial" w:cs="Arial"/>
                <w:lang w:val="sq-AL"/>
              </w:rPr>
              <w:t xml:space="preserve"> </w:t>
            </w:r>
            <w:r w:rsidR="000B16BE" w:rsidRPr="001C61AE">
              <w:rPr>
                <w:rFonts w:ascii="Arial" w:hAnsi="Arial" w:cs="Arial"/>
                <w:sz w:val="20"/>
                <w:szCs w:val="20"/>
                <w:lang w:val="sq-AL"/>
              </w:rPr>
              <w:t>Rinovimi i dy njësive të TC “Kosova B” dhe të paktën një njësie të “Kosova A”.</w:t>
            </w:r>
          </w:p>
        </w:tc>
      </w:tr>
      <w:tr w:rsidR="003F6572" w:rsidRPr="001C61AE" w14:paraId="50C4B252" w14:textId="77777777" w:rsidTr="00B85011">
        <w:trPr>
          <w:trHeight w:val="1214"/>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56E61191" w14:textId="77777777" w:rsidR="000B16BE" w:rsidRPr="001C61AE" w:rsidRDefault="000B16BE" w:rsidP="000B16BE">
            <w:pPr>
              <w:widowControl w:val="0"/>
              <w:autoSpaceDE w:val="0"/>
              <w:autoSpaceDN w:val="0"/>
              <w:spacing w:before="0" w:line="240" w:lineRule="auto"/>
              <w:jc w:val="center"/>
              <w:rPr>
                <w:rFonts w:ascii="Arial" w:hAnsi="Arial" w:cs="Arial"/>
                <w:sz w:val="20"/>
                <w:szCs w:val="20"/>
                <w:lang w:val="sq-AL"/>
              </w:rPr>
            </w:pPr>
            <w:r w:rsidRPr="001C61AE">
              <w:rPr>
                <w:rFonts w:ascii="Arial" w:hAnsi="Arial" w:cs="Arial"/>
                <w:sz w:val="20"/>
                <w:szCs w:val="20"/>
                <w:lang w:val="sq-AL"/>
              </w:rPr>
              <w:lastRenderedPageBreak/>
              <w:t>Efikasiteti elektrik neto – [prodhimi neto i energjisë MWh / (linjit i konsumuar x vlera kalorifike e linjitit MWh)]</w:t>
            </w:r>
          </w:p>
          <w:p w14:paraId="75F20ECB" w14:textId="533CD7B1" w:rsidR="003F6572" w:rsidRPr="001C61AE" w:rsidRDefault="000B16BE" w:rsidP="000B16BE">
            <w:pPr>
              <w:widowControl w:val="0"/>
              <w:autoSpaceDE w:val="0"/>
              <w:autoSpaceDN w:val="0"/>
              <w:spacing w:before="0" w:line="240" w:lineRule="auto"/>
              <w:jc w:val="center"/>
              <w:rPr>
                <w:rFonts w:ascii="Arial" w:hAnsi="Arial" w:cs="Arial"/>
                <w:sz w:val="20"/>
                <w:szCs w:val="20"/>
                <w:lang w:val="sq-AL"/>
              </w:rPr>
            </w:pPr>
            <w:r w:rsidRPr="001C61AE">
              <w:rPr>
                <w:rFonts w:ascii="Arial" w:hAnsi="Arial" w:cs="Arial"/>
                <w:sz w:val="20"/>
                <w:szCs w:val="20"/>
                <w:lang w:val="sq-AL"/>
              </w:rPr>
              <w:t>(përqindje)</w:t>
            </w:r>
          </w:p>
        </w:tc>
        <w:tc>
          <w:tcPr>
            <w:tcW w:w="1005" w:type="pct"/>
            <w:gridSpan w:val="3"/>
            <w:vAlign w:val="center"/>
          </w:tcPr>
          <w:p w14:paraId="622E72E3" w14:textId="06448FE2" w:rsidR="003F6572" w:rsidRPr="001C61AE" w:rsidRDefault="003F6572" w:rsidP="003F6572">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Kosova A (24%)</w:t>
            </w:r>
            <w:r w:rsidRPr="001C61AE">
              <w:rPr>
                <w:rFonts w:ascii="Arial" w:hAnsi="Arial" w:cs="Arial"/>
                <w:sz w:val="20"/>
                <w:szCs w:val="20"/>
                <w:lang w:val="sq-AL"/>
              </w:rPr>
              <w:br/>
              <w:t>Kosova B (29 %)</w:t>
            </w:r>
          </w:p>
        </w:tc>
        <w:tc>
          <w:tcPr>
            <w:tcW w:w="969" w:type="pct"/>
            <w:gridSpan w:val="2"/>
            <w:vAlign w:val="center"/>
          </w:tcPr>
          <w:p w14:paraId="2AFA5318" w14:textId="0F507E70" w:rsidR="003F6572" w:rsidRPr="001C61AE" w:rsidRDefault="003F6572" w:rsidP="003F6572">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Kosova A (27%)</w:t>
            </w:r>
            <w:r w:rsidRPr="001C61AE">
              <w:rPr>
                <w:rFonts w:ascii="Arial" w:hAnsi="Arial" w:cs="Arial"/>
                <w:sz w:val="20"/>
                <w:szCs w:val="20"/>
                <w:lang w:val="sq-AL"/>
              </w:rPr>
              <w:br/>
              <w:t>Kosova B (32.5 %)</w:t>
            </w:r>
          </w:p>
        </w:tc>
        <w:tc>
          <w:tcPr>
            <w:tcW w:w="905" w:type="pct"/>
            <w:vAlign w:val="center"/>
          </w:tcPr>
          <w:p w14:paraId="60529762" w14:textId="1E0F3E0B" w:rsidR="003F6572" w:rsidRPr="001C61AE" w:rsidRDefault="003F6572" w:rsidP="003F6572">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Kosova A (27.5 %)</w:t>
            </w:r>
            <w:r w:rsidRPr="001C61AE">
              <w:rPr>
                <w:rFonts w:ascii="Arial" w:hAnsi="Arial" w:cs="Arial"/>
                <w:sz w:val="20"/>
                <w:szCs w:val="20"/>
                <w:lang w:val="sq-AL"/>
              </w:rPr>
              <w:br/>
              <w:t>Kosova B (33%)</w:t>
            </w:r>
          </w:p>
        </w:tc>
        <w:tc>
          <w:tcPr>
            <w:tcW w:w="1019" w:type="pct"/>
            <w:gridSpan w:val="2"/>
            <w:shd w:val="clear" w:color="auto" w:fill="FFFFFF" w:themeFill="background1"/>
            <w:vAlign w:val="center"/>
          </w:tcPr>
          <w:p w14:paraId="5B86785F" w14:textId="49CBFE0B" w:rsidR="003F6572" w:rsidRPr="001C61AE" w:rsidRDefault="003F6572" w:rsidP="003F6572">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Kosova A (27.5 %)</w:t>
            </w:r>
            <w:r w:rsidRPr="001C61AE">
              <w:rPr>
                <w:rFonts w:ascii="Arial" w:hAnsi="Arial" w:cs="Arial"/>
                <w:sz w:val="20"/>
                <w:szCs w:val="20"/>
                <w:lang w:val="sq-AL"/>
              </w:rPr>
              <w:br/>
              <w:t>Kosova B (33 %)</w:t>
            </w:r>
          </w:p>
        </w:tc>
      </w:tr>
      <w:tr w:rsidR="003F6572" w:rsidRPr="001C61AE" w14:paraId="6335AD27" w14:textId="77777777" w:rsidTr="00B85011">
        <w:trPr>
          <w:cnfStyle w:val="000000100000" w:firstRow="0" w:lastRow="0" w:firstColumn="0" w:lastColumn="0" w:oddVBand="0" w:evenVBand="0" w:oddHBand="1"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1102" w:type="pct"/>
            <w:shd w:val="clear" w:color="auto" w:fill="auto"/>
            <w:vAlign w:val="center"/>
          </w:tcPr>
          <w:p w14:paraId="4CAD7F84" w14:textId="77777777" w:rsidR="000B16BE" w:rsidRPr="001C61AE" w:rsidRDefault="000B16BE" w:rsidP="000B16BE">
            <w:pPr>
              <w:widowControl w:val="0"/>
              <w:autoSpaceDE w:val="0"/>
              <w:autoSpaceDN w:val="0"/>
              <w:spacing w:before="0" w:line="240" w:lineRule="auto"/>
              <w:jc w:val="center"/>
              <w:rPr>
                <w:rFonts w:ascii="Arial" w:hAnsi="Arial" w:cs="Arial"/>
                <w:sz w:val="20"/>
                <w:szCs w:val="20"/>
                <w:lang w:val="sq-AL"/>
              </w:rPr>
            </w:pPr>
            <w:r w:rsidRPr="001C61AE">
              <w:rPr>
                <w:rFonts w:ascii="Arial" w:hAnsi="Arial" w:cs="Arial"/>
                <w:sz w:val="20"/>
                <w:szCs w:val="20"/>
                <w:lang w:val="sq-AL"/>
              </w:rPr>
              <w:t>Faktori i disponueshmërisë [(orët e periudhës - orët e ndërprerjes së planifikuar - orët e ndërprerjes së paplanifikuar/orët e periudhës)x100)]</w:t>
            </w:r>
          </w:p>
          <w:p w14:paraId="1E2D140D" w14:textId="3701D428" w:rsidR="003F6572" w:rsidRPr="001C61AE" w:rsidRDefault="000B16BE" w:rsidP="000B16BE">
            <w:pPr>
              <w:widowControl w:val="0"/>
              <w:autoSpaceDE w:val="0"/>
              <w:autoSpaceDN w:val="0"/>
              <w:spacing w:before="0" w:line="240" w:lineRule="auto"/>
              <w:jc w:val="center"/>
              <w:rPr>
                <w:rFonts w:ascii="Arial" w:hAnsi="Arial" w:cs="Arial"/>
                <w:sz w:val="20"/>
                <w:szCs w:val="20"/>
                <w:lang w:val="sq-AL"/>
              </w:rPr>
            </w:pPr>
            <w:r w:rsidRPr="001C61AE">
              <w:rPr>
                <w:rFonts w:ascii="Arial" w:hAnsi="Arial" w:cs="Arial"/>
                <w:sz w:val="20"/>
                <w:szCs w:val="20"/>
                <w:lang w:val="sq-AL"/>
              </w:rPr>
              <w:t>(përqindje)</w:t>
            </w:r>
          </w:p>
        </w:tc>
        <w:tc>
          <w:tcPr>
            <w:tcW w:w="1005" w:type="pct"/>
            <w:gridSpan w:val="3"/>
            <w:shd w:val="clear" w:color="auto" w:fill="auto"/>
            <w:vAlign w:val="center"/>
          </w:tcPr>
          <w:p w14:paraId="4266F5BD" w14:textId="2C19F3B2" w:rsidR="003F6572" w:rsidRPr="001C61AE" w:rsidRDefault="003F6572" w:rsidP="003F6572">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Kosova A (67.6 %)</w:t>
            </w:r>
            <w:r w:rsidRPr="001C61AE">
              <w:rPr>
                <w:rFonts w:ascii="Arial" w:hAnsi="Arial" w:cs="Arial"/>
                <w:sz w:val="20"/>
                <w:szCs w:val="20"/>
                <w:lang w:val="sq-AL"/>
              </w:rPr>
              <w:br/>
              <w:t>Kosova B (86.1%)</w:t>
            </w:r>
          </w:p>
        </w:tc>
        <w:tc>
          <w:tcPr>
            <w:tcW w:w="969" w:type="pct"/>
            <w:gridSpan w:val="2"/>
            <w:shd w:val="clear" w:color="auto" w:fill="auto"/>
            <w:vAlign w:val="center"/>
          </w:tcPr>
          <w:p w14:paraId="02EE2449" w14:textId="7AA6AE08" w:rsidR="003F6572" w:rsidRPr="001C61AE" w:rsidRDefault="003F6572" w:rsidP="003F6572">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Kosova A (85 %)</w:t>
            </w:r>
            <w:r w:rsidRPr="001C61AE">
              <w:rPr>
                <w:rFonts w:ascii="Arial" w:hAnsi="Arial" w:cs="Arial"/>
                <w:sz w:val="20"/>
                <w:szCs w:val="20"/>
                <w:lang w:val="sq-AL"/>
              </w:rPr>
              <w:br/>
              <w:t>Kosova B (95 %)</w:t>
            </w:r>
          </w:p>
        </w:tc>
        <w:tc>
          <w:tcPr>
            <w:tcW w:w="905" w:type="pct"/>
            <w:shd w:val="clear" w:color="auto" w:fill="auto"/>
            <w:vAlign w:val="center"/>
          </w:tcPr>
          <w:p w14:paraId="04F2C915" w14:textId="676F55DA" w:rsidR="003F6572" w:rsidRPr="001C61AE" w:rsidRDefault="003F6572" w:rsidP="003F6572">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Kosova A (85%)</w:t>
            </w:r>
            <w:r w:rsidRPr="001C61AE">
              <w:rPr>
                <w:rFonts w:ascii="Arial" w:hAnsi="Arial" w:cs="Arial"/>
                <w:sz w:val="20"/>
                <w:szCs w:val="20"/>
                <w:lang w:val="sq-AL"/>
              </w:rPr>
              <w:br/>
              <w:t>Kosova B (95%)</w:t>
            </w:r>
          </w:p>
        </w:tc>
        <w:tc>
          <w:tcPr>
            <w:tcW w:w="1019" w:type="pct"/>
            <w:gridSpan w:val="2"/>
            <w:shd w:val="clear" w:color="auto" w:fill="FFFFFF" w:themeFill="background1"/>
            <w:vAlign w:val="center"/>
          </w:tcPr>
          <w:p w14:paraId="7118E5D2" w14:textId="353D6A3B" w:rsidR="003F6572" w:rsidRPr="001C61AE" w:rsidRDefault="003F6572" w:rsidP="003F6572">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Kosova A (&lt; 50.0 (Strategic Reserve))</w:t>
            </w:r>
            <w:r w:rsidRPr="001C61AE">
              <w:rPr>
                <w:rFonts w:ascii="Arial" w:hAnsi="Arial" w:cs="Arial"/>
                <w:sz w:val="20"/>
                <w:szCs w:val="20"/>
                <w:lang w:val="sq-AL"/>
              </w:rPr>
              <w:br/>
              <w:t>Kosova B (92%)</w:t>
            </w:r>
          </w:p>
        </w:tc>
      </w:tr>
      <w:tr w:rsidR="003F6572" w:rsidRPr="001C61AE" w14:paraId="5E5C75DA" w14:textId="77777777" w:rsidTr="00B85011">
        <w:trPr>
          <w:trHeight w:val="1214"/>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417951E6" w14:textId="09244A53" w:rsidR="003F6572" w:rsidRPr="001C61AE" w:rsidRDefault="000B16BE" w:rsidP="003F6572">
            <w:pPr>
              <w:widowControl w:val="0"/>
              <w:autoSpaceDE w:val="0"/>
              <w:autoSpaceDN w:val="0"/>
              <w:spacing w:before="0" w:line="240" w:lineRule="auto"/>
              <w:jc w:val="center"/>
              <w:rPr>
                <w:rFonts w:ascii="Arial" w:hAnsi="Arial" w:cs="Arial"/>
                <w:sz w:val="20"/>
                <w:szCs w:val="20"/>
                <w:lang w:val="sq-AL"/>
              </w:rPr>
            </w:pPr>
            <w:r w:rsidRPr="001C61AE">
              <w:rPr>
                <w:rFonts w:ascii="Arial" w:hAnsi="Arial" w:cs="Arial"/>
                <w:sz w:val="20"/>
                <w:szCs w:val="20"/>
                <w:lang w:val="sq-AL"/>
              </w:rPr>
              <w:t>Emetimet e lëndës grimcore dhe pluhurit [emetimet e SO2, NOx dhe pluhurit] (mg/Nm3: 6% O2)</w:t>
            </w:r>
          </w:p>
        </w:tc>
        <w:tc>
          <w:tcPr>
            <w:tcW w:w="1005" w:type="pct"/>
            <w:gridSpan w:val="3"/>
            <w:vAlign w:val="center"/>
          </w:tcPr>
          <w:p w14:paraId="647C78D1" w14:textId="2388F722" w:rsidR="003F6572" w:rsidRPr="001C61AE" w:rsidRDefault="000B16BE" w:rsidP="003F6572">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 xml:space="preserve">Pluhuri </w:t>
            </w:r>
            <w:r w:rsidR="003F6572" w:rsidRPr="001C61AE">
              <w:rPr>
                <w:rFonts w:ascii="Arial" w:hAnsi="Arial" w:cs="Arial"/>
                <w:sz w:val="20"/>
                <w:szCs w:val="20"/>
                <w:lang w:val="sq-AL"/>
              </w:rPr>
              <w:t>(PM) - &gt; 50</w:t>
            </w:r>
          </w:p>
          <w:p w14:paraId="1633CD22" w14:textId="77777777" w:rsidR="003F6572" w:rsidRPr="001C61AE" w:rsidRDefault="003F6572" w:rsidP="003F6572">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SO2 - &gt; 400</w:t>
            </w:r>
          </w:p>
          <w:p w14:paraId="6647B28E" w14:textId="5C5157B5" w:rsidR="003F6572" w:rsidRPr="001C61AE" w:rsidRDefault="003F6572" w:rsidP="003F6572">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NOx - &gt; 500</w:t>
            </w:r>
          </w:p>
        </w:tc>
        <w:tc>
          <w:tcPr>
            <w:tcW w:w="969" w:type="pct"/>
            <w:gridSpan w:val="2"/>
            <w:vAlign w:val="center"/>
          </w:tcPr>
          <w:p w14:paraId="379EAA19" w14:textId="16F5F051" w:rsidR="003F6572" w:rsidRPr="001C61AE" w:rsidRDefault="000B16BE" w:rsidP="003F6572">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 xml:space="preserve">Pluhuri </w:t>
            </w:r>
            <w:r w:rsidR="003F6572" w:rsidRPr="001C61AE">
              <w:rPr>
                <w:rFonts w:ascii="Arial" w:hAnsi="Arial" w:cs="Arial"/>
                <w:sz w:val="20"/>
                <w:szCs w:val="20"/>
                <w:lang w:val="sq-AL"/>
              </w:rPr>
              <w:t>(PM) – &lt; 25</w:t>
            </w:r>
          </w:p>
          <w:p w14:paraId="5CF057C6" w14:textId="77777777" w:rsidR="003F6572" w:rsidRPr="001C61AE" w:rsidRDefault="003F6572" w:rsidP="003F6572">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SO2 – &lt; 400</w:t>
            </w:r>
          </w:p>
          <w:p w14:paraId="6799CECB" w14:textId="0B6426D7" w:rsidR="003F6572" w:rsidRPr="001C61AE" w:rsidRDefault="003F6572" w:rsidP="003F6572">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NOx - &lt; 250</w:t>
            </w:r>
          </w:p>
        </w:tc>
        <w:tc>
          <w:tcPr>
            <w:tcW w:w="905" w:type="pct"/>
            <w:vAlign w:val="center"/>
          </w:tcPr>
          <w:p w14:paraId="1C32CCC4" w14:textId="0FA25EDA" w:rsidR="003F6572" w:rsidRPr="001C61AE" w:rsidRDefault="000B16BE" w:rsidP="003F6572">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Pluhuri</w:t>
            </w:r>
            <w:r w:rsidR="003F6572" w:rsidRPr="001C61AE">
              <w:rPr>
                <w:rFonts w:ascii="Arial" w:hAnsi="Arial" w:cs="Arial"/>
                <w:sz w:val="20"/>
                <w:szCs w:val="20"/>
                <w:lang w:val="sq-AL"/>
              </w:rPr>
              <w:t xml:space="preserve"> (PM) – &lt; 20</w:t>
            </w:r>
          </w:p>
          <w:p w14:paraId="63E639B1" w14:textId="77777777" w:rsidR="003F6572" w:rsidRPr="001C61AE" w:rsidRDefault="003F6572" w:rsidP="003F6572">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SO2 – &lt; 400</w:t>
            </w:r>
          </w:p>
          <w:p w14:paraId="129F4074" w14:textId="124027E0" w:rsidR="003F6572" w:rsidRPr="001C61AE" w:rsidRDefault="003F6572" w:rsidP="003F6572">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NOx - &lt; 200</w:t>
            </w:r>
          </w:p>
        </w:tc>
        <w:tc>
          <w:tcPr>
            <w:tcW w:w="1019" w:type="pct"/>
            <w:gridSpan w:val="2"/>
            <w:shd w:val="clear" w:color="auto" w:fill="FFFFFF" w:themeFill="background1"/>
            <w:vAlign w:val="center"/>
          </w:tcPr>
          <w:p w14:paraId="4246776B" w14:textId="62AEB6BB" w:rsidR="003F6572" w:rsidRPr="001C61AE" w:rsidRDefault="000B16BE" w:rsidP="003F6572">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 xml:space="preserve">Pluhuri </w:t>
            </w:r>
            <w:r w:rsidR="003F6572" w:rsidRPr="001C61AE">
              <w:rPr>
                <w:rFonts w:ascii="Arial" w:hAnsi="Arial" w:cs="Arial"/>
                <w:sz w:val="20"/>
                <w:szCs w:val="20"/>
                <w:lang w:val="sq-AL"/>
              </w:rPr>
              <w:t>(PM) – &lt; 20</w:t>
            </w:r>
          </w:p>
          <w:p w14:paraId="246022CF" w14:textId="77777777" w:rsidR="003F6572" w:rsidRPr="001C61AE" w:rsidRDefault="003F6572" w:rsidP="003F6572">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SO2 – &lt; 400</w:t>
            </w:r>
          </w:p>
          <w:p w14:paraId="02785B8A" w14:textId="172417FF" w:rsidR="003F6572" w:rsidRPr="001C61AE" w:rsidRDefault="003F6572" w:rsidP="003F6572">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NOx - &lt; 200</w:t>
            </w:r>
          </w:p>
        </w:tc>
      </w:tr>
      <w:tr w:rsidR="003F6572" w:rsidRPr="001C61AE" w14:paraId="69F398A5" w14:textId="77777777" w:rsidTr="00B85011">
        <w:trPr>
          <w:cnfStyle w:val="000000100000" w:firstRow="0" w:lastRow="0" w:firstColumn="0" w:lastColumn="0" w:oddVBand="0" w:evenVBand="0" w:oddHBand="1"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1102" w:type="pct"/>
            <w:shd w:val="clear" w:color="auto" w:fill="auto"/>
            <w:vAlign w:val="center"/>
          </w:tcPr>
          <w:p w14:paraId="1C22194C" w14:textId="09F6340B" w:rsidR="003F6572" w:rsidRPr="001C61AE" w:rsidRDefault="000B16BE" w:rsidP="003F6572">
            <w:pPr>
              <w:widowControl w:val="0"/>
              <w:autoSpaceDE w:val="0"/>
              <w:autoSpaceDN w:val="0"/>
              <w:spacing w:before="0" w:line="240" w:lineRule="auto"/>
              <w:jc w:val="center"/>
              <w:rPr>
                <w:rFonts w:ascii="Arial" w:hAnsi="Arial" w:cs="Arial"/>
                <w:sz w:val="20"/>
                <w:szCs w:val="20"/>
                <w:lang w:val="sq-AL"/>
              </w:rPr>
            </w:pPr>
            <w:r w:rsidRPr="001C61AE">
              <w:rPr>
                <w:rFonts w:ascii="Arial" w:hAnsi="Arial" w:cs="Arial"/>
                <w:sz w:val="20"/>
                <w:szCs w:val="20"/>
                <w:lang w:val="sq-AL"/>
              </w:rPr>
              <w:t>Intensiteti i emetimeve të CO2 (tCO2/MWh)</w:t>
            </w:r>
          </w:p>
        </w:tc>
        <w:tc>
          <w:tcPr>
            <w:tcW w:w="1005" w:type="pct"/>
            <w:gridSpan w:val="3"/>
            <w:shd w:val="clear" w:color="auto" w:fill="auto"/>
            <w:vAlign w:val="center"/>
          </w:tcPr>
          <w:p w14:paraId="63312EB5" w14:textId="088B4DF2" w:rsidR="003F6572" w:rsidRPr="001C61AE" w:rsidRDefault="003F6572" w:rsidP="003F6572">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Kosova A – 1.60</w:t>
            </w:r>
            <w:r w:rsidRPr="001C61AE">
              <w:rPr>
                <w:rFonts w:ascii="Arial" w:hAnsi="Arial" w:cs="Arial"/>
                <w:sz w:val="20"/>
                <w:szCs w:val="20"/>
                <w:lang w:val="sq-AL"/>
              </w:rPr>
              <w:br/>
              <w:t>Kosova B – 1.21</w:t>
            </w:r>
          </w:p>
        </w:tc>
        <w:tc>
          <w:tcPr>
            <w:tcW w:w="969" w:type="pct"/>
            <w:gridSpan w:val="2"/>
            <w:shd w:val="clear" w:color="auto" w:fill="auto"/>
            <w:vAlign w:val="center"/>
          </w:tcPr>
          <w:p w14:paraId="70D9B523" w14:textId="6339FF60" w:rsidR="003F6572" w:rsidRPr="001C61AE" w:rsidRDefault="003F6572" w:rsidP="003F6572">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Kosova A – 1.42</w:t>
            </w:r>
            <w:r w:rsidRPr="001C61AE">
              <w:rPr>
                <w:rFonts w:ascii="Arial" w:hAnsi="Arial" w:cs="Arial"/>
                <w:sz w:val="20"/>
                <w:szCs w:val="20"/>
                <w:lang w:val="sq-AL"/>
              </w:rPr>
              <w:br/>
              <w:t>Kosova B – 1.08</w:t>
            </w:r>
          </w:p>
        </w:tc>
        <w:tc>
          <w:tcPr>
            <w:tcW w:w="905" w:type="pct"/>
            <w:shd w:val="clear" w:color="auto" w:fill="auto"/>
            <w:vAlign w:val="center"/>
          </w:tcPr>
          <w:p w14:paraId="6B06E251" w14:textId="4306E423" w:rsidR="003F6572" w:rsidRPr="001C61AE" w:rsidRDefault="003F6572" w:rsidP="003F6572">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Kosova A – 1.40</w:t>
            </w:r>
            <w:r w:rsidRPr="001C61AE">
              <w:rPr>
                <w:rFonts w:ascii="Arial" w:hAnsi="Arial" w:cs="Arial"/>
                <w:sz w:val="20"/>
                <w:szCs w:val="20"/>
                <w:lang w:val="sq-AL"/>
              </w:rPr>
              <w:br/>
              <w:t>Kosova B – 1.06</w:t>
            </w:r>
          </w:p>
        </w:tc>
        <w:tc>
          <w:tcPr>
            <w:tcW w:w="1019" w:type="pct"/>
            <w:gridSpan w:val="2"/>
            <w:shd w:val="clear" w:color="auto" w:fill="FFFFFF" w:themeFill="background1"/>
            <w:vAlign w:val="center"/>
          </w:tcPr>
          <w:p w14:paraId="02253F21" w14:textId="7A6AD985" w:rsidR="003F6572" w:rsidRPr="001C61AE" w:rsidRDefault="003F6572" w:rsidP="003F6572">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Kosova A – 1.40</w:t>
            </w:r>
            <w:r w:rsidRPr="001C61AE">
              <w:rPr>
                <w:rFonts w:ascii="Arial" w:hAnsi="Arial" w:cs="Arial"/>
                <w:sz w:val="20"/>
                <w:szCs w:val="20"/>
                <w:lang w:val="sq-AL"/>
              </w:rPr>
              <w:br/>
              <w:t>Kosova B – 1.06</w:t>
            </w:r>
          </w:p>
        </w:tc>
      </w:tr>
      <w:bookmarkEnd w:id="102"/>
      <w:tr w:rsidR="00554A2A" w:rsidRPr="001C61AE" w14:paraId="6C7099EA" w14:textId="77777777" w:rsidTr="008E17FD">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0F4761"/>
            <w:vAlign w:val="center"/>
          </w:tcPr>
          <w:p w14:paraId="0CF6A04E" w14:textId="4FC44B04" w:rsidR="00554A2A" w:rsidRPr="001C61AE" w:rsidRDefault="0040465B" w:rsidP="00A70686">
            <w:pPr>
              <w:widowControl w:val="0"/>
              <w:autoSpaceDE w:val="0"/>
              <w:autoSpaceDN w:val="0"/>
              <w:spacing w:before="0" w:line="240" w:lineRule="auto"/>
              <w:jc w:val="center"/>
              <w:rPr>
                <w:rFonts w:ascii="Arial" w:hAnsi="Arial" w:cs="Arial"/>
                <w:sz w:val="20"/>
                <w:szCs w:val="20"/>
                <w:lang w:val="sq-AL"/>
              </w:rPr>
            </w:pPr>
            <w:r w:rsidRPr="001C61AE">
              <w:rPr>
                <w:rFonts w:ascii="Arial" w:eastAsia="Myriad Pro" w:hAnsi="Arial" w:cs="Arial"/>
                <w:sz w:val="20"/>
                <w:szCs w:val="20"/>
                <w:lang w:val="sq-AL"/>
              </w:rPr>
              <w:t>Prioriteti kyç për përshtatje</w:t>
            </w:r>
            <w:r w:rsidR="00554A2A" w:rsidRPr="001C61AE">
              <w:rPr>
                <w:rFonts w:ascii="Arial" w:eastAsia="Myriad Pro" w:hAnsi="Arial" w:cs="Arial"/>
                <w:sz w:val="20"/>
                <w:szCs w:val="20"/>
                <w:lang w:val="sq-AL"/>
              </w:rPr>
              <w:t xml:space="preserve">: </w:t>
            </w:r>
            <w:r w:rsidR="00AD0D94" w:rsidRPr="001C61AE">
              <w:rPr>
                <w:rFonts w:ascii="Arial" w:eastAsia="Myriad Pro" w:hAnsi="Arial" w:cs="Arial"/>
                <w:sz w:val="20"/>
                <w:szCs w:val="20"/>
                <w:lang w:val="sq-AL"/>
              </w:rPr>
              <w:t>Sigurimi i qëndrueshmërisë energjetike përmes menaxhimit të burimeve të brendshme</w:t>
            </w:r>
            <w:r w:rsidR="00AD0D94" w:rsidRPr="001C61AE" w:rsidDel="000D7628">
              <w:rPr>
                <w:rFonts w:ascii="Arial" w:eastAsia="Myriad Pro" w:hAnsi="Arial" w:cs="Arial"/>
                <w:sz w:val="20"/>
                <w:szCs w:val="20"/>
                <w:lang w:val="sq-AL"/>
              </w:rPr>
              <w:t xml:space="preserve"> </w:t>
            </w:r>
          </w:p>
        </w:tc>
      </w:tr>
      <w:tr w:rsidR="00554A2A" w:rsidRPr="001C61AE" w14:paraId="0A42BD5F" w14:textId="77777777" w:rsidTr="008E1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C6E7F6"/>
            <w:vAlign w:val="center"/>
          </w:tcPr>
          <w:p w14:paraId="36CDA514" w14:textId="387EAACD" w:rsidR="00554A2A" w:rsidRPr="001C61AE" w:rsidRDefault="00AC67CE" w:rsidP="00A70686">
            <w:pPr>
              <w:widowControl w:val="0"/>
              <w:autoSpaceDE w:val="0"/>
              <w:autoSpaceDN w:val="0"/>
              <w:spacing w:before="0" w:line="240" w:lineRule="auto"/>
              <w:jc w:val="both"/>
              <w:rPr>
                <w:rFonts w:ascii="Arial" w:hAnsi="Arial" w:cs="Arial"/>
                <w:sz w:val="20"/>
                <w:szCs w:val="20"/>
                <w:lang w:val="sq-AL"/>
              </w:rPr>
            </w:pPr>
            <w:r w:rsidRPr="001C61AE">
              <w:rPr>
                <w:rFonts w:ascii="Arial" w:eastAsia="Myriad Pro" w:hAnsi="Arial" w:cs="Arial"/>
                <w:sz w:val="20"/>
                <w:szCs w:val="20"/>
                <w:lang w:val="sq-AL"/>
              </w:rPr>
              <w:t>II.2</w:t>
            </w:r>
            <w:r w:rsidR="00AD0D94" w:rsidRPr="001C61AE">
              <w:rPr>
                <w:rFonts w:ascii="Arial" w:eastAsia="Myriad Pro" w:hAnsi="Arial" w:cs="Arial"/>
                <w:sz w:val="20"/>
                <w:szCs w:val="20"/>
                <w:lang w:val="sq-AL"/>
              </w:rPr>
              <w:t>4</w:t>
            </w:r>
            <w:r w:rsidR="00554A2A" w:rsidRPr="001C61AE">
              <w:rPr>
                <w:rFonts w:ascii="Arial" w:eastAsia="Myriad Pro" w:hAnsi="Arial" w:cs="Arial"/>
                <w:sz w:val="20"/>
                <w:szCs w:val="20"/>
                <w:lang w:val="sq-AL"/>
              </w:rPr>
              <w:t xml:space="preserve"> </w:t>
            </w:r>
            <w:r w:rsidR="00B10273" w:rsidRPr="001C61AE">
              <w:rPr>
                <w:rFonts w:ascii="Arial" w:eastAsia="Myriad Pro" w:hAnsi="Arial" w:cs="Arial"/>
                <w:sz w:val="20"/>
                <w:szCs w:val="20"/>
                <w:lang w:val="sq-AL"/>
              </w:rPr>
              <w:t>Rinovimi i ndërtesave publike dhe banesore për rritjen e efiçiencës energjetike (izolim, ndriçim dhe ngrohje efiçiente)</w:t>
            </w:r>
          </w:p>
        </w:tc>
      </w:tr>
      <w:tr w:rsidR="00554A2A" w:rsidRPr="001C61AE" w14:paraId="38CE1AA0" w14:textId="77777777" w:rsidTr="00B85011">
        <w:tc>
          <w:tcPr>
            <w:cnfStyle w:val="001000000000" w:firstRow="0" w:lastRow="0" w:firstColumn="1" w:lastColumn="0" w:oddVBand="0" w:evenVBand="0" w:oddHBand="0" w:evenHBand="0" w:firstRowFirstColumn="0" w:firstRowLastColumn="0" w:lastRowFirstColumn="0" w:lastRowLastColumn="0"/>
            <w:tcW w:w="1102" w:type="pct"/>
            <w:vAlign w:val="center"/>
          </w:tcPr>
          <w:p w14:paraId="3D679577" w14:textId="6C5374F8" w:rsidR="00554A2A" w:rsidRPr="001C61AE" w:rsidRDefault="00B10273" w:rsidP="00A70686">
            <w:pPr>
              <w:widowControl w:val="0"/>
              <w:autoSpaceDE w:val="0"/>
              <w:autoSpaceDN w:val="0"/>
              <w:spacing w:before="0" w:line="240" w:lineRule="auto"/>
              <w:jc w:val="center"/>
              <w:rPr>
                <w:rFonts w:ascii="Arial" w:hAnsi="Arial" w:cs="Arial"/>
                <w:sz w:val="20"/>
                <w:szCs w:val="20"/>
                <w:lang w:val="sq-AL"/>
              </w:rPr>
            </w:pPr>
            <w:r w:rsidRPr="001C61AE">
              <w:rPr>
                <w:rFonts w:ascii="Arial" w:hAnsi="Arial" w:cs="Arial"/>
                <w:sz w:val="20"/>
                <w:szCs w:val="20"/>
                <w:lang w:val="sq-AL"/>
              </w:rPr>
              <w:t>Numri i ndërtesave të rinovuara me masa të efikasitetit të energjisë (kumulative).</w:t>
            </w:r>
          </w:p>
        </w:tc>
        <w:tc>
          <w:tcPr>
            <w:tcW w:w="1005" w:type="pct"/>
            <w:gridSpan w:val="3"/>
            <w:vAlign w:val="center"/>
          </w:tcPr>
          <w:p w14:paraId="49DDD9A9" w14:textId="56605C4F" w:rsidR="00554A2A" w:rsidRPr="001C61AE" w:rsidRDefault="00B10273"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Niveli bazë: 100 ndërtesa publike dhe &lt;5% e familjeve kanë pësuar rinovime të konsiderueshme (projekte fillestare të donatorëve).</w:t>
            </w:r>
          </w:p>
        </w:tc>
        <w:tc>
          <w:tcPr>
            <w:tcW w:w="969" w:type="pct"/>
            <w:gridSpan w:val="2"/>
            <w:vAlign w:val="center"/>
          </w:tcPr>
          <w:p w14:paraId="5EF403A8" w14:textId="5CD9B040" w:rsidR="00554A2A" w:rsidRPr="001C61AE" w:rsidRDefault="00B10273"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400 ndërtesa publike të rinovuara; 10% e familjeve të izoluara ose të përmirësuara (nëpërmjet granteve/stimujve).</w:t>
            </w:r>
          </w:p>
        </w:tc>
        <w:tc>
          <w:tcPr>
            <w:tcW w:w="905" w:type="pct"/>
            <w:vAlign w:val="center"/>
          </w:tcPr>
          <w:p w14:paraId="523D2703" w14:textId="54CB2532" w:rsidR="00554A2A" w:rsidRPr="001C61AE" w:rsidRDefault="00B10273"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800 ndërtesa publike; 25% e familjeve me rinovime (programe të mëdha kombëtare të EE-së).</w:t>
            </w:r>
          </w:p>
        </w:tc>
        <w:tc>
          <w:tcPr>
            <w:tcW w:w="1019" w:type="pct"/>
            <w:gridSpan w:val="2"/>
            <w:shd w:val="clear" w:color="auto" w:fill="FFFFFF" w:themeFill="background1"/>
            <w:vAlign w:val="center"/>
          </w:tcPr>
          <w:p w14:paraId="0F0E75E9" w14:textId="696B67C0" w:rsidR="00554A2A" w:rsidRPr="001C61AE" w:rsidRDefault="00B10273"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Të gjitha ndërtesat kryesore publike (~1,200+) të rinovuara; 75% e stokut të banesave të modernizuara për efikasitet (adoptim pothuajse universal i standardeve të EE-së).</w:t>
            </w:r>
          </w:p>
        </w:tc>
      </w:tr>
      <w:tr w:rsidR="00554A2A" w:rsidRPr="001C61AE" w14:paraId="17450DC7" w14:textId="77777777" w:rsidTr="008E1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C6E7F6"/>
            <w:vAlign w:val="center"/>
          </w:tcPr>
          <w:p w14:paraId="55E041B1" w14:textId="6E6B45D9" w:rsidR="00554A2A" w:rsidRPr="001C61AE" w:rsidRDefault="00AC67CE" w:rsidP="00A70686">
            <w:pPr>
              <w:widowControl w:val="0"/>
              <w:autoSpaceDE w:val="0"/>
              <w:autoSpaceDN w:val="0"/>
              <w:spacing w:before="0" w:line="240" w:lineRule="auto"/>
              <w:jc w:val="both"/>
              <w:rPr>
                <w:rFonts w:ascii="Arial" w:hAnsi="Arial" w:cs="Arial"/>
                <w:sz w:val="20"/>
                <w:szCs w:val="20"/>
                <w:lang w:val="sq-AL"/>
              </w:rPr>
            </w:pPr>
            <w:r w:rsidRPr="001C61AE">
              <w:rPr>
                <w:rFonts w:ascii="Arial" w:eastAsia="Myriad Pro" w:hAnsi="Arial" w:cs="Arial"/>
                <w:sz w:val="20"/>
                <w:szCs w:val="20"/>
                <w:lang w:val="sq-AL"/>
              </w:rPr>
              <w:t>II.2</w:t>
            </w:r>
            <w:r w:rsidR="00AD0D94" w:rsidRPr="001C61AE">
              <w:rPr>
                <w:rFonts w:ascii="Arial" w:eastAsia="Myriad Pro" w:hAnsi="Arial" w:cs="Arial"/>
                <w:sz w:val="20"/>
                <w:szCs w:val="20"/>
                <w:lang w:val="sq-AL"/>
              </w:rPr>
              <w:t>5</w:t>
            </w:r>
            <w:r w:rsidR="00554A2A" w:rsidRPr="001C61AE">
              <w:rPr>
                <w:rFonts w:ascii="Arial" w:eastAsia="Myriad Pro" w:hAnsi="Arial" w:cs="Arial"/>
                <w:sz w:val="20"/>
                <w:szCs w:val="20"/>
                <w:lang w:val="sq-AL"/>
              </w:rPr>
              <w:t xml:space="preserve"> </w:t>
            </w:r>
            <w:r w:rsidR="00B10273" w:rsidRPr="001C61AE">
              <w:rPr>
                <w:rFonts w:ascii="Arial" w:hAnsi="Arial" w:cs="Arial"/>
                <w:sz w:val="20"/>
                <w:szCs w:val="20"/>
                <w:lang w:val="sq-AL"/>
              </w:rPr>
              <w:t>Rritja e efiçiencës energjetike në sektorin industrial dhe atë të shërbimeve, duke përfshirë pajisje dhe procese efiçiente</w:t>
            </w:r>
          </w:p>
        </w:tc>
      </w:tr>
      <w:tr w:rsidR="00554A2A" w:rsidRPr="001C61AE" w14:paraId="6EEFA30C" w14:textId="77777777" w:rsidTr="00B85011">
        <w:tc>
          <w:tcPr>
            <w:cnfStyle w:val="001000000000" w:firstRow="0" w:lastRow="0" w:firstColumn="1" w:lastColumn="0" w:oddVBand="0" w:evenVBand="0" w:oddHBand="0" w:evenHBand="0" w:firstRowFirstColumn="0" w:firstRowLastColumn="0" w:lastRowFirstColumn="0" w:lastRowLastColumn="0"/>
            <w:tcW w:w="1102" w:type="pct"/>
            <w:vAlign w:val="center"/>
          </w:tcPr>
          <w:p w14:paraId="4F2E430A" w14:textId="23A707BA" w:rsidR="00554A2A" w:rsidRPr="001C61AE" w:rsidRDefault="00B10273" w:rsidP="00A70686">
            <w:pPr>
              <w:widowControl w:val="0"/>
              <w:autoSpaceDE w:val="0"/>
              <w:autoSpaceDN w:val="0"/>
              <w:spacing w:before="0" w:line="240" w:lineRule="auto"/>
              <w:jc w:val="center"/>
              <w:rPr>
                <w:rFonts w:ascii="Arial" w:hAnsi="Arial" w:cs="Arial"/>
                <w:sz w:val="20"/>
                <w:szCs w:val="20"/>
                <w:lang w:val="sq-AL"/>
              </w:rPr>
            </w:pPr>
            <w:r w:rsidRPr="001C61AE">
              <w:rPr>
                <w:rFonts w:ascii="Arial" w:hAnsi="Arial" w:cs="Arial"/>
                <w:sz w:val="20"/>
                <w:szCs w:val="20"/>
                <w:lang w:val="sq-AL"/>
              </w:rPr>
              <w:t>Intensiteti i energjisë në industri (përdorimi i energjisë për njësi të PBB-së industriale), ose numri i ndërmarrjeve që zbatojnë përmirësime të efikasitetit.</w:t>
            </w:r>
          </w:p>
        </w:tc>
        <w:tc>
          <w:tcPr>
            <w:tcW w:w="1005" w:type="pct"/>
            <w:gridSpan w:val="3"/>
            <w:vAlign w:val="center"/>
          </w:tcPr>
          <w:p w14:paraId="3CCEB5DE" w14:textId="4A836D0F" w:rsidR="00554A2A" w:rsidRPr="001C61AE" w:rsidRDefault="00B10273"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Niveli bazë: Intensitet i lartë i energjisë (p.sh. &gt;300 toe për 1 milion € PBB, që pasqyron pajisje të vjetruara); pak firma (&lt;20) të certifikuara në menaxhimin e energjisë.</w:t>
            </w:r>
          </w:p>
        </w:tc>
        <w:tc>
          <w:tcPr>
            <w:tcW w:w="969" w:type="pct"/>
            <w:gridSpan w:val="2"/>
            <w:vAlign w:val="center"/>
          </w:tcPr>
          <w:p w14:paraId="6123DA51" w14:textId="1C4FF2DD" w:rsidR="00554A2A" w:rsidRPr="001C61AE" w:rsidRDefault="00B10273"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Intensiteti i energjisë i ulur me 10% (krahasuar me vitin 2024); të paktën 50 kompani kanë zbatuar auditime dhe përmirësime të energjisë.</w:t>
            </w:r>
          </w:p>
        </w:tc>
        <w:tc>
          <w:tcPr>
            <w:tcW w:w="905" w:type="pct"/>
            <w:vAlign w:val="center"/>
          </w:tcPr>
          <w:p w14:paraId="377B3902" w14:textId="5EAAE7CA" w:rsidR="00554A2A" w:rsidRPr="001C61AE" w:rsidRDefault="00B10273"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Intensiteti i energjisë i ulur me 20%; &gt;200 kompani me sisteme të certifikuara të menaxhimit të energjisë (ISO 50001 ose të ngjashme).</w:t>
            </w:r>
          </w:p>
        </w:tc>
        <w:tc>
          <w:tcPr>
            <w:tcW w:w="1019" w:type="pct"/>
            <w:gridSpan w:val="2"/>
            <w:shd w:val="clear" w:color="auto" w:fill="FFFFFF" w:themeFill="background1"/>
            <w:vAlign w:val="center"/>
          </w:tcPr>
          <w:p w14:paraId="0D46C491" w14:textId="2574A514" w:rsidR="00554A2A" w:rsidRPr="001C61AE" w:rsidRDefault="00B10273"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 xml:space="preserve">Intensiteti i energjisë i ulur me 40%; teknologji </w:t>
            </w:r>
            <w:r w:rsidR="00AF6C69" w:rsidRPr="001C61AE">
              <w:rPr>
                <w:rFonts w:ascii="Arial" w:hAnsi="Arial" w:cs="Arial"/>
                <w:sz w:val="20"/>
                <w:szCs w:val="20"/>
                <w:lang w:val="sq-AL"/>
              </w:rPr>
              <w:t>efiçiente</w:t>
            </w:r>
            <w:r w:rsidRPr="001C61AE">
              <w:rPr>
                <w:rFonts w:ascii="Arial" w:hAnsi="Arial" w:cs="Arial"/>
                <w:sz w:val="20"/>
                <w:szCs w:val="20"/>
                <w:lang w:val="sq-AL"/>
              </w:rPr>
              <w:t>të kudondodhura në industri (pothuajse eliminimi i pajisjeve që shpenzojnë energji).</w:t>
            </w:r>
          </w:p>
        </w:tc>
      </w:tr>
      <w:tr w:rsidR="00554A2A" w:rsidRPr="001C61AE" w14:paraId="44179F55" w14:textId="77777777" w:rsidTr="008E1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C6E7F6"/>
            <w:vAlign w:val="center"/>
          </w:tcPr>
          <w:p w14:paraId="7A4F0249" w14:textId="24638BB2" w:rsidR="00554A2A" w:rsidRPr="001C61AE" w:rsidRDefault="00AC67CE" w:rsidP="00A70686">
            <w:pPr>
              <w:widowControl w:val="0"/>
              <w:autoSpaceDE w:val="0"/>
              <w:autoSpaceDN w:val="0"/>
              <w:spacing w:before="0" w:line="240" w:lineRule="auto"/>
              <w:jc w:val="both"/>
              <w:rPr>
                <w:rFonts w:ascii="Arial" w:hAnsi="Arial" w:cs="Arial"/>
                <w:sz w:val="20"/>
                <w:szCs w:val="20"/>
                <w:lang w:val="sq-AL"/>
              </w:rPr>
            </w:pPr>
            <w:r w:rsidRPr="001C61AE">
              <w:rPr>
                <w:rFonts w:ascii="Arial" w:hAnsi="Arial" w:cs="Arial"/>
                <w:sz w:val="20"/>
                <w:szCs w:val="20"/>
                <w:lang w:val="sq-AL"/>
              </w:rPr>
              <w:t>II.2</w:t>
            </w:r>
            <w:r w:rsidR="00AD0D94" w:rsidRPr="001C61AE">
              <w:rPr>
                <w:rFonts w:ascii="Arial" w:hAnsi="Arial" w:cs="Arial"/>
                <w:sz w:val="20"/>
                <w:szCs w:val="20"/>
                <w:lang w:val="sq-AL"/>
              </w:rPr>
              <w:t>6</w:t>
            </w:r>
            <w:r w:rsidR="00554A2A" w:rsidRPr="001C61AE">
              <w:rPr>
                <w:rFonts w:ascii="Arial" w:hAnsi="Arial" w:cs="Arial"/>
                <w:sz w:val="20"/>
                <w:szCs w:val="20"/>
                <w:lang w:val="sq-AL"/>
              </w:rPr>
              <w:t xml:space="preserve"> </w:t>
            </w:r>
            <w:r w:rsidR="00B10273" w:rsidRPr="001C61AE">
              <w:rPr>
                <w:rFonts w:ascii="Arial" w:hAnsi="Arial" w:cs="Arial"/>
                <w:sz w:val="20"/>
                <w:szCs w:val="20"/>
                <w:lang w:val="sq-AL"/>
              </w:rPr>
              <w:t>Ulja e humbjeve në transmetimin dhe shpërndarjen e energjisë elektrike përmes përmirësimeve të rrjetit dhe masave kundër vjedhjes së energjisë (Kjo përmirëson efiçiencën dhe besueshmërinë, veçanërisht në kushte të vështira nga moti ekstrem)</w:t>
            </w:r>
          </w:p>
        </w:tc>
      </w:tr>
      <w:tr w:rsidR="00554A2A" w:rsidRPr="001C61AE" w14:paraId="5F0A2FBD" w14:textId="77777777" w:rsidTr="00B85011">
        <w:tc>
          <w:tcPr>
            <w:cnfStyle w:val="001000000000" w:firstRow="0" w:lastRow="0" w:firstColumn="1" w:lastColumn="0" w:oddVBand="0" w:evenVBand="0" w:oddHBand="0" w:evenHBand="0" w:firstRowFirstColumn="0" w:firstRowLastColumn="0" w:lastRowFirstColumn="0" w:lastRowLastColumn="0"/>
            <w:tcW w:w="1102" w:type="pct"/>
            <w:vAlign w:val="center"/>
          </w:tcPr>
          <w:p w14:paraId="5948609C" w14:textId="315FDCD0" w:rsidR="00554A2A" w:rsidRPr="001C61AE" w:rsidRDefault="00DB3776" w:rsidP="00A70686">
            <w:pPr>
              <w:widowControl w:val="0"/>
              <w:autoSpaceDE w:val="0"/>
              <w:autoSpaceDN w:val="0"/>
              <w:spacing w:before="0" w:line="240" w:lineRule="auto"/>
              <w:jc w:val="center"/>
              <w:rPr>
                <w:rFonts w:ascii="Arial" w:hAnsi="Arial" w:cs="Arial"/>
                <w:sz w:val="20"/>
                <w:szCs w:val="20"/>
                <w:lang w:val="sq-AL"/>
              </w:rPr>
            </w:pPr>
            <w:r w:rsidRPr="001C61AE">
              <w:rPr>
                <w:rFonts w:ascii="Arial" w:hAnsi="Arial" w:cs="Arial"/>
                <w:sz w:val="20"/>
                <w:szCs w:val="20"/>
                <w:lang w:val="sq-AL"/>
              </w:rPr>
              <w:t>Humbjet totale të T&amp;D si përqindje e energjisë elektrike të injektuar në rrjet.</w:t>
            </w:r>
          </w:p>
        </w:tc>
        <w:tc>
          <w:tcPr>
            <w:tcW w:w="1005" w:type="pct"/>
            <w:gridSpan w:val="3"/>
            <w:vAlign w:val="center"/>
          </w:tcPr>
          <w:p w14:paraId="48AF2D9E" w14:textId="400D57FA" w:rsidR="00554A2A" w:rsidRPr="001C61AE" w:rsidRDefault="00DB3776"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 xml:space="preserve">24% (humbje shumë të larta në vitin 2024, duke përfshirë humbjet teknike dhe </w:t>
            </w:r>
            <w:r w:rsidRPr="001C61AE">
              <w:rPr>
                <w:rFonts w:ascii="Arial" w:hAnsi="Arial" w:cs="Arial"/>
                <w:sz w:val="20"/>
                <w:szCs w:val="20"/>
                <w:lang w:val="sq-AL"/>
              </w:rPr>
              <w:lastRenderedPageBreak/>
              <w:t>komerciale).</w:t>
            </w:r>
          </w:p>
        </w:tc>
        <w:tc>
          <w:tcPr>
            <w:tcW w:w="969" w:type="pct"/>
            <w:gridSpan w:val="2"/>
            <w:vAlign w:val="center"/>
          </w:tcPr>
          <w:p w14:paraId="0375E44A" w14:textId="77D4FBDA" w:rsidR="00554A2A" w:rsidRPr="001C61AE" w:rsidRDefault="00DB3776"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lastRenderedPageBreak/>
              <w:t xml:space="preserve">≤15% humbje (zbatim i forcuar i ligjit mbi përdorimin e paligjshëm dhe </w:t>
            </w:r>
            <w:r w:rsidRPr="001C61AE">
              <w:rPr>
                <w:rFonts w:ascii="Arial" w:hAnsi="Arial" w:cs="Arial"/>
                <w:sz w:val="20"/>
                <w:szCs w:val="20"/>
                <w:lang w:val="sq-AL"/>
              </w:rPr>
              <w:lastRenderedPageBreak/>
              <w:t>linja të përmirësuara të shpërndarjes).</w:t>
            </w:r>
          </w:p>
        </w:tc>
        <w:tc>
          <w:tcPr>
            <w:tcW w:w="905" w:type="pct"/>
            <w:vAlign w:val="center"/>
          </w:tcPr>
          <w:p w14:paraId="5CC38ED9" w14:textId="0239EA85" w:rsidR="00554A2A" w:rsidRPr="001C61AE" w:rsidRDefault="00DB3776"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lastRenderedPageBreak/>
              <w:t xml:space="preserve">≤10% humbje (duke iu afruar mesatares së BE-së; matësit inteligjentë dhe </w:t>
            </w:r>
            <w:r w:rsidRPr="001C61AE">
              <w:rPr>
                <w:rFonts w:ascii="Arial" w:hAnsi="Arial" w:cs="Arial"/>
                <w:sz w:val="20"/>
                <w:szCs w:val="20"/>
                <w:lang w:val="sq-AL"/>
              </w:rPr>
              <w:lastRenderedPageBreak/>
              <w:t>investimet në rrjet i ulin shumë humbjet teknike).</w:t>
            </w:r>
          </w:p>
        </w:tc>
        <w:tc>
          <w:tcPr>
            <w:tcW w:w="1019" w:type="pct"/>
            <w:gridSpan w:val="2"/>
            <w:shd w:val="clear" w:color="auto" w:fill="FFFFFF" w:themeFill="background1"/>
            <w:vAlign w:val="center"/>
          </w:tcPr>
          <w:p w14:paraId="554BFBDD" w14:textId="28F959C3" w:rsidR="00554A2A" w:rsidRPr="001C61AE" w:rsidRDefault="00DB3776"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lastRenderedPageBreak/>
              <w:t xml:space="preserve">≤5% humbje (rrjet modern me humbje minimale teknike dhe mbrojtje efektive të të </w:t>
            </w:r>
            <w:r w:rsidRPr="001C61AE">
              <w:rPr>
                <w:rFonts w:ascii="Arial" w:hAnsi="Arial" w:cs="Arial"/>
                <w:sz w:val="20"/>
                <w:szCs w:val="20"/>
                <w:lang w:val="sq-AL"/>
              </w:rPr>
              <w:lastRenderedPageBreak/>
              <w:t>ardhurave).</w:t>
            </w:r>
          </w:p>
        </w:tc>
      </w:tr>
      <w:tr w:rsidR="00554A2A" w:rsidRPr="001C61AE" w14:paraId="4E31766D" w14:textId="77777777" w:rsidTr="008E1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C6E7F6"/>
            <w:vAlign w:val="center"/>
          </w:tcPr>
          <w:p w14:paraId="24D6596D" w14:textId="19F2FADE" w:rsidR="00554A2A" w:rsidRPr="001C61AE" w:rsidRDefault="00AC67CE" w:rsidP="00A70686">
            <w:pPr>
              <w:widowControl w:val="0"/>
              <w:autoSpaceDE w:val="0"/>
              <w:autoSpaceDN w:val="0"/>
              <w:spacing w:before="0" w:line="240" w:lineRule="auto"/>
              <w:jc w:val="both"/>
              <w:rPr>
                <w:rFonts w:ascii="Arial" w:hAnsi="Arial" w:cs="Arial"/>
                <w:sz w:val="20"/>
                <w:szCs w:val="20"/>
                <w:lang w:val="sq-AL"/>
              </w:rPr>
            </w:pPr>
            <w:r w:rsidRPr="001C61AE">
              <w:rPr>
                <w:rFonts w:ascii="Arial" w:hAnsi="Arial" w:cs="Arial"/>
                <w:sz w:val="20"/>
                <w:szCs w:val="20"/>
                <w:lang w:val="sq-AL"/>
              </w:rPr>
              <w:lastRenderedPageBreak/>
              <w:t>II.2</w:t>
            </w:r>
            <w:r w:rsidR="00AD0D94" w:rsidRPr="001C61AE">
              <w:rPr>
                <w:rFonts w:ascii="Arial" w:hAnsi="Arial" w:cs="Arial"/>
                <w:sz w:val="20"/>
                <w:szCs w:val="20"/>
                <w:lang w:val="sq-AL"/>
              </w:rPr>
              <w:t>7</w:t>
            </w:r>
            <w:r w:rsidR="00554A2A" w:rsidRPr="001C61AE">
              <w:rPr>
                <w:rFonts w:ascii="Arial" w:hAnsi="Arial" w:cs="Arial"/>
                <w:sz w:val="20"/>
                <w:szCs w:val="20"/>
                <w:lang w:val="sq-AL"/>
              </w:rPr>
              <w:t xml:space="preserve"> </w:t>
            </w:r>
            <w:r w:rsidR="00B10273" w:rsidRPr="001C61AE">
              <w:rPr>
                <w:rFonts w:ascii="Arial" w:hAnsi="Arial" w:cs="Arial"/>
                <w:sz w:val="20"/>
                <w:szCs w:val="20"/>
                <w:lang w:val="sq-AL"/>
              </w:rPr>
              <w:t>Promovimi i sistemeve efiçiente të ngrohjes dhe pajisjeve shtëpiake për të ulur ngarkesën maksimale të energjisë elektrike dhe për të përmirësuar komoditetin gjatë ekstremeve klimatike</w:t>
            </w:r>
          </w:p>
        </w:tc>
      </w:tr>
      <w:tr w:rsidR="00554A2A" w:rsidRPr="001C61AE" w14:paraId="304B9A4D" w14:textId="77777777" w:rsidTr="00B85011">
        <w:tc>
          <w:tcPr>
            <w:cnfStyle w:val="001000000000" w:firstRow="0" w:lastRow="0" w:firstColumn="1" w:lastColumn="0" w:oddVBand="0" w:evenVBand="0" w:oddHBand="0" w:evenHBand="0" w:firstRowFirstColumn="0" w:firstRowLastColumn="0" w:lastRowFirstColumn="0" w:lastRowLastColumn="0"/>
            <w:tcW w:w="1102" w:type="pct"/>
            <w:vAlign w:val="center"/>
          </w:tcPr>
          <w:p w14:paraId="5A99068B" w14:textId="06EDBF78" w:rsidR="00554A2A" w:rsidRPr="001C61AE" w:rsidRDefault="00DB3776" w:rsidP="00A70686">
            <w:pPr>
              <w:widowControl w:val="0"/>
              <w:autoSpaceDE w:val="0"/>
              <w:autoSpaceDN w:val="0"/>
              <w:spacing w:before="0" w:line="240" w:lineRule="auto"/>
              <w:jc w:val="center"/>
              <w:rPr>
                <w:rFonts w:ascii="Arial" w:hAnsi="Arial" w:cs="Arial"/>
                <w:sz w:val="20"/>
                <w:szCs w:val="20"/>
                <w:lang w:val="sq-AL"/>
              </w:rPr>
            </w:pPr>
            <w:r w:rsidRPr="001C61AE">
              <w:rPr>
                <w:rFonts w:ascii="Arial" w:hAnsi="Arial" w:cs="Arial"/>
                <w:sz w:val="20"/>
                <w:szCs w:val="20"/>
                <w:lang w:val="sq-AL"/>
              </w:rPr>
              <w:t xml:space="preserve">Përqindja e familjeve që përdorin sisteme ngrohjeje </w:t>
            </w:r>
            <w:r w:rsidR="00AF6C69" w:rsidRPr="001C61AE">
              <w:rPr>
                <w:rFonts w:ascii="Arial" w:hAnsi="Arial" w:cs="Arial"/>
                <w:sz w:val="20"/>
                <w:szCs w:val="20"/>
                <w:lang w:val="sq-AL"/>
              </w:rPr>
              <w:t>efiçiente</w:t>
            </w:r>
            <w:r w:rsidRPr="001C61AE">
              <w:rPr>
                <w:rFonts w:ascii="Arial" w:hAnsi="Arial" w:cs="Arial"/>
                <w:sz w:val="20"/>
                <w:szCs w:val="20"/>
                <w:lang w:val="sq-AL"/>
              </w:rPr>
              <w:t>(pompa nxehtësie, biomasë moderne, ngrohje qendrore) në vend të sobave joefikase; dhe pjesa e tregut të pajisjeve me efikasitet të lartë (të vlerësuara A++ ose më mirë).</w:t>
            </w:r>
          </w:p>
        </w:tc>
        <w:tc>
          <w:tcPr>
            <w:tcW w:w="1005" w:type="pct"/>
            <w:gridSpan w:val="3"/>
            <w:vAlign w:val="center"/>
          </w:tcPr>
          <w:p w14:paraId="3B9CDF42" w14:textId="7AD46E98" w:rsidR="00554A2A" w:rsidRPr="001C61AE" w:rsidRDefault="00DB3776"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 xml:space="preserve">Niveli bazë: ~10% e familjeve përdorin ngrohje </w:t>
            </w:r>
            <w:r w:rsidR="00AF6C69" w:rsidRPr="001C61AE">
              <w:rPr>
                <w:rFonts w:ascii="Arial" w:hAnsi="Arial" w:cs="Arial"/>
                <w:sz w:val="20"/>
                <w:szCs w:val="20"/>
                <w:lang w:val="sq-AL"/>
              </w:rPr>
              <w:t>efiçiente</w:t>
            </w:r>
            <w:r w:rsidRPr="001C61AE">
              <w:rPr>
                <w:rFonts w:ascii="Arial" w:hAnsi="Arial" w:cs="Arial"/>
                <w:sz w:val="20"/>
                <w:szCs w:val="20"/>
                <w:lang w:val="sq-AL"/>
              </w:rPr>
              <w:t>(kryesisht në qytete me ngrohje qendrore ose pompa të reja nxehtësie); soba jo</w:t>
            </w:r>
            <w:r w:rsidR="00AF6C69" w:rsidRPr="001C61AE">
              <w:rPr>
                <w:rFonts w:ascii="Arial" w:hAnsi="Arial" w:cs="Arial"/>
                <w:sz w:val="20"/>
                <w:szCs w:val="20"/>
                <w:lang w:val="sq-AL"/>
              </w:rPr>
              <w:t>efiçiente</w:t>
            </w:r>
            <w:r w:rsidRPr="001C61AE">
              <w:rPr>
                <w:rFonts w:ascii="Arial" w:hAnsi="Arial" w:cs="Arial"/>
                <w:sz w:val="20"/>
                <w:szCs w:val="20"/>
                <w:lang w:val="sq-AL"/>
              </w:rPr>
              <w:t>me dru/qymyr të përhapura në zonat rurale.</w:t>
            </w:r>
          </w:p>
        </w:tc>
        <w:tc>
          <w:tcPr>
            <w:tcW w:w="969" w:type="pct"/>
            <w:gridSpan w:val="2"/>
            <w:vAlign w:val="center"/>
          </w:tcPr>
          <w:p w14:paraId="0C2DBBE0" w14:textId="5E45F3B3" w:rsidR="00554A2A" w:rsidRPr="001C61AE" w:rsidRDefault="00DB3776"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25% e familjeve me ngrohje moderne; Standardet minimale të efikasitetit janë në fuqi për pajisjet (p.sh. frigoriferë, kondicionerë).</w:t>
            </w:r>
          </w:p>
        </w:tc>
        <w:tc>
          <w:tcPr>
            <w:tcW w:w="905" w:type="pct"/>
            <w:vAlign w:val="center"/>
          </w:tcPr>
          <w:p w14:paraId="518D2C22" w14:textId="42A3C956" w:rsidR="00554A2A" w:rsidRPr="001C61AE" w:rsidRDefault="00DB3776"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 xml:space="preserve">50% e familjeve me ngrohje/ftohje </w:t>
            </w:r>
            <w:r w:rsidR="00AF6C69" w:rsidRPr="001C61AE">
              <w:rPr>
                <w:rFonts w:ascii="Arial" w:hAnsi="Arial" w:cs="Arial"/>
                <w:sz w:val="20"/>
                <w:szCs w:val="20"/>
                <w:lang w:val="sq-AL"/>
              </w:rPr>
              <w:t>efiçiente</w:t>
            </w:r>
            <w:r w:rsidRPr="001C61AE">
              <w:rPr>
                <w:rFonts w:ascii="Arial" w:hAnsi="Arial" w:cs="Arial"/>
                <w:sz w:val="20"/>
                <w:szCs w:val="20"/>
                <w:lang w:val="sq-AL"/>
              </w:rPr>
              <w:t>(përdorimi i pompave të nxehtësisë është i përhapur); Pothuajse të gjitha pajisjet e reja të shitura janë modele me efikasitet të lartë për shkak të standardeve dhe stimujve.</w:t>
            </w:r>
          </w:p>
        </w:tc>
        <w:tc>
          <w:tcPr>
            <w:tcW w:w="1019" w:type="pct"/>
            <w:gridSpan w:val="2"/>
            <w:shd w:val="clear" w:color="auto" w:fill="FFFFFF" w:themeFill="background1"/>
            <w:vAlign w:val="center"/>
          </w:tcPr>
          <w:p w14:paraId="2FE2F130" w14:textId="788CC748" w:rsidR="00554A2A" w:rsidRPr="001C61AE" w:rsidRDefault="00DB3776"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 xml:space="preserve">90%+ e familjeve me ngrohje </w:t>
            </w:r>
            <w:r w:rsidR="00AF6C69" w:rsidRPr="001C61AE">
              <w:rPr>
                <w:rFonts w:ascii="Arial" w:hAnsi="Arial" w:cs="Arial"/>
                <w:sz w:val="20"/>
                <w:szCs w:val="20"/>
                <w:lang w:val="sq-AL"/>
              </w:rPr>
              <w:t>efiçiente</w:t>
            </w:r>
            <w:r w:rsidRPr="001C61AE">
              <w:rPr>
                <w:rFonts w:ascii="Arial" w:hAnsi="Arial" w:cs="Arial"/>
                <w:sz w:val="20"/>
                <w:szCs w:val="20"/>
                <w:lang w:val="sq-AL"/>
              </w:rPr>
              <w:t>me karbon të ulët (pompat elektrike të nxehtësisë, sistemet diellore termike, etj., dominojnë); Pajisjet e trashëguara jo</w:t>
            </w:r>
            <w:r w:rsidR="00AF6C69" w:rsidRPr="001C61AE">
              <w:rPr>
                <w:rFonts w:ascii="Arial" w:hAnsi="Arial" w:cs="Arial"/>
                <w:sz w:val="20"/>
                <w:szCs w:val="20"/>
                <w:lang w:val="sq-AL"/>
              </w:rPr>
              <w:t>efiçiente</w:t>
            </w:r>
            <w:r w:rsidRPr="001C61AE">
              <w:rPr>
                <w:rFonts w:ascii="Arial" w:hAnsi="Arial" w:cs="Arial"/>
                <w:sz w:val="20"/>
                <w:szCs w:val="20"/>
                <w:lang w:val="sq-AL"/>
              </w:rPr>
              <w:t>janë hequr gjerësisht.</w:t>
            </w:r>
          </w:p>
        </w:tc>
      </w:tr>
    </w:tbl>
    <w:p w14:paraId="41BE25C0" w14:textId="77777777" w:rsidR="000D7628" w:rsidRPr="001C61AE" w:rsidRDefault="000D7628" w:rsidP="000D7628">
      <w:pPr>
        <w:rPr>
          <w:rFonts w:ascii="Arial" w:hAnsi="Arial" w:cs="Arial"/>
          <w:lang w:val="sq-AL"/>
        </w:rPr>
      </w:pPr>
    </w:p>
    <w:p w14:paraId="1115B03C" w14:textId="77777777" w:rsidR="000D7628" w:rsidRPr="001C61AE" w:rsidRDefault="000D7628" w:rsidP="000D7628">
      <w:pPr>
        <w:rPr>
          <w:rFonts w:ascii="Arial" w:hAnsi="Arial" w:cs="Arial"/>
          <w:lang w:val="sq-AL"/>
        </w:rPr>
      </w:pPr>
    </w:p>
    <w:p w14:paraId="2F154D69" w14:textId="77777777" w:rsidR="000D7628" w:rsidRPr="001C61AE" w:rsidRDefault="000D7628" w:rsidP="000D7628">
      <w:pPr>
        <w:rPr>
          <w:rFonts w:ascii="Arial" w:hAnsi="Arial" w:cs="Arial"/>
          <w:lang w:val="sq-AL"/>
        </w:rPr>
      </w:pPr>
    </w:p>
    <w:p w14:paraId="7F24E9F4" w14:textId="77777777" w:rsidR="000D7628" w:rsidRPr="001C61AE" w:rsidRDefault="000D7628" w:rsidP="000D7628">
      <w:pPr>
        <w:rPr>
          <w:rFonts w:ascii="Arial" w:hAnsi="Arial" w:cs="Arial"/>
          <w:lang w:val="sq-AL"/>
        </w:rPr>
      </w:pPr>
    </w:p>
    <w:p w14:paraId="3F768F86" w14:textId="77777777" w:rsidR="000D7628" w:rsidRPr="001C61AE" w:rsidRDefault="000D7628" w:rsidP="000D7628">
      <w:pPr>
        <w:rPr>
          <w:rFonts w:ascii="Arial" w:hAnsi="Arial" w:cs="Arial"/>
          <w:lang w:val="sq-AL"/>
        </w:rPr>
      </w:pPr>
    </w:p>
    <w:p w14:paraId="6DB3E1BA" w14:textId="77777777" w:rsidR="000D7628" w:rsidRPr="001C61AE" w:rsidRDefault="000D7628" w:rsidP="000D7628">
      <w:pPr>
        <w:rPr>
          <w:rFonts w:ascii="Arial" w:hAnsi="Arial" w:cs="Arial"/>
          <w:lang w:val="sq-AL"/>
        </w:rPr>
      </w:pPr>
    </w:p>
    <w:p w14:paraId="47345955" w14:textId="77777777" w:rsidR="000D7628" w:rsidRPr="001C61AE" w:rsidRDefault="000D7628" w:rsidP="000D7628">
      <w:pPr>
        <w:rPr>
          <w:rFonts w:ascii="Arial" w:hAnsi="Arial" w:cs="Arial"/>
          <w:lang w:val="sq-AL"/>
        </w:rPr>
      </w:pPr>
    </w:p>
    <w:p w14:paraId="19725AB0" w14:textId="77777777" w:rsidR="000D7628" w:rsidRPr="001C61AE" w:rsidRDefault="000D7628" w:rsidP="000D7628">
      <w:pPr>
        <w:rPr>
          <w:rFonts w:ascii="Arial" w:hAnsi="Arial" w:cs="Arial"/>
          <w:lang w:val="sq-AL"/>
        </w:rPr>
      </w:pPr>
    </w:p>
    <w:p w14:paraId="7FA45607" w14:textId="77777777" w:rsidR="000D7628" w:rsidRPr="001C61AE" w:rsidRDefault="000D7628" w:rsidP="000D7628">
      <w:pPr>
        <w:rPr>
          <w:rFonts w:ascii="Arial" w:hAnsi="Arial" w:cs="Arial"/>
          <w:lang w:val="sq-AL"/>
        </w:rPr>
      </w:pPr>
    </w:p>
    <w:p w14:paraId="7FD57748" w14:textId="77777777" w:rsidR="000D7628" w:rsidRPr="001C61AE" w:rsidRDefault="000D7628" w:rsidP="000D7628">
      <w:pPr>
        <w:rPr>
          <w:rFonts w:ascii="Arial" w:hAnsi="Arial" w:cs="Arial"/>
          <w:lang w:val="sq-AL"/>
        </w:rPr>
      </w:pPr>
    </w:p>
    <w:p w14:paraId="497F287E" w14:textId="77777777" w:rsidR="000D7628" w:rsidRPr="001C61AE" w:rsidRDefault="000D7628" w:rsidP="00B15518">
      <w:pPr>
        <w:rPr>
          <w:rFonts w:ascii="Arial" w:hAnsi="Arial" w:cs="Arial"/>
          <w:lang w:val="sq-AL"/>
        </w:rPr>
      </w:pPr>
    </w:p>
    <w:p w14:paraId="2C4890E2" w14:textId="77777777" w:rsidR="00B15518" w:rsidRPr="001C61AE" w:rsidRDefault="00B15518" w:rsidP="000D7628">
      <w:pPr>
        <w:rPr>
          <w:rFonts w:ascii="Arial" w:hAnsi="Arial" w:cs="Arial"/>
          <w:lang w:val="sq-AL"/>
        </w:rPr>
      </w:pPr>
    </w:p>
    <w:p w14:paraId="111B40BF" w14:textId="77777777" w:rsidR="000D7628" w:rsidRDefault="000D7628" w:rsidP="000D7628">
      <w:pPr>
        <w:rPr>
          <w:rFonts w:ascii="Arial" w:hAnsi="Arial" w:cs="Arial"/>
          <w:lang w:val="sq-AL"/>
        </w:rPr>
      </w:pPr>
    </w:p>
    <w:p w14:paraId="11CC0B70" w14:textId="77777777" w:rsidR="00FB1067" w:rsidRDefault="00FB1067" w:rsidP="000D7628">
      <w:pPr>
        <w:rPr>
          <w:rFonts w:ascii="Arial" w:hAnsi="Arial" w:cs="Arial"/>
          <w:lang w:val="sq-AL"/>
        </w:rPr>
      </w:pPr>
    </w:p>
    <w:p w14:paraId="269BF668" w14:textId="77777777" w:rsidR="00FB1067" w:rsidRDefault="00FB1067" w:rsidP="000D7628">
      <w:pPr>
        <w:rPr>
          <w:rFonts w:ascii="Arial" w:hAnsi="Arial" w:cs="Arial"/>
          <w:lang w:val="sq-AL"/>
        </w:rPr>
      </w:pPr>
    </w:p>
    <w:p w14:paraId="2A3C12FF" w14:textId="77777777" w:rsidR="00FB1067" w:rsidRDefault="00FB1067" w:rsidP="000D7628">
      <w:pPr>
        <w:rPr>
          <w:rFonts w:ascii="Arial" w:hAnsi="Arial" w:cs="Arial"/>
          <w:lang w:val="sq-AL"/>
        </w:rPr>
      </w:pPr>
    </w:p>
    <w:p w14:paraId="01E4A778" w14:textId="77777777" w:rsidR="00FB1067" w:rsidRPr="001C61AE" w:rsidRDefault="00FB1067" w:rsidP="000D7628">
      <w:pPr>
        <w:rPr>
          <w:rFonts w:ascii="Arial" w:hAnsi="Arial" w:cs="Arial"/>
          <w:lang w:val="sq-AL"/>
        </w:rPr>
      </w:pPr>
    </w:p>
    <w:p w14:paraId="3094E9FC" w14:textId="77777777" w:rsidR="000D7628" w:rsidRPr="001C61AE" w:rsidRDefault="000D7628" w:rsidP="004C6E93">
      <w:pPr>
        <w:rPr>
          <w:rFonts w:ascii="Arial" w:hAnsi="Arial" w:cs="Arial"/>
          <w:lang w:val="sq-AL"/>
        </w:rPr>
      </w:pPr>
    </w:p>
    <w:p w14:paraId="123919AE" w14:textId="1816E78F" w:rsidR="001D4FA1" w:rsidRPr="001C61AE" w:rsidRDefault="00DB3776" w:rsidP="001C61AE">
      <w:pPr>
        <w:pStyle w:val="Heading3"/>
        <w:rPr>
          <w:rFonts w:ascii="Arial" w:hAnsi="Arial" w:cs="Arial"/>
          <w:lang w:val="sq-AL"/>
        </w:rPr>
      </w:pPr>
      <w:bookmarkStart w:id="103" w:name="_Toc211532720"/>
      <w:r w:rsidRPr="001C61AE">
        <w:rPr>
          <w:rFonts w:ascii="Arial" w:hAnsi="Arial" w:cs="Arial"/>
          <w:lang w:val="sq-AL"/>
        </w:rPr>
        <w:lastRenderedPageBreak/>
        <w:t>Përshtatja e Sektorit të Bujqësisë dhe Pylltarisë</w:t>
      </w:r>
      <w:bookmarkEnd w:id="103"/>
    </w:p>
    <w:tbl>
      <w:tblPr>
        <w:tblStyle w:val="PlainTable1"/>
        <w:tblW w:w="5000" w:type="pct"/>
        <w:tblBorders>
          <w:top w:val="single" w:sz="4" w:space="0" w:color="0F4761"/>
          <w:left w:val="single" w:sz="4" w:space="0" w:color="0F4761"/>
          <w:bottom w:val="single" w:sz="4" w:space="0" w:color="0F4761"/>
          <w:right w:val="single" w:sz="4" w:space="0" w:color="0F4761"/>
          <w:insideH w:val="single" w:sz="4" w:space="0" w:color="0F4761"/>
          <w:insideV w:val="single" w:sz="4" w:space="0" w:color="0F4761"/>
        </w:tblBorders>
        <w:tblLook w:val="04A0" w:firstRow="1" w:lastRow="0" w:firstColumn="1" w:lastColumn="0" w:noHBand="0" w:noVBand="1"/>
      </w:tblPr>
      <w:tblGrid>
        <w:gridCol w:w="1916"/>
        <w:gridCol w:w="2112"/>
        <w:gridCol w:w="2056"/>
        <w:gridCol w:w="2056"/>
        <w:gridCol w:w="2056"/>
      </w:tblGrid>
      <w:tr w:rsidR="00D77F2A" w:rsidRPr="001C61AE" w14:paraId="41B1A557" w14:textId="77777777" w:rsidTr="008E17FD">
        <w:trPr>
          <w:cnfStyle w:val="100000000000" w:firstRow="1" w:lastRow="0" w:firstColumn="0" w:lastColumn="0" w:oddVBand="0" w:evenVBand="0" w:oddHBand="0" w:evenHBand="0" w:firstRowFirstColumn="0" w:firstRowLastColumn="0" w:lastRowFirstColumn="0" w:lastRowLastColumn="0"/>
          <w:trHeight w:val="737"/>
          <w:tblHeader/>
        </w:trPr>
        <w:tc>
          <w:tcPr>
            <w:cnfStyle w:val="001000000000" w:firstRow="0" w:lastRow="0" w:firstColumn="1" w:lastColumn="0" w:oddVBand="0" w:evenVBand="0" w:oddHBand="0" w:evenHBand="0" w:firstRowFirstColumn="0" w:firstRowLastColumn="0" w:lastRowFirstColumn="0" w:lastRowLastColumn="0"/>
            <w:tcW w:w="940" w:type="pct"/>
            <w:shd w:val="clear" w:color="auto" w:fill="22635D"/>
            <w:vAlign w:val="center"/>
            <w:hideMark/>
          </w:tcPr>
          <w:p w14:paraId="03D6EF5A" w14:textId="09E7B786" w:rsidR="00344E35" w:rsidRPr="001C61AE" w:rsidRDefault="00344E35" w:rsidP="00344E35">
            <w:pPr>
              <w:spacing w:before="0" w:line="240" w:lineRule="auto"/>
              <w:jc w:val="center"/>
              <w:rPr>
                <w:rFonts w:ascii="Arial" w:eastAsia="Myriad Pro" w:hAnsi="Arial" w:cs="Arial"/>
                <w:color w:val="FFFFFF" w:themeColor="background1"/>
                <w:sz w:val="20"/>
                <w:szCs w:val="20"/>
                <w:lang w:val="sq-AL"/>
              </w:rPr>
            </w:pPr>
            <w:r w:rsidRPr="001C61AE">
              <w:rPr>
                <w:rFonts w:ascii="Arial" w:eastAsia="Myriad Pro" w:hAnsi="Arial" w:cs="Arial"/>
                <w:color w:val="FFFFFF" w:themeColor="background1"/>
                <w:sz w:val="20"/>
                <w:szCs w:val="20"/>
                <w:lang w:val="sq-AL"/>
              </w:rPr>
              <w:t>Treguesit për Objektivat Specifike</w:t>
            </w:r>
          </w:p>
        </w:tc>
        <w:tc>
          <w:tcPr>
            <w:tcW w:w="1036" w:type="pct"/>
            <w:shd w:val="clear" w:color="auto" w:fill="22635D"/>
            <w:vAlign w:val="center"/>
            <w:hideMark/>
          </w:tcPr>
          <w:p w14:paraId="67A8FA2D" w14:textId="372DB643" w:rsidR="00344E35" w:rsidRPr="001C61AE" w:rsidRDefault="00344E35" w:rsidP="00344E3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Myriad Pro" w:hAnsi="Arial" w:cs="Arial"/>
                <w:color w:val="FFFFFF" w:themeColor="background1"/>
                <w:sz w:val="20"/>
                <w:szCs w:val="20"/>
                <w:lang w:val="sq-AL"/>
              </w:rPr>
            </w:pPr>
            <w:r w:rsidRPr="001C61AE">
              <w:rPr>
                <w:rFonts w:ascii="Arial" w:hAnsi="Arial" w:cs="Arial"/>
                <w:color w:val="FFFFFF" w:themeColor="background1"/>
                <w:sz w:val="20"/>
                <w:szCs w:val="20"/>
                <w:lang w:val="sq-AL"/>
              </w:rPr>
              <w:t>Baza fillestare (2025)</w:t>
            </w:r>
          </w:p>
        </w:tc>
        <w:tc>
          <w:tcPr>
            <w:tcW w:w="1008" w:type="pct"/>
            <w:shd w:val="clear" w:color="auto" w:fill="22635D"/>
            <w:vAlign w:val="center"/>
            <w:hideMark/>
          </w:tcPr>
          <w:p w14:paraId="5892902D" w14:textId="70FC0FFB" w:rsidR="00344E35" w:rsidRPr="001C61AE" w:rsidRDefault="005D67E7" w:rsidP="00344E3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Myriad Pro" w:hAnsi="Arial" w:cs="Arial"/>
                <w:color w:val="FFFFFF" w:themeColor="background1"/>
                <w:sz w:val="20"/>
                <w:szCs w:val="20"/>
                <w:lang w:val="sq-AL"/>
              </w:rPr>
            </w:pPr>
            <w:r w:rsidRPr="001C61AE">
              <w:rPr>
                <w:rFonts w:ascii="Arial" w:hAnsi="Arial" w:cs="Arial"/>
                <w:color w:val="FFFFFF" w:themeColor="background1"/>
                <w:sz w:val="20"/>
                <w:szCs w:val="20"/>
                <w:lang w:val="sq-AL"/>
              </w:rPr>
              <w:t xml:space="preserve">Caku </w:t>
            </w:r>
            <w:r w:rsidR="00344E35" w:rsidRPr="001C61AE">
              <w:rPr>
                <w:rFonts w:ascii="Arial" w:hAnsi="Arial" w:cs="Arial"/>
                <w:color w:val="FFFFFF" w:themeColor="background1"/>
                <w:sz w:val="20"/>
                <w:szCs w:val="20"/>
                <w:lang w:val="sq-AL"/>
              </w:rPr>
              <w:t>2027 (afatshkurtër)</w:t>
            </w:r>
          </w:p>
        </w:tc>
        <w:tc>
          <w:tcPr>
            <w:tcW w:w="1008" w:type="pct"/>
            <w:shd w:val="clear" w:color="auto" w:fill="22635D"/>
            <w:vAlign w:val="center"/>
            <w:hideMark/>
          </w:tcPr>
          <w:p w14:paraId="09B1E38B" w14:textId="7CDBC250" w:rsidR="00344E35" w:rsidRPr="001C61AE" w:rsidRDefault="005D67E7" w:rsidP="00344E3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Myriad Pro" w:hAnsi="Arial" w:cs="Arial"/>
                <w:color w:val="FFFFFF" w:themeColor="background1"/>
                <w:sz w:val="20"/>
                <w:szCs w:val="20"/>
                <w:lang w:val="sq-AL"/>
              </w:rPr>
            </w:pPr>
            <w:r w:rsidRPr="001C61AE">
              <w:rPr>
                <w:rFonts w:ascii="Arial" w:hAnsi="Arial" w:cs="Arial"/>
                <w:color w:val="FFFFFF" w:themeColor="background1"/>
                <w:sz w:val="20"/>
                <w:szCs w:val="20"/>
                <w:lang w:val="sq-AL"/>
              </w:rPr>
              <w:t xml:space="preserve">Caku </w:t>
            </w:r>
            <w:r w:rsidR="00344E35" w:rsidRPr="001C61AE">
              <w:rPr>
                <w:rFonts w:ascii="Arial" w:hAnsi="Arial" w:cs="Arial"/>
                <w:color w:val="FFFFFF" w:themeColor="background1"/>
                <w:sz w:val="20"/>
                <w:szCs w:val="20"/>
                <w:lang w:val="sq-AL"/>
              </w:rPr>
              <w:t>2030 (afatmesëm)</w:t>
            </w:r>
          </w:p>
        </w:tc>
        <w:tc>
          <w:tcPr>
            <w:tcW w:w="1008" w:type="pct"/>
            <w:shd w:val="clear" w:color="auto" w:fill="22635D"/>
            <w:vAlign w:val="center"/>
          </w:tcPr>
          <w:p w14:paraId="08731322" w14:textId="21FED878" w:rsidR="00344E35" w:rsidRPr="001C61AE" w:rsidRDefault="005D67E7" w:rsidP="00344E3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Myriad Pro" w:hAnsi="Arial" w:cs="Arial"/>
                <w:color w:val="FFFFFF" w:themeColor="background1"/>
                <w:sz w:val="20"/>
                <w:szCs w:val="20"/>
                <w:lang w:val="sq-AL"/>
              </w:rPr>
            </w:pPr>
            <w:r w:rsidRPr="001C61AE">
              <w:rPr>
                <w:rFonts w:ascii="Arial" w:hAnsi="Arial" w:cs="Arial"/>
                <w:color w:val="FFFFFF" w:themeColor="background1"/>
                <w:sz w:val="20"/>
                <w:szCs w:val="20"/>
                <w:lang w:val="sq-AL"/>
              </w:rPr>
              <w:t xml:space="preserve">Caku </w:t>
            </w:r>
            <w:r w:rsidR="00344E35" w:rsidRPr="001C61AE">
              <w:rPr>
                <w:rFonts w:ascii="Arial" w:hAnsi="Arial" w:cs="Arial"/>
                <w:color w:val="FFFFFF" w:themeColor="background1"/>
                <w:sz w:val="20"/>
                <w:szCs w:val="20"/>
                <w:lang w:val="sq-AL"/>
              </w:rPr>
              <w:t>2040 (afatgjatë)</w:t>
            </w:r>
          </w:p>
        </w:tc>
      </w:tr>
      <w:tr w:rsidR="00554A2A" w:rsidRPr="001C61AE" w14:paraId="220A0502" w14:textId="77777777" w:rsidTr="008E17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0F4761"/>
            <w:vAlign w:val="center"/>
          </w:tcPr>
          <w:p w14:paraId="5720D7F7" w14:textId="66883DA6" w:rsidR="00554A2A" w:rsidRPr="001C61AE" w:rsidRDefault="0040465B" w:rsidP="00A70686">
            <w:pPr>
              <w:spacing w:before="0"/>
              <w:jc w:val="center"/>
              <w:rPr>
                <w:rFonts w:ascii="Arial" w:eastAsia="Times New Roman" w:hAnsi="Arial" w:cs="Arial"/>
                <w:b w:val="0"/>
                <w:bCs w:val="0"/>
                <w:kern w:val="0"/>
                <w:sz w:val="20"/>
                <w:szCs w:val="20"/>
                <w:lang w:val="sq-AL" w:eastAsia="es-ES"/>
                <w14:ligatures w14:val="none"/>
              </w:rPr>
            </w:pPr>
            <w:r w:rsidRPr="001C61AE">
              <w:rPr>
                <w:rFonts w:ascii="Arial" w:eastAsia="Myriad Pro" w:hAnsi="Arial" w:cs="Arial"/>
                <w:sz w:val="20"/>
                <w:szCs w:val="20"/>
                <w:lang w:val="sq-AL"/>
              </w:rPr>
              <w:t>Prioriteti kyç për përshtatje</w:t>
            </w:r>
            <w:r w:rsidR="00554A2A" w:rsidRPr="001C61AE">
              <w:rPr>
                <w:rFonts w:ascii="Arial" w:eastAsia="Myriad Pro" w:hAnsi="Arial" w:cs="Arial"/>
                <w:sz w:val="20"/>
                <w:szCs w:val="20"/>
                <w:lang w:val="sq-AL"/>
              </w:rPr>
              <w:t>:</w:t>
            </w:r>
            <w:r w:rsidR="00AD0D94" w:rsidRPr="001C61AE">
              <w:rPr>
                <w:rFonts w:ascii="Arial" w:hAnsi="Arial" w:cs="Arial"/>
              </w:rPr>
              <w:t xml:space="preserve"> </w:t>
            </w:r>
            <w:r w:rsidR="00AD0D94" w:rsidRPr="001C61AE">
              <w:rPr>
                <w:rFonts w:ascii="Arial" w:eastAsia="Myriad Pro" w:hAnsi="Arial" w:cs="Arial"/>
                <w:sz w:val="20"/>
                <w:szCs w:val="20"/>
                <w:lang w:val="sq-AL"/>
              </w:rPr>
              <w:t>Praktika bujqësore që lejojnë përshtatje ndaj ndryshimit të klimës</w:t>
            </w:r>
          </w:p>
        </w:tc>
      </w:tr>
      <w:tr w:rsidR="00554A2A" w:rsidRPr="001C61AE" w14:paraId="3CC32B5B" w14:textId="77777777" w:rsidTr="008E17FD">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756EF53D" w14:textId="13B1F548" w:rsidR="00554A2A" w:rsidRPr="001C61AE" w:rsidRDefault="00AC67CE" w:rsidP="00A70686">
            <w:pPr>
              <w:spacing w:before="0" w:line="240" w:lineRule="auto"/>
              <w:jc w:val="both"/>
              <w:rPr>
                <w:rFonts w:ascii="Arial" w:eastAsia="Myriad Pro" w:hAnsi="Arial" w:cs="Arial"/>
                <w:sz w:val="20"/>
                <w:szCs w:val="20"/>
                <w:lang w:val="sq-AL"/>
              </w:rPr>
            </w:pPr>
            <w:r w:rsidRPr="001C61AE">
              <w:rPr>
                <w:rFonts w:ascii="Arial" w:hAnsi="Arial" w:cs="Arial"/>
                <w:sz w:val="20"/>
                <w:szCs w:val="20"/>
                <w:lang w:val="sq-AL"/>
              </w:rPr>
              <w:t>III</w:t>
            </w:r>
            <w:r w:rsidR="00554A2A" w:rsidRPr="001C61AE">
              <w:rPr>
                <w:rFonts w:ascii="Arial" w:hAnsi="Arial" w:cs="Arial"/>
                <w:sz w:val="20"/>
                <w:szCs w:val="20"/>
                <w:lang w:val="sq-AL"/>
              </w:rPr>
              <w:t>.</w:t>
            </w:r>
            <w:r w:rsidRPr="001C61AE">
              <w:rPr>
                <w:rFonts w:ascii="Arial" w:hAnsi="Arial" w:cs="Arial"/>
                <w:sz w:val="20"/>
                <w:szCs w:val="20"/>
                <w:lang w:val="sq-AL"/>
              </w:rPr>
              <w:t>2</w:t>
            </w:r>
            <w:r w:rsidR="00AD0D94" w:rsidRPr="001C61AE">
              <w:rPr>
                <w:rFonts w:ascii="Arial" w:hAnsi="Arial" w:cs="Arial"/>
                <w:sz w:val="20"/>
                <w:szCs w:val="20"/>
                <w:lang w:val="sq-AL"/>
              </w:rPr>
              <w:t>8</w:t>
            </w:r>
            <w:r w:rsidR="00554A2A" w:rsidRPr="001C61AE">
              <w:rPr>
                <w:rFonts w:ascii="Arial" w:hAnsi="Arial" w:cs="Arial"/>
                <w:sz w:val="20"/>
                <w:szCs w:val="20"/>
                <w:lang w:val="sq-AL"/>
              </w:rPr>
              <w:t xml:space="preserve"> </w:t>
            </w:r>
            <w:r w:rsidR="009E5186" w:rsidRPr="001C61AE">
              <w:rPr>
                <w:rFonts w:ascii="Arial" w:eastAsia="Myriad Pro" w:hAnsi="Arial" w:cs="Arial"/>
                <w:sz w:val="20"/>
                <w:szCs w:val="20"/>
                <w:lang w:val="sq-AL"/>
              </w:rPr>
              <w:t>Zhvillimi i infrastrukturës së ujitjes së qëndrueshme dhe të përshtatur ndaj kushteve klimatike</w:t>
            </w:r>
          </w:p>
        </w:tc>
      </w:tr>
      <w:tr w:rsidR="00D77F2A" w:rsidRPr="001C61AE" w14:paraId="6D708D97" w14:textId="77777777" w:rsidTr="009E5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shd w:val="clear" w:color="auto" w:fill="auto"/>
            <w:vAlign w:val="center"/>
          </w:tcPr>
          <w:p w14:paraId="26632830" w14:textId="4153DCBB" w:rsidR="009E5186" w:rsidRPr="001C61AE" w:rsidRDefault="009E5186" w:rsidP="009E5186">
            <w:pPr>
              <w:widowControl w:val="0"/>
              <w:autoSpaceDE w:val="0"/>
              <w:autoSpaceDN w:val="0"/>
              <w:spacing w:before="0" w:line="240" w:lineRule="auto"/>
              <w:jc w:val="center"/>
              <w:rPr>
                <w:rFonts w:ascii="Arial" w:eastAsia="Myriad Pro" w:hAnsi="Arial" w:cs="Arial"/>
                <w:b w:val="0"/>
                <w:bCs w:val="0"/>
                <w:sz w:val="20"/>
                <w:szCs w:val="20"/>
                <w:lang w:val="sq-AL"/>
              </w:rPr>
            </w:pPr>
            <w:r w:rsidRPr="001C61AE">
              <w:rPr>
                <w:rFonts w:ascii="Arial" w:eastAsia="Myriad Pro" w:hAnsi="Arial" w:cs="Arial"/>
                <w:sz w:val="20"/>
                <w:szCs w:val="20"/>
                <w:lang w:val="sq-AL"/>
              </w:rPr>
              <w:t>Sipërfaqe nën sisteme moderne ujitjeje (hektarë).</w:t>
            </w:r>
          </w:p>
        </w:tc>
        <w:tc>
          <w:tcPr>
            <w:tcW w:w="1036" w:type="pct"/>
            <w:shd w:val="clear" w:color="auto" w:fill="auto"/>
            <w:vAlign w:val="center"/>
          </w:tcPr>
          <w:p w14:paraId="45098304" w14:textId="6030B5D2" w:rsidR="009E5186" w:rsidRPr="001C61AE" w:rsidRDefault="009E5186" w:rsidP="009E51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Aktualisht ujiten afërsisht 32,000 ha (7% e sipërfaqes totale bujqësore).</w:t>
            </w:r>
          </w:p>
        </w:tc>
        <w:tc>
          <w:tcPr>
            <w:tcW w:w="1008" w:type="pct"/>
            <w:shd w:val="clear" w:color="auto" w:fill="auto"/>
            <w:vAlign w:val="center"/>
          </w:tcPr>
          <w:p w14:paraId="18F41888" w14:textId="14D7CEEE" w:rsidR="009E5186" w:rsidRPr="001C61AE" w:rsidRDefault="009E5186" w:rsidP="009E51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40,000 ha nën ujitje; sisteme pilot me pika/spërkatje funksionale.</w:t>
            </w:r>
          </w:p>
        </w:tc>
        <w:tc>
          <w:tcPr>
            <w:tcW w:w="1008" w:type="pct"/>
            <w:shd w:val="clear" w:color="auto" w:fill="auto"/>
            <w:vAlign w:val="center"/>
          </w:tcPr>
          <w:p w14:paraId="675DD858" w14:textId="0F280C8F" w:rsidR="009E5186" w:rsidRPr="001C61AE" w:rsidRDefault="009E5186" w:rsidP="009E51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60,000 ha nën ujitje moderne; përdorim i gjerë i sistemeve efikase.</w:t>
            </w:r>
          </w:p>
        </w:tc>
        <w:tc>
          <w:tcPr>
            <w:tcW w:w="1008" w:type="pct"/>
            <w:shd w:val="clear" w:color="auto" w:fill="FFFFFF" w:themeFill="background1"/>
            <w:vAlign w:val="center"/>
          </w:tcPr>
          <w:p w14:paraId="164197FD" w14:textId="70C546A4" w:rsidR="009E5186" w:rsidRPr="001C61AE" w:rsidRDefault="009E5186" w:rsidP="009E51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120,000 ha të ujitura në mënyrë të qëndrueshme, teknologji të integruara plotësisht për kursimin e ujit.</w:t>
            </w:r>
          </w:p>
        </w:tc>
      </w:tr>
      <w:tr w:rsidR="00554A2A" w:rsidRPr="001C61AE" w14:paraId="74B838BC" w14:textId="77777777" w:rsidTr="008E17FD">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11F4BB0A" w14:textId="2D1B74D1" w:rsidR="00554A2A" w:rsidRPr="001C61AE" w:rsidRDefault="00AC67CE" w:rsidP="00A70686">
            <w:pPr>
              <w:widowControl w:val="0"/>
              <w:autoSpaceDE w:val="0"/>
              <w:autoSpaceDN w:val="0"/>
              <w:spacing w:before="0" w:line="240" w:lineRule="auto"/>
              <w:jc w:val="both"/>
              <w:rPr>
                <w:rFonts w:ascii="Arial" w:eastAsia="Myriad Pro" w:hAnsi="Arial" w:cs="Arial"/>
                <w:sz w:val="20"/>
                <w:szCs w:val="20"/>
                <w:lang w:val="sq-AL"/>
              </w:rPr>
            </w:pPr>
            <w:r w:rsidRPr="001C61AE">
              <w:rPr>
                <w:rFonts w:ascii="Arial" w:hAnsi="Arial" w:cs="Arial"/>
                <w:sz w:val="20"/>
                <w:szCs w:val="20"/>
                <w:lang w:val="sq-AL"/>
              </w:rPr>
              <w:t>III.2</w:t>
            </w:r>
            <w:r w:rsidR="00AD0D94" w:rsidRPr="001C61AE">
              <w:rPr>
                <w:rFonts w:ascii="Arial" w:hAnsi="Arial" w:cs="Arial"/>
                <w:sz w:val="20"/>
                <w:szCs w:val="20"/>
                <w:lang w:val="sq-AL"/>
              </w:rPr>
              <w:t>9</w:t>
            </w:r>
            <w:r w:rsidR="00554A2A" w:rsidRPr="001C61AE">
              <w:rPr>
                <w:rFonts w:ascii="Arial" w:hAnsi="Arial" w:cs="Arial"/>
                <w:sz w:val="20"/>
                <w:szCs w:val="20"/>
                <w:lang w:val="sq-AL"/>
              </w:rPr>
              <w:t xml:space="preserve"> </w:t>
            </w:r>
            <w:r w:rsidR="009E5186" w:rsidRPr="001C61AE">
              <w:rPr>
                <w:rFonts w:ascii="Arial" w:eastAsia="Myriad Pro" w:hAnsi="Arial" w:cs="Arial"/>
                <w:sz w:val="20"/>
                <w:szCs w:val="20"/>
                <w:lang w:val="sq-AL"/>
              </w:rPr>
              <w:t>Rritja e zbatimit të praktikave bujqësore të përshtatshme për klimën (p.sh. varietete të kulturave bujqësore reziliente, metoda agro-ekologjike)</w:t>
            </w:r>
          </w:p>
        </w:tc>
      </w:tr>
      <w:tr w:rsidR="00D77F2A" w:rsidRPr="001C61AE" w14:paraId="6A4397D6" w14:textId="77777777" w:rsidTr="009E5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shd w:val="clear" w:color="auto" w:fill="auto"/>
            <w:vAlign w:val="center"/>
          </w:tcPr>
          <w:p w14:paraId="5A6576C9" w14:textId="5DA075D1" w:rsidR="009E5186" w:rsidRPr="001C61AE" w:rsidRDefault="009E5186" w:rsidP="009E5186">
            <w:pPr>
              <w:widowControl w:val="0"/>
              <w:autoSpaceDE w:val="0"/>
              <w:autoSpaceDN w:val="0"/>
              <w:spacing w:before="0" w:line="240" w:lineRule="auto"/>
              <w:jc w:val="center"/>
              <w:rPr>
                <w:rFonts w:ascii="Arial" w:eastAsia="Myriad Pro" w:hAnsi="Arial" w:cs="Arial"/>
                <w:b w:val="0"/>
                <w:bCs w:val="0"/>
                <w:sz w:val="20"/>
                <w:szCs w:val="20"/>
                <w:lang w:val="sq-AL"/>
              </w:rPr>
            </w:pPr>
            <w:r w:rsidRPr="001C61AE">
              <w:rPr>
                <w:rFonts w:ascii="Arial" w:eastAsia="Myriad Pro" w:hAnsi="Arial" w:cs="Arial"/>
                <w:sz w:val="20"/>
                <w:szCs w:val="20"/>
                <w:lang w:val="sq-AL"/>
              </w:rPr>
              <w:t>Përqindja e fermerëve që miratojnë të paktën një praktikë të njohur të zgjuar ndaj klimës (p.sh., të korra rezistente ndaj thatësirës, ​​bujqësi konservuese, menaxhim i integruar i dëmtuesve)</w:t>
            </w:r>
          </w:p>
        </w:tc>
        <w:tc>
          <w:tcPr>
            <w:tcW w:w="1036" w:type="pct"/>
            <w:shd w:val="clear" w:color="auto" w:fill="auto"/>
            <w:vAlign w:val="center"/>
          </w:tcPr>
          <w:p w14:paraId="018AEBD8" w14:textId="4EE5F680" w:rsidR="009E5186" w:rsidRPr="001C61AE" w:rsidRDefault="009E5186" w:rsidP="009E51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Përvetësim i kufizuar (&lt;10%). Një bazë e saktë bazë kërkon anketa.</w:t>
            </w:r>
          </w:p>
        </w:tc>
        <w:tc>
          <w:tcPr>
            <w:tcW w:w="1008" w:type="pct"/>
            <w:shd w:val="clear" w:color="auto" w:fill="auto"/>
            <w:vAlign w:val="center"/>
          </w:tcPr>
          <w:p w14:paraId="49866362" w14:textId="7C6ECE60" w:rsidR="009E5186" w:rsidRPr="001C61AE" w:rsidRDefault="009E5186" w:rsidP="009E51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Përvetësim 25% i të paktën një praktike të zgjuar ndaj klimës në të gjitha rajonet pilot.</w:t>
            </w:r>
          </w:p>
        </w:tc>
        <w:tc>
          <w:tcPr>
            <w:tcW w:w="1008" w:type="pct"/>
            <w:shd w:val="clear" w:color="auto" w:fill="auto"/>
            <w:vAlign w:val="center"/>
          </w:tcPr>
          <w:p w14:paraId="439F7CFF" w14:textId="35BF5D8D" w:rsidR="009E5186" w:rsidRPr="001C61AE" w:rsidRDefault="009E5186" w:rsidP="009E51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Përvetësim 50% i praktikave të zgjuara ndaj klimës në nivel kombëtar; mbështetje e fortë këshillimore.</w:t>
            </w:r>
          </w:p>
        </w:tc>
        <w:tc>
          <w:tcPr>
            <w:tcW w:w="1008" w:type="pct"/>
            <w:shd w:val="clear" w:color="auto" w:fill="FFFFFF" w:themeFill="background1"/>
            <w:vAlign w:val="center"/>
          </w:tcPr>
          <w:p w14:paraId="588B1222" w14:textId="5DF75DFA" w:rsidR="009E5186" w:rsidRPr="001C61AE" w:rsidRDefault="009E5186" w:rsidP="009E51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Përvetësim mbi 90%; bujqësia e zgjuar ndaj klimës është praktikë standarde në të gjithë Kosovën.</w:t>
            </w:r>
          </w:p>
        </w:tc>
      </w:tr>
      <w:tr w:rsidR="00554A2A" w:rsidRPr="001C61AE" w14:paraId="288EDE01" w14:textId="77777777" w:rsidTr="008E17FD">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3E24E5C0" w14:textId="43BE6464" w:rsidR="00554A2A" w:rsidRPr="001C61AE" w:rsidRDefault="00AC67CE" w:rsidP="00A70686">
            <w:pPr>
              <w:widowControl w:val="0"/>
              <w:autoSpaceDE w:val="0"/>
              <w:autoSpaceDN w:val="0"/>
              <w:spacing w:before="0" w:line="240" w:lineRule="auto"/>
              <w:jc w:val="both"/>
              <w:rPr>
                <w:rFonts w:ascii="Arial" w:eastAsia="Myriad Pro" w:hAnsi="Arial" w:cs="Arial"/>
                <w:sz w:val="20"/>
                <w:szCs w:val="20"/>
                <w:lang w:val="sq-AL"/>
              </w:rPr>
            </w:pPr>
            <w:r w:rsidRPr="001C61AE">
              <w:rPr>
                <w:rFonts w:ascii="Arial" w:hAnsi="Arial" w:cs="Arial"/>
                <w:sz w:val="20"/>
                <w:szCs w:val="20"/>
                <w:lang w:val="sq-AL"/>
              </w:rPr>
              <w:t>III.</w:t>
            </w:r>
            <w:r w:rsidR="00AD0D94" w:rsidRPr="001C61AE">
              <w:rPr>
                <w:rFonts w:ascii="Arial" w:hAnsi="Arial" w:cs="Arial"/>
                <w:sz w:val="20"/>
                <w:szCs w:val="20"/>
                <w:lang w:val="sq-AL"/>
              </w:rPr>
              <w:t xml:space="preserve">30 </w:t>
            </w:r>
            <w:r w:rsidR="009E5186" w:rsidRPr="001C61AE">
              <w:rPr>
                <w:rFonts w:ascii="Arial" w:eastAsia="Myriad Pro" w:hAnsi="Arial" w:cs="Arial"/>
                <w:sz w:val="20"/>
                <w:szCs w:val="20"/>
                <w:lang w:val="sq-AL"/>
              </w:rPr>
              <w:t>Promovimi i agrobiodiversitetit dhe e varieteteve lokale reziliente</w:t>
            </w:r>
          </w:p>
        </w:tc>
      </w:tr>
      <w:tr w:rsidR="00D77F2A" w:rsidRPr="001C61AE" w14:paraId="6D3589A4" w14:textId="77777777" w:rsidTr="009E5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shd w:val="clear" w:color="auto" w:fill="auto"/>
            <w:vAlign w:val="center"/>
          </w:tcPr>
          <w:p w14:paraId="0BE78B62" w14:textId="03ADC3BD" w:rsidR="009E5186" w:rsidRPr="001C61AE" w:rsidRDefault="009E5186" w:rsidP="009E5186">
            <w:pPr>
              <w:widowControl w:val="0"/>
              <w:autoSpaceDE w:val="0"/>
              <w:autoSpaceDN w:val="0"/>
              <w:spacing w:before="0" w:line="240" w:lineRule="auto"/>
              <w:jc w:val="center"/>
              <w:rPr>
                <w:rFonts w:ascii="Arial" w:eastAsia="Myriad Pro" w:hAnsi="Arial" w:cs="Arial"/>
                <w:b w:val="0"/>
                <w:bCs w:val="0"/>
                <w:sz w:val="20"/>
                <w:szCs w:val="20"/>
                <w:lang w:val="sq-AL"/>
              </w:rPr>
            </w:pPr>
            <w:r w:rsidRPr="001C61AE">
              <w:rPr>
                <w:rFonts w:ascii="Arial" w:eastAsia="Myriad Pro" w:hAnsi="Arial" w:cs="Arial"/>
                <w:sz w:val="20"/>
                <w:szCs w:val="20"/>
                <w:lang w:val="sq-AL"/>
              </w:rPr>
              <w:t>Numri i bankave të farërave në komunitet dhe fermave demonstruese për agro-biodiversitetin.</w:t>
            </w:r>
          </w:p>
        </w:tc>
        <w:tc>
          <w:tcPr>
            <w:tcW w:w="1036" w:type="pct"/>
            <w:shd w:val="clear" w:color="auto" w:fill="auto"/>
            <w:vAlign w:val="center"/>
          </w:tcPr>
          <w:p w14:paraId="4CDAD8DC" w14:textId="38D51E4D" w:rsidR="009E5186" w:rsidRPr="001C61AE" w:rsidRDefault="009E5186" w:rsidP="009E51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Pak iniciativa ekzistuese (baza do të vlerësohet plotësisht).</w:t>
            </w:r>
          </w:p>
        </w:tc>
        <w:tc>
          <w:tcPr>
            <w:tcW w:w="1008" w:type="pct"/>
            <w:shd w:val="clear" w:color="auto" w:fill="auto"/>
            <w:vAlign w:val="center"/>
          </w:tcPr>
          <w:p w14:paraId="02BE5AD9" w14:textId="6A9BFD94" w:rsidR="009E5186" w:rsidRPr="001C61AE" w:rsidRDefault="009E5186" w:rsidP="009E51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Ngritja e të paktën 10 fermave demonstruese dhe 5 bankave të farërave.</w:t>
            </w:r>
          </w:p>
        </w:tc>
        <w:tc>
          <w:tcPr>
            <w:tcW w:w="1008" w:type="pct"/>
            <w:shd w:val="clear" w:color="auto" w:fill="auto"/>
            <w:vAlign w:val="center"/>
          </w:tcPr>
          <w:p w14:paraId="5BAFF206" w14:textId="4BDC73F6" w:rsidR="009E5186" w:rsidRPr="001C61AE" w:rsidRDefault="009E5186" w:rsidP="009E51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25 ferma demonstruese dhe 15 banka farërash funksionale në të gjithë vendin.</w:t>
            </w:r>
          </w:p>
        </w:tc>
        <w:tc>
          <w:tcPr>
            <w:tcW w:w="1008" w:type="pct"/>
            <w:shd w:val="clear" w:color="auto" w:fill="FFFFFF" w:themeFill="background1"/>
            <w:vAlign w:val="center"/>
          </w:tcPr>
          <w:p w14:paraId="07E4BD0E" w14:textId="7D2E7332" w:rsidR="009E5186" w:rsidRPr="001C61AE" w:rsidRDefault="009E5186" w:rsidP="009E51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Rrjet i fortë kombëtar i agrobiodiversitetit; sistem gjithëpërfshirës i menaxhimit të burimeve gjenetike.</w:t>
            </w:r>
          </w:p>
        </w:tc>
      </w:tr>
      <w:tr w:rsidR="00554A2A" w:rsidRPr="001C61AE" w14:paraId="604B134F" w14:textId="77777777" w:rsidTr="008E17FD">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0F4761"/>
            <w:vAlign w:val="center"/>
          </w:tcPr>
          <w:p w14:paraId="286FB3A2" w14:textId="4983A069" w:rsidR="00554A2A" w:rsidRPr="001C61AE" w:rsidRDefault="0040465B" w:rsidP="00A70686">
            <w:pPr>
              <w:spacing w:before="0" w:line="240" w:lineRule="auto"/>
              <w:jc w:val="center"/>
              <w:rPr>
                <w:rFonts w:ascii="Arial" w:eastAsia="Myriad Pro" w:hAnsi="Arial" w:cs="Arial"/>
                <w:sz w:val="20"/>
                <w:szCs w:val="20"/>
                <w:lang w:val="sq-AL"/>
              </w:rPr>
            </w:pPr>
            <w:bookmarkStart w:id="104" w:name="_Hlk201588588"/>
            <w:r w:rsidRPr="001C61AE">
              <w:rPr>
                <w:rFonts w:ascii="Arial" w:eastAsia="Myriad Pro" w:hAnsi="Arial" w:cs="Arial"/>
                <w:sz w:val="20"/>
                <w:szCs w:val="20"/>
                <w:lang w:val="sq-AL"/>
              </w:rPr>
              <w:t>Prioriteti kyç për përshtatje</w:t>
            </w:r>
            <w:r w:rsidR="00554A2A" w:rsidRPr="001C61AE">
              <w:rPr>
                <w:rFonts w:ascii="Arial" w:eastAsia="Myriad Pro" w:hAnsi="Arial" w:cs="Arial"/>
                <w:sz w:val="20"/>
                <w:szCs w:val="20"/>
                <w:lang w:val="sq-AL"/>
              </w:rPr>
              <w:t xml:space="preserve">: </w:t>
            </w:r>
            <w:r w:rsidR="009E5186" w:rsidRPr="001C61AE">
              <w:rPr>
                <w:rFonts w:ascii="Arial" w:eastAsia="Myriad Pro" w:hAnsi="Arial" w:cs="Arial"/>
                <w:sz w:val="20"/>
                <w:szCs w:val="20"/>
                <w:lang w:val="sq-AL"/>
              </w:rPr>
              <w:t>Shfrytëzimi i qëndrueshëm i tokës dhe ruajtja e tokës bujqësore</w:t>
            </w:r>
          </w:p>
        </w:tc>
      </w:tr>
      <w:tr w:rsidR="00554A2A" w:rsidRPr="001C61AE" w14:paraId="5462E196" w14:textId="77777777" w:rsidTr="008E17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3B30A626" w14:textId="7A1E3A33" w:rsidR="00554A2A" w:rsidRPr="001C61AE" w:rsidRDefault="00AC67CE" w:rsidP="00A70686">
            <w:pPr>
              <w:widowControl w:val="0"/>
              <w:autoSpaceDE w:val="0"/>
              <w:autoSpaceDN w:val="0"/>
              <w:spacing w:before="0" w:line="240" w:lineRule="auto"/>
              <w:jc w:val="both"/>
              <w:rPr>
                <w:rFonts w:ascii="Arial" w:eastAsia="Myriad Pro" w:hAnsi="Arial" w:cs="Arial"/>
                <w:sz w:val="20"/>
                <w:szCs w:val="20"/>
                <w:lang w:val="sq-AL"/>
              </w:rPr>
            </w:pPr>
            <w:r w:rsidRPr="001C61AE">
              <w:rPr>
                <w:rFonts w:ascii="Arial" w:hAnsi="Arial" w:cs="Arial"/>
                <w:sz w:val="20"/>
                <w:szCs w:val="20"/>
                <w:lang w:val="sq-AL"/>
              </w:rPr>
              <w:t>III.3</w:t>
            </w:r>
            <w:r w:rsidR="00AD0D94" w:rsidRPr="001C61AE">
              <w:rPr>
                <w:rFonts w:ascii="Arial" w:hAnsi="Arial" w:cs="Arial"/>
                <w:sz w:val="20"/>
                <w:szCs w:val="20"/>
                <w:lang w:val="sq-AL"/>
              </w:rPr>
              <w:t>1</w:t>
            </w:r>
            <w:r w:rsidR="00554A2A" w:rsidRPr="001C61AE">
              <w:rPr>
                <w:rFonts w:ascii="Arial" w:hAnsi="Arial" w:cs="Arial"/>
                <w:sz w:val="20"/>
                <w:szCs w:val="20"/>
                <w:lang w:val="sq-AL"/>
              </w:rPr>
              <w:t xml:space="preserve"> </w:t>
            </w:r>
            <w:r w:rsidR="009E5186" w:rsidRPr="001C61AE">
              <w:rPr>
                <w:rFonts w:ascii="Arial" w:eastAsia="Myriad Pro" w:hAnsi="Arial" w:cs="Arial"/>
                <w:sz w:val="20"/>
                <w:szCs w:val="20"/>
                <w:lang w:val="sq-AL"/>
              </w:rPr>
              <w:t>Ulja e degradimit të tokës dhe erozionit përmes praktikave të qëndrueshme të menaxhimit (p.sh., ndërtimi i tarracave, mbjellja e bimësisë mbuluese)</w:t>
            </w:r>
          </w:p>
        </w:tc>
      </w:tr>
      <w:tr w:rsidR="00D77F2A" w:rsidRPr="001C61AE" w14:paraId="42ED39EF" w14:textId="77777777" w:rsidTr="00DE4876">
        <w:tc>
          <w:tcPr>
            <w:cnfStyle w:val="001000000000" w:firstRow="0" w:lastRow="0" w:firstColumn="1" w:lastColumn="0" w:oddVBand="0" w:evenVBand="0" w:oddHBand="0" w:evenHBand="0" w:firstRowFirstColumn="0" w:firstRowLastColumn="0" w:lastRowFirstColumn="0" w:lastRowLastColumn="0"/>
            <w:tcW w:w="940" w:type="pct"/>
            <w:vAlign w:val="center"/>
          </w:tcPr>
          <w:p w14:paraId="707512E7" w14:textId="7FE5BEEE" w:rsidR="00DE4876" w:rsidRPr="001C61AE" w:rsidRDefault="00DE4876" w:rsidP="00DE4876">
            <w:pPr>
              <w:widowControl w:val="0"/>
              <w:autoSpaceDE w:val="0"/>
              <w:autoSpaceDN w:val="0"/>
              <w:spacing w:before="0" w:line="240" w:lineRule="auto"/>
              <w:jc w:val="center"/>
              <w:rPr>
                <w:rFonts w:ascii="Arial" w:eastAsia="Myriad Pro" w:hAnsi="Arial" w:cs="Arial"/>
                <w:b w:val="0"/>
                <w:bCs w:val="0"/>
                <w:sz w:val="20"/>
                <w:szCs w:val="20"/>
                <w:lang w:val="sq-AL"/>
              </w:rPr>
            </w:pPr>
            <w:r w:rsidRPr="001C61AE">
              <w:rPr>
                <w:rFonts w:ascii="Arial" w:eastAsia="Myriad Pro" w:hAnsi="Arial" w:cs="Arial"/>
                <w:sz w:val="20"/>
                <w:szCs w:val="20"/>
                <w:lang w:val="sq-AL"/>
              </w:rPr>
              <w:t>Sipërfaqe toke bujqësore dhe pyjore nën kontroll aktiv të erozionit ose masa rehabilitimi (tarracim, ripyllëzim, breza bari).</w:t>
            </w:r>
          </w:p>
        </w:tc>
        <w:tc>
          <w:tcPr>
            <w:tcW w:w="1036" w:type="pct"/>
            <w:vAlign w:val="center"/>
          </w:tcPr>
          <w:p w14:paraId="566318D5" w14:textId="7EC6C65D" w:rsidR="00DE4876" w:rsidRPr="001C61AE" w:rsidRDefault="00DE4876" w:rsidP="00DE487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Aktivitete bazë të kufizuara (&lt;500 ha të vlerësuara, duhet verifikuar).</w:t>
            </w:r>
          </w:p>
        </w:tc>
        <w:tc>
          <w:tcPr>
            <w:tcW w:w="1008" w:type="pct"/>
            <w:vAlign w:val="center"/>
          </w:tcPr>
          <w:p w14:paraId="32BC9964" w14:textId="78D197ED" w:rsidR="00DE4876" w:rsidRPr="001C61AE" w:rsidRDefault="00DE4876" w:rsidP="00DE487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1,500 ha tokë e rehabilituar dhe menaxhuar në mënyrë aktive në mënyrë të qëndrueshme.</w:t>
            </w:r>
          </w:p>
        </w:tc>
        <w:tc>
          <w:tcPr>
            <w:tcW w:w="1008" w:type="pct"/>
            <w:vAlign w:val="center"/>
          </w:tcPr>
          <w:p w14:paraId="08556E65" w14:textId="6FBA118B" w:rsidR="00DE4876" w:rsidRPr="001C61AE" w:rsidRDefault="00DE4876" w:rsidP="00DE487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5,000 ha të menaxhuara dhe rehabilituara në mënyrë të qëndrueshme; prova të qarta të erozionit të reduktuar.</w:t>
            </w:r>
          </w:p>
        </w:tc>
        <w:tc>
          <w:tcPr>
            <w:tcW w:w="1008" w:type="pct"/>
            <w:shd w:val="clear" w:color="auto" w:fill="FFFFFF" w:themeFill="background1"/>
            <w:vAlign w:val="center"/>
          </w:tcPr>
          <w:p w14:paraId="5078BCBB" w14:textId="4223A6A2" w:rsidR="00DE4876" w:rsidRPr="001C61AE" w:rsidRDefault="00DE4876" w:rsidP="00DE487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20,000 ha të rehabilituara, mbulim kombëtar i menaxhimit gjithëpërfshirës të erozionit.</w:t>
            </w:r>
          </w:p>
        </w:tc>
      </w:tr>
      <w:tr w:rsidR="00D77F2A" w:rsidRPr="001C61AE" w14:paraId="4AB94988" w14:textId="77777777" w:rsidTr="002F7AAE">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940" w:type="pct"/>
            <w:shd w:val="clear" w:color="auto" w:fill="auto"/>
            <w:vAlign w:val="center"/>
          </w:tcPr>
          <w:p w14:paraId="1FE3C57E" w14:textId="2D4BD6C4" w:rsidR="002F7AAE" w:rsidRPr="001C61AE" w:rsidRDefault="00DE4876" w:rsidP="002F7AAE">
            <w:pPr>
              <w:widowControl w:val="0"/>
              <w:autoSpaceDE w:val="0"/>
              <w:autoSpaceDN w:val="0"/>
              <w:spacing w:before="0" w:line="240" w:lineRule="auto"/>
              <w:jc w:val="center"/>
              <w:rPr>
                <w:rFonts w:ascii="Arial" w:eastAsia="Myriad Pro" w:hAnsi="Arial" w:cs="Arial"/>
                <w:sz w:val="20"/>
                <w:szCs w:val="20"/>
                <w:lang w:val="sq-AL"/>
              </w:rPr>
            </w:pPr>
            <w:r w:rsidRPr="001C61AE">
              <w:rPr>
                <w:rFonts w:ascii="Arial" w:eastAsia="Myriad Pro" w:hAnsi="Arial" w:cs="Arial"/>
                <w:sz w:val="20"/>
                <w:szCs w:val="20"/>
                <w:lang w:val="sq-AL"/>
              </w:rPr>
              <w:t>Humbja e tokës (ton/ha.vit)</w:t>
            </w:r>
          </w:p>
        </w:tc>
        <w:tc>
          <w:tcPr>
            <w:tcW w:w="1036" w:type="pct"/>
            <w:shd w:val="clear" w:color="auto" w:fill="auto"/>
            <w:vAlign w:val="center"/>
          </w:tcPr>
          <w:p w14:paraId="001C3A09" w14:textId="5FEFD2A6" w:rsidR="002F7AAE" w:rsidRPr="001C61AE" w:rsidRDefault="00DE4876" w:rsidP="002F7AAE">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hAnsi="Arial" w:cs="Arial"/>
                <w:sz w:val="21"/>
                <w:szCs w:val="21"/>
                <w:lang w:val="sq-AL"/>
              </w:rPr>
              <w:t>1.0 ton/ha në vit, aktivitete bazë të kufizuara, të përcaktuara nga kërkimi shkencor</w:t>
            </w:r>
          </w:p>
        </w:tc>
        <w:tc>
          <w:tcPr>
            <w:tcW w:w="1008" w:type="pct"/>
            <w:shd w:val="clear" w:color="auto" w:fill="auto"/>
            <w:vAlign w:val="center"/>
          </w:tcPr>
          <w:p w14:paraId="55EB14C7" w14:textId="7216BD85" w:rsidR="002F7AAE" w:rsidRPr="001C61AE" w:rsidRDefault="00DE4876" w:rsidP="002F7AAE">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hAnsi="Arial" w:cs="Arial"/>
                <w:sz w:val="21"/>
                <w:szCs w:val="21"/>
                <w:lang w:val="sq-AL"/>
              </w:rPr>
              <w:t xml:space="preserve">&lt; 0.9 ton/ha në vit, që pasqyron një reduktim prej 10%, të parashikuar nga zbatimi i praktikave të qëndrueshme të menaxhimit të tokës dhe kontrollit të erozionit. P.sh., demonstrimi i teknikave të ruajtjes si plugimi </w:t>
            </w:r>
            <w:r w:rsidRPr="001C61AE">
              <w:rPr>
                <w:rFonts w:ascii="Arial" w:hAnsi="Arial" w:cs="Arial"/>
                <w:sz w:val="21"/>
                <w:szCs w:val="21"/>
                <w:lang w:val="sq-AL"/>
              </w:rPr>
              <w:lastRenderedPageBreak/>
              <w:t>konturor dhe kulturat mbuluese në zonat me rrezik të lartë.</w:t>
            </w:r>
          </w:p>
        </w:tc>
        <w:tc>
          <w:tcPr>
            <w:tcW w:w="1008" w:type="pct"/>
            <w:shd w:val="clear" w:color="auto" w:fill="auto"/>
            <w:vAlign w:val="center"/>
          </w:tcPr>
          <w:p w14:paraId="36890843" w14:textId="1BD930B6" w:rsidR="002F7AAE" w:rsidRPr="001C61AE" w:rsidRDefault="00DE4876" w:rsidP="002F7AAE">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hAnsi="Arial" w:cs="Arial"/>
                <w:sz w:val="21"/>
                <w:szCs w:val="21"/>
                <w:lang w:val="sq-AL"/>
              </w:rPr>
              <w:lastRenderedPageBreak/>
              <w:t>&lt; 0.75 ton/ha në vit, që përfaqëson një reduktim prej 25%, duke reflektuar përvetësimin më të gjerë; përshpejtimi i ripyllëzimit duke bërë përparim drejt objektivit kombëtar prej 47% të mbulesës pyjore</w:t>
            </w:r>
          </w:p>
        </w:tc>
        <w:tc>
          <w:tcPr>
            <w:tcW w:w="1008" w:type="pct"/>
            <w:shd w:val="clear" w:color="auto" w:fill="FFFFFF" w:themeFill="background1"/>
            <w:vAlign w:val="center"/>
          </w:tcPr>
          <w:p w14:paraId="420EBEC4" w14:textId="70B5CC86" w:rsidR="002F7AAE" w:rsidRPr="001C61AE" w:rsidRDefault="00DE4876" w:rsidP="002F7AAE">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hAnsi="Arial" w:cs="Arial"/>
                <w:sz w:val="21"/>
                <w:szCs w:val="21"/>
                <w:lang w:val="sq-AL"/>
              </w:rPr>
              <w:t>&lt; 0.5 ton/ha në vit me qëllim reduktimin e humbjes së tokës; duke reflektuar ndikimin e menaxhimit të erozionit dhe rritjen e mbulesës pyjore; p.sh. me 20,000 ha tokë të rehabilituar plotësisht</w:t>
            </w:r>
          </w:p>
        </w:tc>
      </w:tr>
      <w:bookmarkEnd w:id="104"/>
      <w:tr w:rsidR="00554A2A" w:rsidRPr="001C61AE" w14:paraId="6C1346AB" w14:textId="77777777" w:rsidTr="008E17FD">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21D46429" w14:textId="23CA7EFB" w:rsidR="00554A2A" w:rsidRPr="001C61AE" w:rsidRDefault="00AC67CE" w:rsidP="00A70686">
            <w:pPr>
              <w:widowControl w:val="0"/>
              <w:autoSpaceDE w:val="0"/>
              <w:autoSpaceDN w:val="0"/>
              <w:spacing w:before="0" w:line="240" w:lineRule="auto"/>
              <w:jc w:val="both"/>
              <w:rPr>
                <w:rFonts w:ascii="Arial" w:eastAsia="Myriad Pro" w:hAnsi="Arial" w:cs="Arial"/>
                <w:sz w:val="20"/>
                <w:szCs w:val="20"/>
                <w:lang w:val="sq-AL"/>
              </w:rPr>
            </w:pPr>
            <w:r w:rsidRPr="001C61AE">
              <w:rPr>
                <w:rFonts w:ascii="Arial" w:hAnsi="Arial" w:cs="Arial"/>
                <w:sz w:val="20"/>
                <w:szCs w:val="20"/>
                <w:lang w:val="sq-AL"/>
              </w:rPr>
              <w:lastRenderedPageBreak/>
              <w:t>III.3</w:t>
            </w:r>
            <w:r w:rsidR="00AD0D94" w:rsidRPr="001C61AE">
              <w:rPr>
                <w:rFonts w:ascii="Arial" w:hAnsi="Arial" w:cs="Arial"/>
                <w:sz w:val="20"/>
                <w:szCs w:val="20"/>
                <w:lang w:val="sq-AL"/>
              </w:rPr>
              <w:t>2</w:t>
            </w:r>
            <w:r w:rsidR="00554A2A" w:rsidRPr="001C61AE">
              <w:rPr>
                <w:rFonts w:ascii="Arial" w:hAnsi="Arial" w:cs="Arial"/>
                <w:sz w:val="20"/>
                <w:szCs w:val="20"/>
                <w:lang w:val="sq-AL"/>
              </w:rPr>
              <w:t xml:space="preserve"> </w:t>
            </w:r>
            <w:r w:rsidR="009E5186" w:rsidRPr="001C61AE">
              <w:rPr>
                <w:rFonts w:ascii="Arial" w:eastAsia="Myriad Pro" w:hAnsi="Arial" w:cs="Arial"/>
                <w:sz w:val="20"/>
                <w:szCs w:val="20"/>
                <w:lang w:val="sq-AL"/>
              </w:rPr>
              <w:t>Zgjerimi dhe përmirësimi i sipërfaqeve pyjore për të zvogëluar erozionin dhe rrezikun nga rrëshqitjet e dheut (ripyllëzimi, pyllëzimi i ri)</w:t>
            </w:r>
          </w:p>
        </w:tc>
      </w:tr>
      <w:tr w:rsidR="00D77F2A" w:rsidRPr="001C61AE" w14:paraId="58EC670F" w14:textId="77777777" w:rsidTr="008E1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shd w:val="clear" w:color="auto" w:fill="auto"/>
            <w:vAlign w:val="center"/>
          </w:tcPr>
          <w:p w14:paraId="3A8AFCCA" w14:textId="3524945E" w:rsidR="00CE176D" w:rsidRPr="001C61AE" w:rsidRDefault="00431215" w:rsidP="00CE176D">
            <w:pPr>
              <w:widowControl w:val="0"/>
              <w:autoSpaceDE w:val="0"/>
              <w:autoSpaceDN w:val="0"/>
              <w:spacing w:before="0" w:line="240" w:lineRule="auto"/>
              <w:jc w:val="center"/>
              <w:rPr>
                <w:rFonts w:ascii="Arial" w:eastAsia="Myriad Pro" w:hAnsi="Arial" w:cs="Arial"/>
                <w:b w:val="0"/>
                <w:bCs w:val="0"/>
                <w:sz w:val="20"/>
                <w:szCs w:val="20"/>
                <w:lang w:val="sq-AL"/>
              </w:rPr>
            </w:pPr>
            <w:r w:rsidRPr="001C61AE">
              <w:rPr>
                <w:rFonts w:ascii="Arial" w:eastAsia="Myriad Pro" w:hAnsi="Arial" w:cs="Arial"/>
                <w:sz w:val="20"/>
                <w:szCs w:val="20"/>
                <w:lang w:val="sq-AL"/>
              </w:rPr>
              <w:t>Mbulesa totale pyjore (% e sipërfaqes totale të tokës së Kosovës).</w:t>
            </w:r>
          </w:p>
        </w:tc>
        <w:tc>
          <w:tcPr>
            <w:tcW w:w="1036" w:type="pct"/>
            <w:shd w:val="clear" w:color="auto" w:fill="auto"/>
            <w:vAlign w:val="center"/>
          </w:tcPr>
          <w:p w14:paraId="0110B62A" w14:textId="0B2463D5" w:rsidR="00CE176D" w:rsidRPr="001C61AE" w:rsidRDefault="00431215" w:rsidP="00CE176D">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44.7% mbulesë pyjore (481,000 ha).</w:t>
            </w:r>
          </w:p>
        </w:tc>
        <w:tc>
          <w:tcPr>
            <w:tcW w:w="1008" w:type="pct"/>
            <w:shd w:val="clear" w:color="auto" w:fill="auto"/>
            <w:vAlign w:val="center"/>
          </w:tcPr>
          <w:p w14:paraId="628EDBB6" w14:textId="5F94EFD0" w:rsidR="00CE176D" w:rsidRPr="001C61AE" w:rsidRDefault="00431215" w:rsidP="00CE176D">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Të paktën 45.5% mbulesë pyjore; mbjellje aktive dhe ruajtje e filluar; për të parandaluar erozionin, rrëshqitjet e dheut, përmbytjet, erërat, ortekët dhe fatkeqësitë e tjera natyrore - Zbatimi i zgjidhjeve të bazuara në natyrë.</w:t>
            </w:r>
          </w:p>
          <w:p w14:paraId="1D8FB840" w14:textId="77777777" w:rsidR="00CE176D" w:rsidRPr="001C61AE" w:rsidRDefault="00CE176D" w:rsidP="00CE176D">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p>
          <w:p w14:paraId="7929287E" w14:textId="796A389C" w:rsidR="00CE176D" w:rsidRPr="001C61AE" w:rsidRDefault="00CE176D" w:rsidP="00CE176D">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p>
        </w:tc>
        <w:tc>
          <w:tcPr>
            <w:tcW w:w="1008" w:type="pct"/>
            <w:shd w:val="clear" w:color="auto" w:fill="auto"/>
            <w:vAlign w:val="center"/>
          </w:tcPr>
          <w:p w14:paraId="3B0375AB" w14:textId="251BCFDC" w:rsidR="00CE176D" w:rsidRPr="001C61AE" w:rsidRDefault="00431215" w:rsidP="00CE176D">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47% mbulesë pyjore e arritur; pyllëzim i konsiderueshëm i përfunduar; arritja e një rritjeje neto prej 3% në sipërfaqen pyjore, në përputhje me Strategjinë e Zhvillimit të Pylltarisë 2022-2030, me theks në Zgjidhjet e Bazuara në Natyrë për të parandaluar erozionin dhe rrëshqitjet e dheut.</w:t>
            </w:r>
          </w:p>
        </w:tc>
        <w:tc>
          <w:tcPr>
            <w:tcW w:w="1008" w:type="pct"/>
            <w:shd w:val="clear" w:color="auto" w:fill="FFFFFF" w:themeFill="background1"/>
            <w:vAlign w:val="center"/>
          </w:tcPr>
          <w:p w14:paraId="0EC5E4EF" w14:textId="3A7D6AFA" w:rsidR="00CE176D" w:rsidRPr="001C61AE" w:rsidRDefault="00431215" w:rsidP="00CE176D">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48% mbulesë pyjore e mirëmbajtur në mënyrë të qëndrueshme; pyje të menaxhuara në mënyrë të qëndrueshme me shërbime gjithëpërfshirëse të ekosistemit; me fokus në shëndetin dhe qëndrueshmërinë e pyjeve ekzistuese.</w:t>
            </w:r>
          </w:p>
        </w:tc>
      </w:tr>
      <w:tr w:rsidR="00554A2A" w:rsidRPr="001C61AE" w14:paraId="633936CA" w14:textId="77777777" w:rsidTr="008E17FD">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003A9A2C" w14:textId="2A761F47" w:rsidR="00554A2A" w:rsidRPr="001C61AE" w:rsidRDefault="00AC67CE" w:rsidP="00A70686">
            <w:pPr>
              <w:widowControl w:val="0"/>
              <w:autoSpaceDE w:val="0"/>
              <w:autoSpaceDN w:val="0"/>
              <w:spacing w:before="0" w:line="240" w:lineRule="auto"/>
              <w:rPr>
                <w:rFonts w:ascii="Arial" w:eastAsia="Myriad Pro" w:hAnsi="Arial" w:cs="Arial"/>
                <w:sz w:val="20"/>
                <w:szCs w:val="20"/>
                <w:lang w:val="sq-AL"/>
              </w:rPr>
            </w:pPr>
            <w:r w:rsidRPr="001C61AE">
              <w:rPr>
                <w:rFonts w:ascii="Arial" w:hAnsi="Arial" w:cs="Arial"/>
                <w:sz w:val="20"/>
                <w:szCs w:val="20"/>
                <w:lang w:val="sq-AL"/>
              </w:rPr>
              <w:t>III.3</w:t>
            </w:r>
            <w:r w:rsidR="00AD0D94" w:rsidRPr="001C61AE">
              <w:rPr>
                <w:rFonts w:ascii="Arial" w:hAnsi="Arial" w:cs="Arial"/>
                <w:sz w:val="20"/>
                <w:szCs w:val="20"/>
                <w:lang w:val="sq-AL"/>
              </w:rPr>
              <w:t>3</w:t>
            </w:r>
            <w:r w:rsidR="00554A2A" w:rsidRPr="001C61AE">
              <w:rPr>
                <w:rFonts w:ascii="Arial" w:hAnsi="Arial" w:cs="Arial"/>
                <w:sz w:val="20"/>
                <w:szCs w:val="20"/>
                <w:lang w:val="sq-AL"/>
              </w:rPr>
              <w:t xml:space="preserve"> </w:t>
            </w:r>
            <w:r w:rsidR="009E5186" w:rsidRPr="001C61AE">
              <w:rPr>
                <w:rFonts w:ascii="Arial" w:eastAsia="Myriad Pro" w:hAnsi="Arial" w:cs="Arial"/>
                <w:sz w:val="20"/>
                <w:szCs w:val="20"/>
                <w:lang w:val="sq-AL"/>
              </w:rPr>
              <w:t>Forcimi i menaxhimit të qëndrueshëm të pyjeve dhe ruajtjes së biodiversitetit (plane të menaxhimit përshtatës)</w:t>
            </w:r>
          </w:p>
        </w:tc>
      </w:tr>
      <w:tr w:rsidR="00D77F2A" w:rsidRPr="001C61AE" w14:paraId="0312A1E0" w14:textId="77777777" w:rsidTr="00DE4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shd w:val="clear" w:color="auto" w:fill="auto"/>
            <w:vAlign w:val="center"/>
          </w:tcPr>
          <w:p w14:paraId="24F7D50D" w14:textId="390A1EDF" w:rsidR="00DE4876" w:rsidRPr="001C61AE" w:rsidRDefault="00DE4876" w:rsidP="00DE4876">
            <w:pPr>
              <w:widowControl w:val="0"/>
              <w:autoSpaceDE w:val="0"/>
              <w:autoSpaceDN w:val="0"/>
              <w:spacing w:before="0" w:line="240" w:lineRule="auto"/>
              <w:jc w:val="center"/>
              <w:rPr>
                <w:rFonts w:ascii="Arial" w:eastAsia="Myriad Pro" w:hAnsi="Arial" w:cs="Arial"/>
                <w:b w:val="0"/>
                <w:bCs w:val="0"/>
                <w:sz w:val="20"/>
                <w:szCs w:val="20"/>
                <w:lang w:val="sq-AL"/>
              </w:rPr>
            </w:pPr>
            <w:r w:rsidRPr="001C61AE">
              <w:rPr>
                <w:rFonts w:ascii="Arial" w:eastAsia="Myriad Pro" w:hAnsi="Arial" w:cs="Arial"/>
                <w:sz w:val="20"/>
                <w:szCs w:val="20"/>
                <w:lang w:val="sq-AL"/>
              </w:rPr>
              <w:t>Përqindja e tokës pyjore publike dhe private sipas planeve formale dhe adaptive të menaxhimit të pyjeve.</w:t>
            </w:r>
          </w:p>
        </w:tc>
        <w:tc>
          <w:tcPr>
            <w:tcW w:w="1036" w:type="pct"/>
            <w:shd w:val="clear" w:color="auto" w:fill="auto"/>
            <w:vAlign w:val="center"/>
          </w:tcPr>
          <w:p w14:paraId="52B52AA3" w14:textId="795A3F53" w:rsidR="00DE4876" w:rsidRPr="001C61AE" w:rsidRDefault="00DE4876" w:rsidP="00DE487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Përafërsisht 82% e pyjeve publike të menaxhuara; pyjet private minimale (baza për t'u konfirmuar).</w:t>
            </w:r>
          </w:p>
        </w:tc>
        <w:tc>
          <w:tcPr>
            <w:tcW w:w="1008" w:type="pct"/>
            <w:shd w:val="clear" w:color="auto" w:fill="auto"/>
            <w:vAlign w:val="center"/>
          </w:tcPr>
          <w:p w14:paraId="0B31A408" w14:textId="230EBF1E" w:rsidR="00DE4876" w:rsidRPr="001C61AE" w:rsidRDefault="00DE4876" w:rsidP="00DE487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90% e pyjeve publike të menaxhuara; planet e pilotuara të menaxhimit të pyjeve private.</w:t>
            </w:r>
          </w:p>
        </w:tc>
        <w:tc>
          <w:tcPr>
            <w:tcW w:w="1008" w:type="pct"/>
            <w:shd w:val="clear" w:color="auto" w:fill="auto"/>
            <w:vAlign w:val="center"/>
          </w:tcPr>
          <w:p w14:paraId="0A6E8134" w14:textId="07C696CD" w:rsidR="00DE4876" w:rsidRPr="001C61AE" w:rsidRDefault="00DE4876" w:rsidP="00DE487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100% pyje publike dhe të paktën 25% pyje private sipas planeve të menaxhimit të qëndrueshëm.</w:t>
            </w:r>
          </w:p>
        </w:tc>
        <w:tc>
          <w:tcPr>
            <w:tcW w:w="1008" w:type="pct"/>
            <w:shd w:val="clear" w:color="auto" w:fill="FFFFFF" w:themeFill="background1"/>
            <w:vAlign w:val="center"/>
          </w:tcPr>
          <w:p w14:paraId="4C5F6781" w14:textId="0EE1912D" w:rsidR="00DE4876" w:rsidRPr="001C61AE" w:rsidRDefault="00DE4876" w:rsidP="00DE487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Të gjitha pyjet publike dhe shumica e pyjeve private të menaxhuara në mënyrë të qëndrueshme dhe biodiversiteti i mbrojtur në mënyrë aktive.</w:t>
            </w:r>
          </w:p>
        </w:tc>
      </w:tr>
      <w:tr w:rsidR="00554A2A" w:rsidRPr="001C61AE" w14:paraId="2030354A" w14:textId="77777777" w:rsidTr="008E17FD">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7CD8B1F6" w14:textId="109AB432" w:rsidR="00554A2A" w:rsidRPr="001C61AE" w:rsidRDefault="00AC67CE" w:rsidP="00A70686">
            <w:pPr>
              <w:widowControl w:val="0"/>
              <w:autoSpaceDE w:val="0"/>
              <w:autoSpaceDN w:val="0"/>
              <w:spacing w:before="0" w:line="240" w:lineRule="auto"/>
              <w:rPr>
                <w:rFonts w:ascii="Arial" w:eastAsia="Myriad Pro" w:hAnsi="Arial" w:cs="Arial"/>
                <w:sz w:val="20"/>
                <w:szCs w:val="20"/>
                <w:lang w:val="sq-AL"/>
              </w:rPr>
            </w:pPr>
            <w:r w:rsidRPr="001C61AE">
              <w:rPr>
                <w:rFonts w:ascii="Arial" w:hAnsi="Arial" w:cs="Arial"/>
                <w:sz w:val="20"/>
                <w:szCs w:val="20"/>
                <w:lang w:val="sq-AL"/>
              </w:rPr>
              <w:t>III.3</w:t>
            </w:r>
            <w:r w:rsidR="00AD0D94" w:rsidRPr="001C61AE">
              <w:rPr>
                <w:rFonts w:ascii="Arial" w:hAnsi="Arial" w:cs="Arial"/>
                <w:sz w:val="20"/>
                <w:szCs w:val="20"/>
                <w:lang w:val="sq-AL"/>
              </w:rPr>
              <w:t>4</w:t>
            </w:r>
            <w:r w:rsidR="00554A2A" w:rsidRPr="001C61AE">
              <w:rPr>
                <w:rFonts w:ascii="Arial" w:hAnsi="Arial" w:cs="Arial"/>
                <w:sz w:val="20"/>
                <w:szCs w:val="20"/>
                <w:lang w:val="sq-AL"/>
              </w:rPr>
              <w:t xml:space="preserve"> </w:t>
            </w:r>
            <w:r w:rsidR="009E5186" w:rsidRPr="001C61AE">
              <w:rPr>
                <w:rFonts w:ascii="Arial" w:hAnsi="Arial" w:cs="Arial"/>
                <w:sz w:val="20"/>
                <w:szCs w:val="20"/>
                <w:lang w:val="sq-AL"/>
              </w:rPr>
              <w:t xml:space="preserve">Ulja e rrezikut dhe ndikimit të zjarreve pyjore (parandalim, </w:t>
            </w:r>
            <w:r w:rsidR="005D67E7" w:rsidRPr="001C61AE">
              <w:rPr>
                <w:rFonts w:ascii="Arial" w:hAnsi="Arial" w:cs="Arial"/>
                <w:sz w:val="20"/>
                <w:szCs w:val="20"/>
                <w:lang w:val="sq-AL"/>
              </w:rPr>
              <w:t xml:space="preserve"> gatishmëri</w:t>
            </w:r>
            <w:r w:rsidR="009E5186" w:rsidRPr="001C61AE">
              <w:rPr>
                <w:rFonts w:ascii="Arial" w:hAnsi="Arial" w:cs="Arial"/>
                <w:sz w:val="20"/>
                <w:szCs w:val="20"/>
                <w:lang w:val="sq-AL"/>
              </w:rPr>
              <w:t>, reagim)</w:t>
            </w:r>
          </w:p>
        </w:tc>
      </w:tr>
      <w:tr w:rsidR="00D77F2A" w:rsidRPr="001C61AE" w14:paraId="4497A5C6" w14:textId="77777777" w:rsidTr="008E1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shd w:val="clear" w:color="auto" w:fill="auto"/>
            <w:vAlign w:val="center"/>
          </w:tcPr>
          <w:p w14:paraId="7479194B" w14:textId="31E94E71" w:rsidR="00CE176D" w:rsidRPr="001C61AE" w:rsidRDefault="00431215" w:rsidP="00CE176D">
            <w:pPr>
              <w:widowControl w:val="0"/>
              <w:autoSpaceDE w:val="0"/>
              <w:autoSpaceDN w:val="0"/>
              <w:spacing w:before="0" w:line="240" w:lineRule="auto"/>
              <w:jc w:val="center"/>
              <w:rPr>
                <w:rFonts w:ascii="Arial" w:eastAsia="Myriad Pro" w:hAnsi="Arial" w:cs="Arial"/>
                <w:b w:val="0"/>
                <w:bCs w:val="0"/>
                <w:sz w:val="20"/>
                <w:szCs w:val="20"/>
                <w:lang w:val="sq-AL"/>
              </w:rPr>
            </w:pPr>
            <w:r w:rsidRPr="001C61AE">
              <w:rPr>
                <w:rFonts w:ascii="Arial" w:eastAsia="Myriad Pro" w:hAnsi="Arial" w:cs="Arial"/>
                <w:sz w:val="20"/>
                <w:szCs w:val="20"/>
                <w:lang w:val="sq-AL"/>
              </w:rPr>
              <w:t>Sipërfaqja vjetore pyjore e prekur nga zjarret (hektarë/vit).</w:t>
            </w:r>
          </w:p>
        </w:tc>
        <w:tc>
          <w:tcPr>
            <w:tcW w:w="1036" w:type="pct"/>
            <w:shd w:val="clear" w:color="auto" w:fill="auto"/>
            <w:vAlign w:val="center"/>
          </w:tcPr>
          <w:p w14:paraId="64CC420A" w14:textId="30DC4D93" w:rsidR="00CE176D" w:rsidRPr="001C61AE" w:rsidRDefault="00431215" w:rsidP="00CE176D">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3,470 hektarë të djegur në vitin 2024 (3,224 ha në pronësi shtetërore, 246 ha private)</w:t>
            </w:r>
          </w:p>
        </w:tc>
        <w:tc>
          <w:tcPr>
            <w:tcW w:w="1008" w:type="pct"/>
            <w:shd w:val="clear" w:color="auto" w:fill="auto"/>
            <w:vAlign w:val="center"/>
          </w:tcPr>
          <w:p w14:paraId="60D4CB13" w14:textId="77777777" w:rsidR="00431215" w:rsidRPr="001C61AE" w:rsidRDefault="00431215" w:rsidP="00431215">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Ndikimet e zjarreve në pyje janë zvogëluar në nën 2,000 ha në vit.</w:t>
            </w:r>
          </w:p>
          <w:p w14:paraId="0B0E53C6" w14:textId="795D83D4" w:rsidR="00CE176D" w:rsidRPr="001C61AE" w:rsidRDefault="00431215" w:rsidP="00431215">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 xml:space="preserve">Kapacitetet njerëzore, buxhetore dhe teknike të Agjencisë së Menaxhimit të Emergjencave, </w:t>
            </w:r>
            <w:r w:rsidR="00F57D9B" w:rsidRPr="001C61AE">
              <w:rPr>
                <w:rFonts w:ascii="Arial" w:eastAsia="Myriad Pro" w:hAnsi="Arial" w:cs="Arial"/>
                <w:sz w:val="20"/>
                <w:szCs w:val="20"/>
                <w:lang w:val="sq-AL"/>
              </w:rPr>
              <w:t>Njësive Profesionale të Zjarrfikjes dhe Shpëtimi</w:t>
            </w:r>
            <w:r w:rsidR="005D67E7" w:rsidRPr="001C61AE">
              <w:rPr>
                <w:rFonts w:ascii="Arial" w:eastAsia="Myriad Pro" w:hAnsi="Arial" w:cs="Arial"/>
                <w:sz w:val="20"/>
                <w:szCs w:val="20"/>
                <w:lang w:val="sq-AL"/>
              </w:rPr>
              <w:t xml:space="preserve"> </w:t>
            </w:r>
            <w:r w:rsidR="00D77F2A" w:rsidRPr="001C61AE">
              <w:rPr>
                <w:rFonts w:ascii="Arial" w:eastAsia="Myriad Pro" w:hAnsi="Arial" w:cs="Arial"/>
                <w:sz w:val="20"/>
                <w:szCs w:val="20"/>
                <w:lang w:val="sq-AL"/>
              </w:rPr>
              <w:t xml:space="preserve">, si </w:t>
            </w:r>
            <w:r w:rsidRPr="001C61AE">
              <w:rPr>
                <w:rFonts w:ascii="Arial" w:eastAsia="Myriad Pro" w:hAnsi="Arial" w:cs="Arial"/>
                <w:sz w:val="20"/>
                <w:szCs w:val="20"/>
                <w:lang w:val="sq-AL"/>
              </w:rPr>
              <w:t>dhe Agjencisë Pyjore janë rritur për të minimizuar zonat e prekura nga zjarri. Të paktën 10 kolektorë uji janë ndërtuar në pyje për të ndihmuar në shuarjen e shpejtë të zjarreve dhe për të mbështetur biodiversitetin.</w:t>
            </w:r>
          </w:p>
        </w:tc>
        <w:tc>
          <w:tcPr>
            <w:tcW w:w="1008" w:type="pct"/>
            <w:shd w:val="clear" w:color="auto" w:fill="auto"/>
            <w:vAlign w:val="center"/>
          </w:tcPr>
          <w:p w14:paraId="3FB09A1D" w14:textId="782799E2" w:rsidR="00CE176D" w:rsidRPr="001C61AE" w:rsidRDefault="00431215" w:rsidP="00CE176D">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Ndikimet e zjarreve në pyje janë zvogëluar në nën 1,000 ha në vit për shkak të monitorimit dhe reagimit të shtuar; përmirësim i mëtejshëm i kapaciteteve institucionale, një total prej 30 kolektorësh uji janë ndërtuar në pyje.</w:t>
            </w:r>
          </w:p>
        </w:tc>
        <w:tc>
          <w:tcPr>
            <w:tcW w:w="1008" w:type="pct"/>
            <w:shd w:val="clear" w:color="auto" w:fill="FFFFFF" w:themeFill="background1"/>
            <w:vAlign w:val="center"/>
          </w:tcPr>
          <w:p w14:paraId="42380699" w14:textId="77777777" w:rsidR="00431215" w:rsidRPr="001C61AE" w:rsidRDefault="00431215" w:rsidP="00431215">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Dëmi nga zjarret në pyje është vazhdimisht nën 500 ha/vit; peizazhe pyjore rezistente të krijuara.</w:t>
            </w:r>
          </w:p>
          <w:p w14:paraId="75151370" w14:textId="7A61F352" w:rsidR="00CE176D" w:rsidRPr="001C61AE" w:rsidRDefault="00431215" w:rsidP="00431215">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Një sistem menaxhimi zjarresh plotësisht i pajisur dhe efikas është në vend. Një total prej 60 kolektorësh uji janë ndërtuar, duke kontribuar në një ulje të konsiderueshme të dëmeve nga zjarret në pyje dhe duke rritur qëndrueshmërinë e ekosistemit.</w:t>
            </w:r>
          </w:p>
        </w:tc>
      </w:tr>
      <w:tr w:rsidR="00554A2A" w:rsidRPr="001C61AE" w14:paraId="35C323A7" w14:textId="77777777" w:rsidTr="008E17FD">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0F4761"/>
            <w:vAlign w:val="center"/>
          </w:tcPr>
          <w:p w14:paraId="08BF80F6" w14:textId="19FFADFF" w:rsidR="00554A2A" w:rsidRPr="001C61AE" w:rsidRDefault="0040465B" w:rsidP="00A70686">
            <w:pPr>
              <w:widowControl w:val="0"/>
              <w:autoSpaceDE w:val="0"/>
              <w:autoSpaceDN w:val="0"/>
              <w:spacing w:before="0" w:line="240" w:lineRule="auto"/>
              <w:jc w:val="center"/>
              <w:rPr>
                <w:rFonts w:ascii="Arial" w:eastAsia="Times New Roman" w:hAnsi="Arial" w:cs="Arial"/>
                <w:kern w:val="0"/>
                <w:sz w:val="20"/>
                <w:szCs w:val="20"/>
                <w:lang w:val="sq-AL" w:eastAsia="es-ES"/>
                <w14:ligatures w14:val="none"/>
              </w:rPr>
            </w:pPr>
            <w:r w:rsidRPr="001C61AE">
              <w:rPr>
                <w:rFonts w:ascii="Arial" w:eastAsia="Myriad Pro" w:hAnsi="Arial" w:cs="Arial"/>
                <w:sz w:val="20"/>
                <w:szCs w:val="20"/>
                <w:lang w:val="sq-AL"/>
              </w:rPr>
              <w:lastRenderedPageBreak/>
              <w:t>Prioriteti kyç për përshtatje</w:t>
            </w:r>
            <w:r w:rsidR="00554A2A" w:rsidRPr="001C61AE">
              <w:rPr>
                <w:rFonts w:ascii="Arial" w:eastAsia="Myriad Pro" w:hAnsi="Arial" w:cs="Arial"/>
                <w:sz w:val="20"/>
                <w:szCs w:val="20"/>
                <w:lang w:val="sq-AL"/>
              </w:rPr>
              <w:t xml:space="preserve">: </w:t>
            </w:r>
            <w:r w:rsidR="00AD0D94" w:rsidRPr="001C61AE">
              <w:rPr>
                <w:rFonts w:ascii="Arial" w:eastAsia="Myriad Pro" w:hAnsi="Arial" w:cs="Arial"/>
                <w:sz w:val="20"/>
                <w:szCs w:val="20"/>
                <w:lang w:val="sq-AL"/>
              </w:rPr>
              <w:t>Forcimi</w:t>
            </w:r>
            <w:r w:rsidR="009E5186" w:rsidRPr="001C61AE">
              <w:rPr>
                <w:rFonts w:ascii="Arial" w:eastAsia="Myriad Pro" w:hAnsi="Arial" w:cs="Arial"/>
                <w:sz w:val="20"/>
                <w:szCs w:val="20"/>
                <w:lang w:val="sq-AL"/>
              </w:rPr>
              <w:t>i sistemeve të paralajmërimit të hershëm për fermerët</w:t>
            </w:r>
          </w:p>
        </w:tc>
      </w:tr>
      <w:tr w:rsidR="00554A2A" w:rsidRPr="001C61AE" w14:paraId="779E1105" w14:textId="77777777" w:rsidTr="008E17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1A3B7FAF" w14:textId="49BB8D1B" w:rsidR="00554A2A" w:rsidRPr="001C61AE" w:rsidRDefault="00AC67CE" w:rsidP="00A70686">
            <w:pPr>
              <w:widowControl w:val="0"/>
              <w:autoSpaceDE w:val="0"/>
              <w:autoSpaceDN w:val="0"/>
              <w:spacing w:before="0" w:line="240" w:lineRule="auto"/>
              <w:jc w:val="both"/>
              <w:rPr>
                <w:rFonts w:ascii="Arial" w:eastAsia="Times New Roman" w:hAnsi="Arial" w:cs="Arial"/>
                <w:kern w:val="0"/>
                <w:sz w:val="20"/>
                <w:szCs w:val="20"/>
                <w:lang w:val="sq-AL" w:eastAsia="es-ES"/>
                <w14:ligatures w14:val="none"/>
              </w:rPr>
            </w:pPr>
            <w:r w:rsidRPr="001C61AE">
              <w:rPr>
                <w:rFonts w:ascii="Arial" w:hAnsi="Arial" w:cs="Arial"/>
                <w:sz w:val="20"/>
                <w:szCs w:val="20"/>
                <w:lang w:val="sq-AL"/>
              </w:rPr>
              <w:t>III.</w:t>
            </w:r>
            <w:r w:rsidR="00AD0D94" w:rsidRPr="001C61AE">
              <w:rPr>
                <w:rFonts w:ascii="Arial" w:hAnsi="Arial" w:cs="Arial"/>
                <w:sz w:val="20"/>
                <w:szCs w:val="20"/>
                <w:lang w:val="sq-AL"/>
              </w:rPr>
              <w:t xml:space="preserve">35 </w:t>
            </w:r>
            <w:r w:rsidR="009E5186" w:rsidRPr="001C61AE">
              <w:rPr>
                <w:rFonts w:ascii="Arial" w:eastAsia="Myriad Pro" w:hAnsi="Arial" w:cs="Arial"/>
                <w:sz w:val="20"/>
                <w:szCs w:val="20"/>
                <w:lang w:val="sq-AL"/>
              </w:rPr>
              <w:t>Zhvillimi dhe zbatimi i sistemeve të hershme paralajmëruese për thatësira në sektorin e bujqësisë</w:t>
            </w:r>
          </w:p>
        </w:tc>
      </w:tr>
      <w:tr w:rsidR="00D77F2A" w:rsidRPr="001C61AE" w14:paraId="40BCC2E4" w14:textId="77777777" w:rsidTr="00DE4876">
        <w:tc>
          <w:tcPr>
            <w:cnfStyle w:val="001000000000" w:firstRow="0" w:lastRow="0" w:firstColumn="1" w:lastColumn="0" w:oddVBand="0" w:evenVBand="0" w:oddHBand="0" w:evenHBand="0" w:firstRowFirstColumn="0" w:firstRowLastColumn="0" w:lastRowFirstColumn="0" w:lastRowLastColumn="0"/>
            <w:tcW w:w="940" w:type="pct"/>
            <w:vAlign w:val="center"/>
          </w:tcPr>
          <w:p w14:paraId="05FFF2B8" w14:textId="4864B33B" w:rsidR="00DE4876" w:rsidRPr="001C61AE" w:rsidRDefault="00DE4876" w:rsidP="00DE4876">
            <w:pPr>
              <w:widowControl w:val="0"/>
              <w:autoSpaceDE w:val="0"/>
              <w:autoSpaceDN w:val="0"/>
              <w:spacing w:before="0" w:line="240" w:lineRule="auto"/>
              <w:jc w:val="center"/>
              <w:rPr>
                <w:rFonts w:ascii="Arial" w:eastAsia="Myriad Pro" w:hAnsi="Arial" w:cs="Arial"/>
                <w:b w:val="0"/>
                <w:bCs w:val="0"/>
                <w:sz w:val="20"/>
                <w:szCs w:val="20"/>
                <w:lang w:val="sq-AL"/>
              </w:rPr>
            </w:pPr>
            <w:r w:rsidRPr="001C61AE">
              <w:rPr>
                <w:rFonts w:ascii="Arial" w:eastAsia="Myriad Pro" w:hAnsi="Arial" w:cs="Arial"/>
                <w:sz w:val="20"/>
                <w:szCs w:val="20"/>
                <w:lang w:val="sq-AL"/>
              </w:rPr>
              <w:t>Statusi i sistemit kombëtar të paralajmërimit të hershëm për thatësirën dhe shtrirja e tij operative tek fermerët.</w:t>
            </w:r>
          </w:p>
        </w:tc>
        <w:tc>
          <w:tcPr>
            <w:tcW w:w="1036" w:type="pct"/>
            <w:vAlign w:val="center"/>
          </w:tcPr>
          <w:p w14:paraId="470F20BC" w14:textId="64FAB82C" w:rsidR="00DE4876" w:rsidRPr="001C61AE" w:rsidRDefault="00DE4876" w:rsidP="00DE487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Sistem i kufizuar, shpërndarje sporadike e parashikimeve të thatësirës.</w:t>
            </w:r>
          </w:p>
        </w:tc>
        <w:tc>
          <w:tcPr>
            <w:tcW w:w="1008" w:type="pct"/>
            <w:vAlign w:val="center"/>
          </w:tcPr>
          <w:p w14:paraId="2A67A65D" w14:textId="7FAC2A33" w:rsidR="00DE4876" w:rsidRPr="001C61AE" w:rsidRDefault="00DE4876" w:rsidP="00DE487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Sistem gjithëpërfshirës i paralajmërimit të hershëm për thatësirën i projektuar; zbatimi i fazës pilot që mbulon komunat kryesore bujqësore.</w:t>
            </w:r>
          </w:p>
        </w:tc>
        <w:tc>
          <w:tcPr>
            <w:tcW w:w="1008" w:type="pct"/>
            <w:vAlign w:val="center"/>
          </w:tcPr>
          <w:p w14:paraId="6565FDFF" w14:textId="2FBF81C6" w:rsidR="00DE4876" w:rsidRPr="001C61AE" w:rsidRDefault="00DE4876" w:rsidP="00DE487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Sistem i plotë operacional i paralajmërimit të hershëm për thatësirën i disponueshëm në të gjithë vendin, parashikime të rregullta sezonale të arritshme për shumicën e fermerëve.</w:t>
            </w:r>
          </w:p>
        </w:tc>
        <w:tc>
          <w:tcPr>
            <w:tcW w:w="1008" w:type="pct"/>
            <w:shd w:val="clear" w:color="auto" w:fill="FFFFFF" w:themeFill="background1"/>
            <w:vAlign w:val="center"/>
          </w:tcPr>
          <w:p w14:paraId="14CE1307" w14:textId="6755D859" w:rsidR="00DE4876" w:rsidRPr="001C61AE" w:rsidRDefault="00DE4876" w:rsidP="00DE487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Sistem plotësisht i integruar i menaxhimit të thatësirës, ​​i ngulitur brenda politikës kombëtare të klimës; fermerët mbështeten universalisht në këshilla të sakta dhe në kohë për thatësirën.</w:t>
            </w:r>
          </w:p>
        </w:tc>
      </w:tr>
      <w:tr w:rsidR="00554A2A" w:rsidRPr="001C61AE" w14:paraId="654F4020" w14:textId="77777777" w:rsidTr="008E17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248D8C62" w14:textId="3B2119B4" w:rsidR="00554A2A" w:rsidRPr="001C61AE" w:rsidRDefault="00AC67CE" w:rsidP="00A70686">
            <w:pPr>
              <w:widowControl w:val="0"/>
              <w:autoSpaceDE w:val="0"/>
              <w:autoSpaceDN w:val="0"/>
              <w:spacing w:before="0" w:line="240" w:lineRule="auto"/>
              <w:jc w:val="both"/>
              <w:rPr>
                <w:rFonts w:ascii="Arial" w:eastAsia="Myriad Pro" w:hAnsi="Arial" w:cs="Arial"/>
                <w:sz w:val="20"/>
                <w:szCs w:val="20"/>
                <w:lang w:val="sq-AL"/>
              </w:rPr>
            </w:pPr>
            <w:r w:rsidRPr="001C61AE">
              <w:rPr>
                <w:rFonts w:ascii="Arial" w:hAnsi="Arial" w:cs="Arial"/>
                <w:sz w:val="20"/>
                <w:szCs w:val="20"/>
                <w:lang w:val="sq-AL"/>
              </w:rPr>
              <w:t>III.3</w:t>
            </w:r>
            <w:r w:rsidR="00AD0D94" w:rsidRPr="001C61AE">
              <w:rPr>
                <w:rFonts w:ascii="Arial" w:hAnsi="Arial" w:cs="Arial"/>
                <w:sz w:val="20"/>
                <w:szCs w:val="20"/>
                <w:lang w:val="sq-AL"/>
              </w:rPr>
              <w:t>6</w:t>
            </w:r>
            <w:r w:rsidR="00554A2A" w:rsidRPr="001C61AE">
              <w:rPr>
                <w:rFonts w:ascii="Arial" w:hAnsi="Arial" w:cs="Arial"/>
                <w:sz w:val="20"/>
                <w:szCs w:val="20"/>
                <w:lang w:val="sq-AL"/>
              </w:rPr>
              <w:t xml:space="preserve"> </w:t>
            </w:r>
            <w:r w:rsidR="009E5186" w:rsidRPr="001C61AE">
              <w:rPr>
                <w:rFonts w:ascii="Arial" w:eastAsia="Myriad Pro" w:hAnsi="Arial" w:cs="Arial"/>
                <w:sz w:val="20"/>
                <w:szCs w:val="20"/>
                <w:lang w:val="sq-AL"/>
              </w:rPr>
              <w:t>Krijimi dhe funksionalizimi i sistemeve të paralajmërimit dhe gatishmërisë ndaj përmbytjeve në zonat bujqësore</w:t>
            </w:r>
          </w:p>
        </w:tc>
      </w:tr>
      <w:tr w:rsidR="00D77F2A" w:rsidRPr="001C61AE" w14:paraId="6456F35C" w14:textId="77777777" w:rsidTr="00DE4876">
        <w:tc>
          <w:tcPr>
            <w:cnfStyle w:val="001000000000" w:firstRow="0" w:lastRow="0" w:firstColumn="1" w:lastColumn="0" w:oddVBand="0" w:evenVBand="0" w:oddHBand="0" w:evenHBand="0" w:firstRowFirstColumn="0" w:firstRowLastColumn="0" w:lastRowFirstColumn="0" w:lastRowLastColumn="0"/>
            <w:tcW w:w="940" w:type="pct"/>
            <w:vAlign w:val="center"/>
          </w:tcPr>
          <w:p w14:paraId="2C5BF221" w14:textId="42077E14" w:rsidR="00DE4876" w:rsidRPr="001C61AE" w:rsidRDefault="00DE4876" w:rsidP="00DE4876">
            <w:pPr>
              <w:widowControl w:val="0"/>
              <w:autoSpaceDE w:val="0"/>
              <w:autoSpaceDN w:val="0"/>
              <w:spacing w:before="0" w:line="240" w:lineRule="auto"/>
              <w:jc w:val="center"/>
              <w:rPr>
                <w:rFonts w:ascii="Arial" w:eastAsia="Myriad Pro" w:hAnsi="Arial" w:cs="Arial"/>
                <w:b w:val="0"/>
                <w:bCs w:val="0"/>
                <w:sz w:val="20"/>
                <w:szCs w:val="20"/>
                <w:highlight w:val="yellow"/>
                <w:lang w:val="sq-AL"/>
              </w:rPr>
            </w:pPr>
            <w:r w:rsidRPr="001C61AE">
              <w:rPr>
                <w:rFonts w:ascii="Arial" w:eastAsia="Myriad Pro" w:hAnsi="Arial" w:cs="Arial"/>
                <w:sz w:val="20"/>
                <w:szCs w:val="20"/>
                <w:lang w:val="sq-AL"/>
              </w:rPr>
              <w:t xml:space="preserve">Numri i komunave me rrezik të lartë me plane </w:t>
            </w:r>
            <w:r w:rsidR="00F57D9B" w:rsidRPr="001C61AE">
              <w:rPr>
                <w:rFonts w:ascii="Arial" w:eastAsia="Myriad Pro" w:hAnsi="Arial" w:cs="Arial"/>
                <w:sz w:val="20"/>
                <w:szCs w:val="20"/>
                <w:lang w:val="sq-AL"/>
              </w:rPr>
              <w:t xml:space="preserve">veprimi </w:t>
            </w:r>
            <w:r w:rsidRPr="001C61AE">
              <w:rPr>
                <w:rFonts w:ascii="Arial" w:eastAsia="Myriad Pro" w:hAnsi="Arial" w:cs="Arial"/>
                <w:sz w:val="20"/>
                <w:szCs w:val="20"/>
                <w:lang w:val="sq-AL"/>
              </w:rPr>
              <w:t xml:space="preserve">të paralajmërimit të hershëm dhe </w:t>
            </w:r>
            <w:r w:rsidR="00F57D9B" w:rsidRPr="001C61AE">
              <w:rPr>
                <w:rFonts w:ascii="Arial" w:eastAsia="Myriad Pro" w:hAnsi="Arial" w:cs="Arial"/>
                <w:sz w:val="20"/>
                <w:szCs w:val="20"/>
                <w:lang w:val="sq-AL"/>
              </w:rPr>
              <w:t xml:space="preserve">gatishmërisë </w:t>
            </w:r>
            <w:r w:rsidRPr="001C61AE">
              <w:rPr>
                <w:rFonts w:ascii="Arial" w:eastAsia="Myriad Pro" w:hAnsi="Arial" w:cs="Arial"/>
                <w:sz w:val="20"/>
                <w:szCs w:val="20"/>
                <w:lang w:val="sq-AL"/>
              </w:rPr>
              <w:t>për përmbytjet.</w:t>
            </w:r>
          </w:p>
        </w:tc>
        <w:tc>
          <w:tcPr>
            <w:tcW w:w="1036" w:type="pct"/>
            <w:vAlign w:val="center"/>
          </w:tcPr>
          <w:p w14:paraId="5E64A20B" w14:textId="106DFABA" w:rsidR="00DE4876" w:rsidRPr="001C61AE" w:rsidRDefault="00DE4876" w:rsidP="00DE487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highlight w:val="yellow"/>
                <w:lang w:val="sq-AL"/>
              </w:rPr>
            </w:pPr>
            <w:r w:rsidRPr="001C61AE">
              <w:rPr>
                <w:rFonts w:ascii="Arial" w:eastAsia="Myriad Pro" w:hAnsi="Arial" w:cs="Arial"/>
                <w:sz w:val="20"/>
                <w:szCs w:val="20"/>
                <w:lang w:val="sq-AL"/>
              </w:rPr>
              <w:t xml:space="preserve">Vlerësimet paraprake të kryera; plane minimale </w:t>
            </w:r>
            <w:r w:rsidR="00F57D9B" w:rsidRPr="001C61AE">
              <w:rPr>
                <w:rFonts w:ascii="Arial" w:eastAsia="Myriad Pro" w:hAnsi="Arial" w:cs="Arial"/>
                <w:sz w:val="20"/>
                <w:szCs w:val="20"/>
                <w:lang w:val="sq-AL"/>
              </w:rPr>
              <w:t xml:space="preserve">veprimi </w:t>
            </w:r>
            <w:r w:rsidRPr="001C61AE">
              <w:rPr>
                <w:rFonts w:ascii="Arial" w:eastAsia="Myriad Pro" w:hAnsi="Arial" w:cs="Arial"/>
                <w:sz w:val="20"/>
                <w:szCs w:val="20"/>
                <w:lang w:val="sq-AL"/>
              </w:rPr>
              <w:t>në nivel komuniteti.</w:t>
            </w:r>
          </w:p>
        </w:tc>
        <w:tc>
          <w:tcPr>
            <w:tcW w:w="1008" w:type="pct"/>
            <w:vAlign w:val="center"/>
          </w:tcPr>
          <w:p w14:paraId="55A979D4" w14:textId="13660F8A" w:rsidR="00DE4876" w:rsidRPr="001C61AE" w:rsidRDefault="00DE4876" w:rsidP="00DE487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highlight w:val="yellow"/>
                <w:lang w:val="sq-AL"/>
              </w:rPr>
            </w:pPr>
            <w:r w:rsidRPr="001C61AE">
              <w:rPr>
                <w:rFonts w:ascii="Arial" w:eastAsia="Myriad Pro" w:hAnsi="Arial" w:cs="Arial"/>
                <w:sz w:val="20"/>
                <w:szCs w:val="20"/>
                <w:lang w:val="sq-AL"/>
              </w:rPr>
              <w:t xml:space="preserve">Planet e </w:t>
            </w:r>
            <w:r w:rsidR="009E345F" w:rsidRPr="001C61AE">
              <w:rPr>
                <w:rFonts w:ascii="Arial" w:eastAsia="Myriad Pro" w:hAnsi="Arial" w:cs="Arial"/>
                <w:sz w:val="20"/>
                <w:szCs w:val="20"/>
                <w:lang w:val="sq-AL"/>
              </w:rPr>
              <w:t xml:space="preserve">gatishmërisë </w:t>
            </w:r>
            <w:r w:rsidRPr="001C61AE">
              <w:rPr>
                <w:rFonts w:ascii="Arial" w:eastAsia="Myriad Pro" w:hAnsi="Arial" w:cs="Arial"/>
                <w:sz w:val="20"/>
                <w:szCs w:val="20"/>
                <w:lang w:val="sq-AL"/>
              </w:rPr>
              <w:t>për përmbytjet janë funksionale në të paktën 10 komunave me rrezik të lartë.</w:t>
            </w:r>
          </w:p>
        </w:tc>
        <w:tc>
          <w:tcPr>
            <w:tcW w:w="1008" w:type="pct"/>
            <w:vAlign w:val="center"/>
          </w:tcPr>
          <w:p w14:paraId="61B3A131" w14:textId="3004A004" w:rsidR="00DE4876" w:rsidRPr="001C61AE" w:rsidRDefault="00DE4876" w:rsidP="00DE487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highlight w:val="yellow"/>
                <w:lang w:val="sq-AL"/>
              </w:rPr>
            </w:pPr>
            <w:r w:rsidRPr="001C61AE">
              <w:rPr>
                <w:rFonts w:ascii="Arial" w:eastAsia="Myriad Pro" w:hAnsi="Arial" w:cs="Arial"/>
                <w:sz w:val="20"/>
                <w:szCs w:val="20"/>
                <w:lang w:val="sq-AL"/>
              </w:rPr>
              <w:t>Planet e paralajmërimit të hershëm dhe reagimit ndaj përmbytjeve janë plotësisht funksionale në të gjitha zonat e identifikuara me rrezik të lartë (&gt;30 komuna).</w:t>
            </w:r>
          </w:p>
        </w:tc>
        <w:tc>
          <w:tcPr>
            <w:tcW w:w="1008" w:type="pct"/>
            <w:shd w:val="clear" w:color="auto" w:fill="FFFFFF" w:themeFill="background1"/>
            <w:vAlign w:val="center"/>
          </w:tcPr>
          <w:p w14:paraId="433BB336" w14:textId="7208D60D" w:rsidR="00DE4876" w:rsidRPr="001C61AE" w:rsidRDefault="00DE4876" w:rsidP="00DE487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highlight w:val="yellow"/>
                <w:lang w:val="sq-AL"/>
              </w:rPr>
            </w:pPr>
            <w:r w:rsidRPr="001C61AE">
              <w:rPr>
                <w:rFonts w:ascii="Arial" w:eastAsia="Myriad Pro" w:hAnsi="Arial" w:cs="Arial"/>
                <w:sz w:val="20"/>
                <w:szCs w:val="20"/>
                <w:lang w:val="sq-AL"/>
              </w:rPr>
              <w:t xml:space="preserve">Menaxhimi gjithëpërfshirës i rrezikut nga përmbytjet është i integruar në planifikimin </w:t>
            </w:r>
            <w:r w:rsidR="00D77F2A" w:rsidRPr="001C61AE">
              <w:rPr>
                <w:rFonts w:ascii="Arial" w:eastAsia="Myriad Pro" w:hAnsi="Arial" w:cs="Arial"/>
                <w:sz w:val="20"/>
                <w:szCs w:val="20"/>
                <w:lang w:val="sq-AL"/>
              </w:rPr>
              <w:t>komunal</w:t>
            </w:r>
            <w:r w:rsidRPr="001C61AE">
              <w:rPr>
                <w:rFonts w:ascii="Arial" w:eastAsia="Myriad Pro" w:hAnsi="Arial" w:cs="Arial"/>
                <w:sz w:val="20"/>
                <w:szCs w:val="20"/>
                <w:lang w:val="sq-AL"/>
              </w:rPr>
              <w:t xml:space="preserve"> në të gjithë vendin; sisteme plotësisht funksionale të paralajmërimit të hershëm dhe reagimit.</w:t>
            </w:r>
          </w:p>
        </w:tc>
      </w:tr>
      <w:tr w:rsidR="00554A2A" w:rsidRPr="001C61AE" w14:paraId="3122E12C" w14:textId="77777777" w:rsidTr="008E17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76C2FAF8" w14:textId="7FE3EBF9" w:rsidR="00554A2A" w:rsidRPr="001C61AE" w:rsidRDefault="00AC67CE" w:rsidP="00A70686">
            <w:pPr>
              <w:widowControl w:val="0"/>
              <w:autoSpaceDE w:val="0"/>
              <w:autoSpaceDN w:val="0"/>
              <w:spacing w:before="0" w:line="240" w:lineRule="auto"/>
              <w:jc w:val="both"/>
              <w:rPr>
                <w:rFonts w:ascii="Arial" w:eastAsia="Myriad Pro" w:hAnsi="Arial" w:cs="Arial"/>
                <w:sz w:val="20"/>
                <w:szCs w:val="20"/>
                <w:lang w:val="sq-AL"/>
              </w:rPr>
            </w:pPr>
            <w:r w:rsidRPr="001C61AE">
              <w:rPr>
                <w:rFonts w:ascii="Arial" w:hAnsi="Arial" w:cs="Arial"/>
                <w:sz w:val="20"/>
                <w:szCs w:val="20"/>
                <w:lang w:val="sq-AL"/>
              </w:rPr>
              <w:t>III.3</w:t>
            </w:r>
            <w:r w:rsidR="00AD0D94" w:rsidRPr="001C61AE">
              <w:rPr>
                <w:rFonts w:ascii="Arial" w:hAnsi="Arial" w:cs="Arial"/>
                <w:sz w:val="20"/>
                <w:szCs w:val="20"/>
                <w:lang w:val="sq-AL"/>
              </w:rPr>
              <w:t>7</w:t>
            </w:r>
            <w:r w:rsidR="00554A2A" w:rsidRPr="001C61AE">
              <w:rPr>
                <w:rFonts w:ascii="Arial" w:hAnsi="Arial" w:cs="Arial"/>
                <w:sz w:val="20"/>
                <w:szCs w:val="20"/>
                <w:lang w:val="sq-AL"/>
              </w:rPr>
              <w:t xml:space="preserve"> </w:t>
            </w:r>
            <w:r w:rsidR="009E5186" w:rsidRPr="001C61AE">
              <w:rPr>
                <w:rFonts w:ascii="Arial" w:eastAsia="Myriad Pro" w:hAnsi="Arial" w:cs="Arial"/>
                <w:sz w:val="20"/>
                <w:szCs w:val="20"/>
                <w:lang w:val="sq-AL"/>
              </w:rPr>
              <w:t>Fuqizimi i kapaciteteve për monitorim, zbulim të hershëm dhe reagim të shpejtë ndaj zjarreve në pyje</w:t>
            </w:r>
          </w:p>
        </w:tc>
      </w:tr>
      <w:tr w:rsidR="00D77F2A" w:rsidRPr="001C61AE" w14:paraId="45C5F6A9" w14:textId="77777777" w:rsidTr="00DE4876">
        <w:tc>
          <w:tcPr>
            <w:cnfStyle w:val="001000000000" w:firstRow="0" w:lastRow="0" w:firstColumn="1" w:lastColumn="0" w:oddVBand="0" w:evenVBand="0" w:oddHBand="0" w:evenHBand="0" w:firstRowFirstColumn="0" w:firstRowLastColumn="0" w:lastRowFirstColumn="0" w:lastRowLastColumn="0"/>
            <w:tcW w:w="940" w:type="pct"/>
            <w:vAlign w:val="center"/>
          </w:tcPr>
          <w:p w14:paraId="2225302D" w14:textId="191EB05A" w:rsidR="00DE4876" w:rsidRPr="001C61AE" w:rsidRDefault="00DE4876" w:rsidP="00DE4876">
            <w:pPr>
              <w:widowControl w:val="0"/>
              <w:autoSpaceDE w:val="0"/>
              <w:autoSpaceDN w:val="0"/>
              <w:spacing w:before="0" w:line="240" w:lineRule="auto"/>
              <w:jc w:val="center"/>
              <w:rPr>
                <w:rFonts w:ascii="Arial" w:eastAsia="Myriad Pro" w:hAnsi="Arial" w:cs="Arial"/>
                <w:b w:val="0"/>
                <w:bCs w:val="0"/>
                <w:sz w:val="20"/>
                <w:szCs w:val="20"/>
                <w:lang w:val="sq-AL"/>
              </w:rPr>
            </w:pPr>
            <w:r w:rsidRPr="001C61AE">
              <w:rPr>
                <w:rFonts w:ascii="Arial" w:eastAsia="Myriad Pro" w:hAnsi="Arial" w:cs="Arial"/>
                <w:sz w:val="20"/>
                <w:szCs w:val="20"/>
                <w:lang w:val="sq-AL"/>
              </w:rPr>
              <w:t>Mbulimi dhe efektiviteti i sistemit të paralajmërimit të hershëm dhe reagimit të shpejtë për zjarret në pyje.</w:t>
            </w:r>
          </w:p>
        </w:tc>
        <w:tc>
          <w:tcPr>
            <w:tcW w:w="1036" w:type="pct"/>
            <w:vAlign w:val="center"/>
          </w:tcPr>
          <w:p w14:paraId="07B5E400" w14:textId="0A908933" w:rsidR="00DE4876" w:rsidRPr="001C61AE" w:rsidRDefault="00DE4876" w:rsidP="00DE487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Aftësi e kufizuar zbulimi dhe reagimi; qasje manuale dhe e fragmentuar.</w:t>
            </w:r>
          </w:p>
        </w:tc>
        <w:tc>
          <w:tcPr>
            <w:tcW w:w="1008" w:type="pct"/>
            <w:vAlign w:val="center"/>
          </w:tcPr>
          <w:p w14:paraId="67F88992" w14:textId="2E46DF5B" w:rsidR="00DE4876" w:rsidRPr="001C61AE" w:rsidRDefault="00DE4876" w:rsidP="00DE487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Sisteme të vendosura dhe funksionale të paralajmërimit të hershëm për zjarret në pyje që mbulojnë të gjitha zonat pyjore me rrezik të lartë; ndërtim i konsiderueshëm i kapaciteteve në proces.</w:t>
            </w:r>
          </w:p>
        </w:tc>
        <w:tc>
          <w:tcPr>
            <w:tcW w:w="1008" w:type="pct"/>
            <w:vAlign w:val="center"/>
          </w:tcPr>
          <w:p w14:paraId="44C2A15F" w14:textId="6925A741" w:rsidR="00DE4876" w:rsidRPr="001C61AE" w:rsidRDefault="00DE4876" w:rsidP="00DE487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Sisteme gjithëpërfshirëse dhe të automatizuara të monitorimit të zjarreve në pyje janë plotësisht funksionale, duke mundësuar reagim të shpejtë në të gjitha pyjet me rrezik të lartë.</w:t>
            </w:r>
          </w:p>
        </w:tc>
        <w:tc>
          <w:tcPr>
            <w:tcW w:w="1008" w:type="pct"/>
            <w:shd w:val="clear" w:color="auto" w:fill="FFFFFF" w:themeFill="background1"/>
            <w:vAlign w:val="center"/>
          </w:tcPr>
          <w:p w14:paraId="79B59299" w14:textId="6B6C537E" w:rsidR="00DE4876" w:rsidRPr="001C61AE" w:rsidRDefault="00DE4876" w:rsidP="00DE487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 xml:space="preserve">Paralajmërimi i hershëm për zjarret në pyje është plotësisht i integruar me strategjinë kombëtare për </w:t>
            </w:r>
            <w:r w:rsidR="007C26E9" w:rsidRPr="001C61AE">
              <w:rPr>
                <w:rFonts w:ascii="Arial" w:eastAsia="Myriad Pro" w:hAnsi="Arial" w:cs="Arial"/>
                <w:sz w:val="20"/>
                <w:szCs w:val="20"/>
                <w:lang w:val="sq-AL"/>
              </w:rPr>
              <w:t xml:space="preserve">zvogëlimin </w:t>
            </w:r>
            <w:r w:rsidRPr="001C61AE">
              <w:rPr>
                <w:rFonts w:ascii="Arial" w:eastAsia="Myriad Pro" w:hAnsi="Arial" w:cs="Arial"/>
                <w:sz w:val="20"/>
                <w:szCs w:val="20"/>
                <w:lang w:val="sq-AL"/>
              </w:rPr>
              <w:t>e rrezikut nga fatkeqësitë; zbulim i automatizuar, kohë minimale reagimi, zjarre të kontrolluara në mënyrë efektive.</w:t>
            </w:r>
          </w:p>
        </w:tc>
      </w:tr>
      <w:tr w:rsidR="00554A2A" w:rsidRPr="001C61AE" w14:paraId="51D2677C" w14:textId="77777777" w:rsidTr="008E17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1C0A4A55" w14:textId="65E0AAA3" w:rsidR="00554A2A" w:rsidRPr="001C61AE" w:rsidRDefault="00AC67CE" w:rsidP="00A70686">
            <w:pPr>
              <w:widowControl w:val="0"/>
              <w:autoSpaceDE w:val="0"/>
              <w:autoSpaceDN w:val="0"/>
              <w:spacing w:before="0" w:line="240" w:lineRule="auto"/>
              <w:jc w:val="both"/>
              <w:rPr>
                <w:rFonts w:ascii="Arial" w:eastAsia="Myriad Pro" w:hAnsi="Arial" w:cs="Arial"/>
                <w:sz w:val="20"/>
                <w:szCs w:val="20"/>
                <w:lang w:val="sq-AL"/>
              </w:rPr>
            </w:pPr>
            <w:r w:rsidRPr="001C61AE">
              <w:rPr>
                <w:rFonts w:ascii="Arial" w:hAnsi="Arial" w:cs="Arial"/>
                <w:sz w:val="20"/>
                <w:szCs w:val="20"/>
                <w:lang w:val="sq-AL"/>
              </w:rPr>
              <w:t>III.3</w:t>
            </w:r>
            <w:r w:rsidR="00AD0D94" w:rsidRPr="001C61AE">
              <w:rPr>
                <w:rFonts w:ascii="Arial" w:hAnsi="Arial" w:cs="Arial"/>
                <w:sz w:val="20"/>
                <w:szCs w:val="20"/>
                <w:lang w:val="sq-AL"/>
              </w:rPr>
              <w:t>8</w:t>
            </w:r>
            <w:r w:rsidR="00554A2A" w:rsidRPr="001C61AE">
              <w:rPr>
                <w:rFonts w:ascii="Arial" w:hAnsi="Arial" w:cs="Arial"/>
                <w:sz w:val="20"/>
                <w:szCs w:val="20"/>
                <w:lang w:val="sq-AL"/>
              </w:rPr>
              <w:t xml:space="preserve"> </w:t>
            </w:r>
            <w:r w:rsidR="009E5186" w:rsidRPr="001C61AE">
              <w:rPr>
                <w:rFonts w:ascii="Arial" w:eastAsia="Myriad Pro" w:hAnsi="Arial" w:cs="Arial"/>
                <w:sz w:val="20"/>
                <w:szCs w:val="20"/>
                <w:lang w:val="sq-AL"/>
              </w:rPr>
              <w:t>Përmirësimi i sistemeve të paralajmërimit të hershëm dhe reagimit të shpejtë ndaj dëmtuesve dhe sëmundjeve në bujqësi dhe pylltari</w:t>
            </w:r>
          </w:p>
        </w:tc>
      </w:tr>
      <w:tr w:rsidR="00D77F2A" w:rsidRPr="001C61AE" w14:paraId="6E69AEB0" w14:textId="77777777" w:rsidTr="00DE4876">
        <w:tc>
          <w:tcPr>
            <w:cnfStyle w:val="001000000000" w:firstRow="0" w:lastRow="0" w:firstColumn="1" w:lastColumn="0" w:oddVBand="0" w:evenVBand="0" w:oddHBand="0" w:evenHBand="0" w:firstRowFirstColumn="0" w:firstRowLastColumn="0" w:lastRowFirstColumn="0" w:lastRowLastColumn="0"/>
            <w:tcW w:w="940" w:type="pct"/>
            <w:vAlign w:val="center"/>
          </w:tcPr>
          <w:p w14:paraId="0FD8DA44" w14:textId="29648839" w:rsidR="00DE4876" w:rsidRPr="001C61AE" w:rsidRDefault="00DE4876" w:rsidP="00DE4876">
            <w:pPr>
              <w:widowControl w:val="0"/>
              <w:autoSpaceDE w:val="0"/>
              <w:autoSpaceDN w:val="0"/>
              <w:spacing w:before="0" w:line="240" w:lineRule="auto"/>
              <w:jc w:val="center"/>
              <w:rPr>
                <w:rFonts w:ascii="Arial" w:eastAsia="Myriad Pro" w:hAnsi="Arial" w:cs="Arial"/>
                <w:b w:val="0"/>
                <w:bCs w:val="0"/>
                <w:sz w:val="20"/>
                <w:szCs w:val="20"/>
                <w:highlight w:val="yellow"/>
                <w:lang w:val="sq-AL"/>
              </w:rPr>
            </w:pPr>
            <w:r w:rsidRPr="001C61AE">
              <w:rPr>
                <w:rFonts w:ascii="Arial" w:eastAsia="Myriad Pro" w:hAnsi="Arial" w:cs="Arial"/>
                <w:sz w:val="20"/>
                <w:szCs w:val="20"/>
                <w:lang w:val="sq-AL"/>
              </w:rPr>
              <w:t>Numri i komunave me rrezik të lartë me plane</w:t>
            </w:r>
            <w:r w:rsidR="007C26E9" w:rsidRPr="001C61AE">
              <w:rPr>
                <w:rFonts w:ascii="Arial" w:eastAsia="Myriad Pro" w:hAnsi="Arial" w:cs="Arial"/>
                <w:sz w:val="20"/>
                <w:szCs w:val="20"/>
                <w:lang w:val="sq-AL"/>
              </w:rPr>
              <w:t>veprimi</w:t>
            </w:r>
            <w:r w:rsidRPr="001C61AE">
              <w:rPr>
                <w:rFonts w:ascii="Arial" w:eastAsia="Myriad Pro" w:hAnsi="Arial" w:cs="Arial"/>
                <w:sz w:val="20"/>
                <w:szCs w:val="20"/>
                <w:lang w:val="sq-AL"/>
              </w:rPr>
              <w:t xml:space="preserve"> të paralajmërimit të hershëm dhe </w:t>
            </w:r>
            <w:r w:rsidR="007C26E9" w:rsidRPr="001C61AE">
              <w:rPr>
                <w:rFonts w:ascii="Arial" w:eastAsia="Myriad Pro" w:hAnsi="Arial" w:cs="Arial"/>
                <w:sz w:val="20"/>
                <w:szCs w:val="20"/>
                <w:lang w:val="sq-AL"/>
              </w:rPr>
              <w:t xml:space="preserve">gatishmërisë </w:t>
            </w:r>
            <w:r w:rsidRPr="001C61AE">
              <w:rPr>
                <w:rFonts w:ascii="Arial" w:eastAsia="Myriad Pro" w:hAnsi="Arial" w:cs="Arial"/>
                <w:sz w:val="20"/>
                <w:szCs w:val="20"/>
                <w:lang w:val="sq-AL"/>
              </w:rPr>
              <w:t>për përmbytjet</w:t>
            </w:r>
            <w:r w:rsidR="00E76A08" w:rsidRPr="001C61AE">
              <w:rPr>
                <w:rFonts w:ascii="Arial" w:eastAsia="Myriad Pro" w:hAnsi="Arial" w:cs="Arial"/>
                <w:sz w:val="20"/>
                <w:szCs w:val="20"/>
                <w:lang w:val="sq-AL"/>
              </w:rPr>
              <w:t>, dëmtuesit dhe sëmundjet në bujqësi dhe pylltari</w:t>
            </w:r>
            <w:r w:rsidRPr="001C61AE">
              <w:rPr>
                <w:rFonts w:ascii="Arial" w:eastAsia="Myriad Pro" w:hAnsi="Arial" w:cs="Arial"/>
                <w:sz w:val="20"/>
                <w:szCs w:val="20"/>
                <w:lang w:val="sq-AL"/>
              </w:rPr>
              <w:t>.</w:t>
            </w:r>
          </w:p>
        </w:tc>
        <w:tc>
          <w:tcPr>
            <w:tcW w:w="1036" w:type="pct"/>
            <w:vAlign w:val="center"/>
          </w:tcPr>
          <w:p w14:paraId="0D3A0A7E" w14:textId="10CAC0C9" w:rsidR="00DE4876" w:rsidRPr="001C61AE" w:rsidRDefault="00DE4876" w:rsidP="00DE487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 xml:space="preserve">Vlerësimet paraprake të kryera; plane minimale </w:t>
            </w:r>
            <w:r w:rsidR="007C26E9" w:rsidRPr="001C61AE">
              <w:rPr>
                <w:rFonts w:ascii="Arial" w:eastAsia="Myriad Pro" w:hAnsi="Arial" w:cs="Arial"/>
                <w:sz w:val="20"/>
                <w:szCs w:val="20"/>
                <w:lang w:val="sq-AL"/>
              </w:rPr>
              <w:t xml:space="preserve">veprimi </w:t>
            </w:r>
            <w:r w:rsidRPr="001C61AE">
              <w:rPr>
                <w:rFonts w:ascii="Arial" w:eastAsia="Myriad Pro" w:hAnsi="Arial" w:cs="Arial"/>
                <w:sz w:val="20"/>
                <w:szCs w:val="20"/>
                <w:lang w:val="sq-AL"/>
              </w:rPr>
              <w:t>në nivel komuniteti.</w:t>
            </w:r>
          </w:p>
        </w:tc>
        <w:tc>
          <w:tcPr>
            <w:tcW w:w="1008" w:type="pct"/>
            <w:vAlign w:val="center"/>
          </w:tcPr>
          <w:p w14:paraId="06B14890" w14:textId="755791F5" w:rsidR="00DE4876" w:rsidRPr="001C61AE" w:rsidRDefault="00DE4876" w:rsidP="00DE487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lang w:val="sq-AL"/>
              </w:rPr>
            </w:pPr>
            <w:r w:rsidRPr="001C61AE">
              <w:rPr>
                <w:rFonts w:ascii="Arial" w:eastAsia="Myriad Pro" w:hAnsi="Arial" w:cs="Arial"/>
                <w:sz w:val="20"/>
                <w:szCs w:val="20"/>
                <w:lang w:val="sq-AL"/>
              </w:rPr>
              <w:t xml:space="preserve">Planet e </w:t>
            </w:r>
            <w:r w:rsidR="00E76A08" w:rsidRPr="001C61AE">
              <w:rPr>
                <w:rFonts w:ascii="Arial" w:eastAsia="Myriad Pro" w:hAnsi="Arial" w:cs="Arial"/>
                <w:sz w:val="20"/>
                <w:szCs w:val="20"/>
                <w:lang w:val="sq-AL"/>
              </w:rPr>
              <w:t xml:space="preserve">gatishmërisë </w:t>
            </w:r>
            <w:r w:rsidRPr="001C61AE">
              <w:rPr>
                <w:rFonts w:ascii="Arial" w:eastAsia="Myriad Pro" w:hAnsi="Arial" w:cs="Arial"/>
                <w:sz w:val="20"/>
                <w:szCs w:val="20"/>
                <w:lang w:val="sq-AL"/>
              </w:rPr>
              <w:t>për përmbytjet</w:t>
            </w:r>
            <w:r w:rsidR="00E76A08" w:rsidRPr="001C61AE">
              <w:rPr>
                <w:rFonts w:ascii="Arial" w:eastAsia="Myriad Pro" w:hAnsi="Arial" w:cs="Arial"/>
                <w:sz w:val="20"/>
                <w:szCs w:val="20"/>
                <w:lang w:val="sq-AL"/>
              </w:rPr>
              <w:t>, dëmtuesit dhe sëmundjet në bujqësi dhe pylltari</w:t>
            </w:r>
            <w:r w:rsidRPr="001C61AE">
              <w:rPr>
                <w:rFonts w:ascii="Arial" w:eastAsia="Myriad Pro" w:hAnsi="Arial" w:cs="Arial"/>
                <w:sz w:val="20"/>
                <w:szCs w:val="20"/>
                <w:lang w:val="sq-AL"/>
              </w:rPr>
              <w:t xml:space="preserve"> janë funksionale në të paktën 10 bashki me rrezik të lartë.</w:t>
            </w:r>
          </w:p>
        </w:tc>
        <w:tc>
          <w:tcPr>
            <w:tcW w:w="1008" w:type="pct"/>
            <w:vAlign w:val="center"/>
          </w:tcPr>
          <w:p w14:paraId="5A39660C" w14:textId="5EE65E26" w:rsidR="00DE4876" w:rsidRPr="001C61AE" w:rsidRDefault="00DE4876" w:rsidP="00DE487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highlight w:val="yellow"/>
                <w:lang w:val="sq-AL"/>
              </w:rPr>
            </w:pPr>
            <w:r w:rsidRPr="001C61AE">
              <w:rPr>
                <w:rFonts w:ascii="Arial" w:eastAsia="Myriad Pro" w:hAnsi="Arial" w:cs="Arial"/>
                <w:sz w:val="20"/>
                <w:szCs w:val="20"/>
                <w:lang w:val="sq-AL"/>
              </w:rPr>
              <w:t>Planet e paralajmërimit të hershëm dhe reagimit ndaj përmbytjeve</w:t>
            </w:r>
            <w:r w:rsidR="004F7C1B" w:rsidRPr="001C61AE">
              <w:rPr>
                <w:rFonts w:ascii="Arial" w:eastAsia="Myriad Pro" w:hAnsi="Arial" w:cs="Arial"/>
                <w:sz w:val="20"/>
                <w:szCs w:val="20"/>
                <w:lang w:val="sq-AL"/>
              </w:rPr>
              <w:t>, dëmtuesit dhe sëmundjet në bujqësi dhe pylltari</w:t>
            </w:r>
            <w:r w:rsidRPr="001C61AE">
              <w:rPr>
                <w:rFonts w:ascii="Arial" w:eastAsia="Myriad Pro" w:hAnsi="Arial" w:cs="Arial"/>
                <w:sz w:val="20"/>
                <w:szCs w:val="20"/>
                <w:lang w:val="sq-AL"/>
              </w:rPr>
              <w:t xml:space="preserve"> janë plotësisht funksionale në të gjitha zonat e identifikuara me rrezik të lartë (&gt;30 komuna).</w:t>
            </w:r>
          </w:p>
        </w:tc>
        <w:tc>
          <w:tcPr>
            <w:tcW w:w="1008" w:type="pct"/>
            <w:shd w:val="clear" w:color="auto" w:fill="FFFFFF" w:themeFill="background1"/>
            <w:vAlign w:val="center"/>
          </w:tcPr>
          <w:p w14:paraId="670CBADD" w14:textId="7CD71689" w:rsidR="00DE4876" w:rsidRPr="001C61AE" w:rsidRDefault="00DE4876" w:rsidP="00DE487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Myriad Pro" w:hAnsi="Arial" w:cs="Arial"/>
                <w:sz w:val="20"/>
                <w:szCs w:val="20"/>
                <w:highlight w:val="yellow"/>
                <w:lang w:val="sq-AL"/>
              </w:rPr>
            </w:pPr>
            <w:r w:rsidRPr="001C61AE">
              <w:rPr>
                <w:rFonts w:ascii="Arial" w:eastAsia="Myriad Pro" w:hAnsi="Arial" w:cs="Arial"/>
                <w:sz w:val="20"/>
                <w:szCs w:val="20"/>
                <w:lang w:val="sq-AL"/>
              </w:rPr>
              <w:t>Menaxhimi gjithëpërfshirës i rrezikut nga përmbytjet</w:t>
            </w:r>
            <w:r w:rsidR="00F642AD" w:rsidRPr="001C61AE">
              <w:rPr>
                <w:rFonts w:ascii="Arial" w:eastAsia="Myriad Pro" w:hAnsi="Arial" w:cs="Arial"/>
                <w:sz w:val="20"/>
                <w:szCs w:val="20"/>
                <w:lang w:val="sq-AL"/>
              </w:rPr>
              <w:t>, dëmtuesit dhe sëmundjet n</w:t>
            </w:r>
            <w:r w:rsidR="004F7C1B" w:rsidRPr="001C61AE">
              <w:rPr>
                <w:rFonts w:ascii="Arial" w:eastAsia="Myriad Pro" w:hAnsi="Arial" w:cs="Arial"/>
                <w:sz w:val="20"/>
                <w:szCs w:val="20"/>
                <w:lang w:val="sq-AL"/>
              </w:rPr>
              <w:t>ë</w:t>
            </w:r>
            <w:r w:rsidR="00F642AD" w:rsidRPr="001C61AE">
              <w:rPr>
                <w:rFonts w:ascii="Arial" w:eastAsia="Myriad Pro" w:hAnsi="Arial" w:cs="Arial"/>
                <w:sz w:val="20"/>
                <w:szCs w:val="20"/>
                <w:lang w:val="sq-AL"/>
              </w:rPr>
              <w:t xml:space="preserve"> bujq</w:t>
            </w:r>
            <w:r w:rsidR="004F7C1B" w:rsidRPr="001C61AE">
              <w:rPr>
                <w:rFonts w:ascii="Arial" w:eastAsia="Myriad Pro" w:hAnsi="Arial" w:cs="Arial"/>
                <w:sz w:val="20"/>
                <w:szCs w:val="20"/>
                <w:lang w:val="sq-AL"/>
              </w:rPr>
              <w:t>ë</w:t>
            </w:r>
            <w:r w:rsidR="00F642AD" w:rsidRPr="001C61AE">
              <w:rPr>
                <w:rFonts w:ascii="Arial" w:eastAsia="Myriad Pro" w:hAnsi="Arial" w:cs="Arial"/>
                <w:sz w:val="20"/>
                <w:szCs w:val="20"/>
                <w:lang w:val="sq-AL"/>
              </w:rPr>
              <w:t>si dhe pylltari</w:t>
            </w:r>
            <w:r w:rsidRPr="001C61AE">
              <w:rPr>
                <w:rFonts w:ascii="Arial" w:eastAsia="Myriad Pro" w:hAnsi="Arial" w:cs="Arial"/>
                <w:sz w:val="20"/>
                <w:szCs w:val="20"/>
                <w:lang w:val="sq-AL"/>
              </w:rPr>
              <w:t xml:space="preserve"> është i integruar në planifikimin bashkiak në të gjithë vendin; sisteme plotësisht funksionale të paralajmërimit të hershëm dhe reagimit.</w:t>
            </w:r>
          </w:p>
        </w:tc>
      </w:tr>
    </w:tbl>
    <w:p w14:paraId="1E041C9C" w14:textId="77777777" w:rsidR="00554A2A" w:rsidRPr="001C61AE" w:rsidRDefault="00554A2A">
      <w:pPr>
        <w:spacing w:before="0" w:line="278" w:lineRule="auto"/>
        <w:rPr>
          <w:rFonts w:ascii="Arial" w:eastAsiaTheme="majorEastAsia" w:hAnsi="Arial" w:cs="Arial"/>
          <w:color w:val="0F4761" w:themeColor="accent1" w:themeShade="BF"/>
          <w:sz w:val="32"/>
          <w:szCs w:val="32"/>
          <w:lang w:val="sq-AL"/>
        </w:rPr>
      </w:pPr>
      <w:r w:rsidRPr="001C61AE">
        <w:rPr>
          <w:rFonts w:ascii="Arial" w:hAnsi="Arial" w:cs="Arial"/>
          <w:lang w:val="sq-AL"/>
        </w:rPr>
        <w:lastRenderedPageBreak/>
        <w:br w:type="page"/>
      </w:r>
    </w:p>
    <w:p w14:paraId="6FE4D761" w14:textId="3BCF6889" w:rsidR="001D4FA1" w:rsidRPr="001C61AE" w:rsidRDefault="00BE0D45" w:rsidP="001C61AE">
      <w:pPr>
        <w:pStyle w:val="Heading3"/>
        <w:rPr>
          <w:rFonts w:ascii="Arial" w:hAnsi="Arial" w:cs="Arial"/>
          <w:lang w:val="sq-AL"/>
        </w:rPr>
      </w:pPr>
      <w:bookmarkStart w:id="105" w:name="_Toc211532721"/>
      <w:r w:rsidRPr="001C61AE">
        <w:rPr>
          <w:rFonts w:ascii="Arial" w:hAnsi="Arial" w:cs="Arial"/>
          <w:lang w:val="sq-AL"/>
        </w:rPr>
        <w:lastRenderedPageBreak/>
        <w:t>Përshtatja e sektorit të shëndetësisë dhe social</w:t>
      </w:r>
      <w:bookmarkEnd w:id="105"/>
    </w:p>
    <w:tbl>
      <w:tblPr>
        <w:tblStyle w:val="PlainTable1"/>
        <w:tblW w:w="5000" w:type="pct"/>
        <w:tblBorders>
          <w:top w:val="single" w:sz="4" w:space="0" w:color="0F4761"/>
          <w:left w:val="single" w:sz="4" w:space="0" w:color="0F4761"/>
          <w:bottom w:val="single" w:sz="4" w:space="0" w:color="0F4761"/>
          <w:right w:val="single" w:sz="4" w:space="0" w:color="0F4761"/>
          <w:insideH w:val="single" w:sz="4" w:space="0" w:color="0F4761"/>
          <w:insideV w:val="single" w:sz="4" w:space="0" w:color="0F4761"/>
        </w:tblBorders>
        <w:tblLook w:val="04A0" w:firstRow="1" w:lastRow="0" w:firstColumn="1" w:lastColumn="0" w:noHBand="0" w:noVBand="1"/>
      </w:tblPr>
      <w:tblGrid>
        <w:gridCol w:w="2517"/>
        <w:gridCol w:w="1990"/>
        <w:gridCol w:w="1825"/>
        <w:gridCol w:w="2070"/>
        <w:gridCol w:w="1794"/>
      </w:tblGrid>
      <w:tr w:rsidR="00344E35" w:rsidRPr="001C61AE" w14:paraId="709C90C8" w14:textId="77777777" w:rsidTr="00554A2A">
        <w:trPr>
          <w:cnfStyle w:val="100000000000" w:firstRow="1" w:lastRow="0" w:firstColumn="0" w:lastColumn="0" w:oddVBand="0" w:evenVBand="0" w:oddHBand="0" w:evenHBand="0" w:firstRowFirstColumn="0" w:firstRowLastColumn="0" w:lastRowFirstColumn="0" w:lastRowLastColumn="0"/>
          <w:trHeight w:val="737"/>
          <w:tblHeader/>
        </w:trPr>
        <w:tc>
          <w:tcPr>
            <w:cnfStyle w:val="001000000000" w:firstRow="0" w:lastRow="0" w:firstColumn="1" w:lastColumn="0" w:oddVBand="0" w:evenVBand="0" w:oddHBand="0" w:evenHBand="0" w:firstRowFirstColumn="0" w:firstRowLastColumn="0" w:lastRowFirstColumn="0" w:lastRowLastColumn="0"/>
            <w:tcW w:w="1234" w:type="pct"/>
            <w:shd w:val="clear" w:color="auto" w:fill="22635D"/>
            <w:vAlign w:val="center"/>
            <w:hideMark/>
          </w:tcPr>
          <w:p w14:paraId="1CA3A60E" w14:textId="19FB8AD6" w:rsidR="00344E35" w:rsidRPr="001C61AE" w:rsidRDefault="00344E35" w:rsidP="00344E35">
            <w:pPr>
              <w:spacing w:before="0" w:line="240" w:lineRule="auto"/>
              <w:jc w:val="center"/>
              <w:rPr>
                <w:rFonts w:ascii="Arial" w:eastAsia="Myriad Pro" w:hAnsi="Arial" w:cs="Arial"/>
                <w:color w:val="FFFFFF" w:themeColor="background1"/>
                <w:sz w:val="20"/>
                <w:szCs w:val="20"/>
                <w:lang w:val="sq-AL"/>
              </w:rPr>
            </w:pPr>
            <w:r w:rsidRPr="001C61AE">
              <w:rPr>
                <w:rFonts w:ascii="Arial" w:eastAsia="Myriad Pro" w:hAnsi="Arial" w:cs="Arial"/>
                <w:color w:val="FFFFFF" w:themeColor="background1"/>
                <w:sz w:val="20"/>
                <w:szCs w:val="20"/>
                <w:lang w:val="sq-AL"/>
              </w:rPr>
              <w:t>Treguesit për Objektivat Specifike</w:t>
            </w:r>
          </w:p>
        </w:tc>
        <w:tc>
          <w:tcPr>
            <w:tcW w:w="976" w:type="pct"/>
            <w:shd w:val="clear" w:color="auto" w:fill="22635D"/>
            <w:vAlign w:val="center"/>
            <w:hideMark/>
          </w:tcPr>
          <w:p w14:paraId="4D261A43" w14:textId="320654DC" w:rsidR="00344E35" w:rsidRPr="001C61AE" w:rsidRDefault="00344E35" w:rsidP="00344E3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Myriad Pro" w:hAnsi="Arial" w:cs="Arial"/>
                <w:color w:val="FFFFFF" w:themeColor="background1"/>
                <w:sz w:val="20"/>
                <w:szCs w:val="20"/>
                <w:lang w:val="sq-AL"/>
              </w:rPr>
            </w:pPr>
            <w:r w:rsidRPr="001C61AE">
              <w:rPr>
                <w:rFonts w:ascii="Arial" w:hAnsi="Arial" w:cs="Arial"/>
                <w:color w:val="FFFFFF" w:themeColor="background1"/>
                <w:sz w:val="20"/>
                <w:szCs w:val="20"/>
                <w:lang w:val="sq-AL"/>
              </w:rPr>
              <w:t>Baza fillestare (2025)</w:t>
            </w:r>
          </w:p>
        </w:tc>
        <w:tc>
          <w:tcPr>
            <w:tcW w:w="895" w:type="pct"/>
            <w:shd w:val="clear" w:color="auto" w:fill="22635D"/>
            <w:vAlign w:val="center"/>
            <w:hideMark/>
          </w:tcPr>
          <w:p w14:paraId="49CA5880" w14:textId="550D8C23" w:rsidR="00344E35" w:rsidRPr="001C61AE" w:rsidRDefault="00C84973" w:rsidP="00344E3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Myriad Pro" w:hAnsi="Arial" w:cs="Arial"/>
                <w:color w:val="FFFFFF" w:themeColor="background1"/>
                <w:sz w:val="20"/>
                <w:szCs w:val="20"/>
                <w:lang w:val="sq-AL"/>
              </w:rPr>
            </w:pPr>
            <w:r w:rsidRPr="001C61AE">
              <w:rPr>
                <w:rFonts w:ascii="Arial" w:hAnsi="Arial" w:cs="Arial"/>
                <w:color w:val="FFFFFF" w:themeColor="background1"/>
                <w:sz w:val="20"/>
                <w:szCs w:val="20"/>
                <w:lang w:val="sq-AL"/>
              </w:rPr>
              <w:t>Caku</w:t>
            </w:r>
            <w:r w:rsidR="00344E35" w:rsidRPr="001C61AE">
              <w:rPr>
                <w:rFonts w:ascii="Arial" w:hAnsi="Arial" w:cs="Arial"/>
                <w:color w:val="FFFFFF" w:themeColor="background1"/>
                <w:sz w:val="20"/>
                <w:szCs w:val="20"/>
                <w:lang w:val="sq-AL"/>
              </w:rPr>
              <w:t>2027 (afatshkurtër)</w:t>
            </w:r>
          </w:p>
        </w:tc>
        <w:tc>
          <w:tcPr>
            <w:tcW w:w="1015" w:type="pct"/>
            <w:shd w:val="clear" w:color="auto" w:fill="22635D"/>
            <w:vAlign w:val="center"/>
            <w:hideMark/>
          </w:tcPr>
          <w:p w14:paraId="72B2105F" w14:textId="03C5FA2D" w:rsidR="00344E35" w:rsidRPr="001C61AE" w:rsidRDefault="00E07C76" w:rsidP="00344E3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Myriad Pro" w:hAnsi="Arial" w:cs="Arial"/>
                <w:color w:val="FFFFFF" w:themeColor="background1"/>
                <w:sz w:val="20"/>
                <w:szCs w:val="20"/>
                <w:lang w:val="sq-AL"/>
              </w:rPr>
            </w:pPr>
            <w:r w:rsidRPr="001C61AE">
              <w:rPr>
                <w:rFonts w:ascii="Arial" w:hAnsi="Arial" w:cs="Arial"/>
                <w:color w:val="FFFFFF" w:themeColor="background1"/>
                <w:sz w:val="20"/>
                <w:szCs w:val="20"/>
                <w:lang w:val="sq-AL"/>
              </w:rPr>
              <w:t xml:space="preserve">Caku </w:t>
            </w:r>
            <w:r w:rsidR="00A35E95" w:rsidRPr="001C61AE">
              <w:rPr>
                <w:rFonts w:ascii="Arial" w:hAnsi="Arial" w:cs="Arial"/>
                <w:color w:val="FFFFFF" w:themeColor="background1"/>
                <w:sz w:val="20"/>
                <w:szCs w:val="20"/>
                <w:lang w:val="sq-AL"/>
              </w:rPr>
              <w:t>i</w:t>
            </w:r>
            <w:r w:rsidR="00344E35" w:rsidRPr="001C61AE">
              <w:rPr>
                <w:rFonts w:ascii="Arial" w:hAnsi="Arial" w:cs="Arial"/>
                <w:color w:val="FFFFFF" w:themeColor="background1"/>
                <w:sz w:val="20"/>
                <w:szCs w:val="20"/>
                <w:lang w:val="sq-AL"/>
              </w:rPr>
              <w:t xml:space="preserve"> 2030 (afatmesëm)</w:t>
            </w:r>
          </w:p>
        </w:tc>
        <w:tc>
          <w:tcPr>
            <w:tcW w:w="880" w:type="pct"/>
            <w:shd w:val="clear" w:color="auto" w:fill="22635D"/>
            <w:vAlign w:val="center"/>
          </w:tcPr>
          <w:p w14:paraId="342AFF9A" w14:textId="407F7195" w:rsidR="00344E35" w:rsidRPr="001C61AE" w:rsidRDefault="00E07C76" w:rsidP="00344E3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Myriad Pro" w:hAnsi="Arial" w:cs="Arial"/>
                <w:color w:val="FFFFFF" w:themeColor="background1"/>
                <w:sz w:val="20"/>
                <w:szCs w:val="20"/>
                <w:lang w:val="sq-AL"/>
              </w:rPr>
            </w:pPr>
            <w:r w:rsidRPr="001C61AE">
              <w:rPr>
                <w:rFonts w:ascii="Arial" w:hAnsi="Arial" w:cs="Arial"/>
                <w:color w:val="FFFFFF" w:themeColor="background1"/>
                <w:sz w:val="20"/>
                <w:szCs w:val="20"/>
                <w:lang w:val="sq-AL"/>
              </w:rPr>
              <w:t xml:space="preserve">Caku </w:t>
            </w:r>
            <w:r w:rsidR="00344E35" w:rsidRPr="001C61AE">
              <w:rPr>
                <w:rFonts w:ascii="Arial" w:hAnsi="Arial" w:cs="Arial"/>
                <w:color w:val="FFFFFF" w:themeColor="background1"/>
                <w:sz w:val="20"/>
                <w:szCs w:val="20"/>
                <w:lang w:val="sq-AL"/>
              </w:rPr>
              <w:t>2040 (afatgjatë)</w:t>
            </w:r>
          </w:p>
        </w:tc>
      </w:tr>
      <w:tr w:rsidR="00554A2A" w:rsidRPr="001C61AE" w14:paraId="4A9D9FD7" w14:textId="77777777" w:rsidTr="00554A2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0F4761"/>
            <w:vAlign w:val="center"/>
          </w:tcPr>
          <w:p w14:paraId="416B40B1" w14:textId="76FF20BA" w:rsidR="00554A2A" w:rsidRPr="001C61AE" w:rsidRDefault="0040465B" w:rsidP="00A70686">
            <w:pPr>
              <w:spacing w:before="0"/>
              <w:jc w:val="center"/>
              <w:rPr>
                <w:rFonts w:ascii="Arial" w:eastAsia="Times New Roman" w:hAnsi="Arial" w:cs="Arial"/>
                <w:b w:val="0"/>
                <w:bCs w:val="0"/>
                <w:kern w:val="0"/>
                <w:sz w:val="20"/>
                <w:szCs w:val="20"/>
                <w:lang w:val="sq-AL" w:eastAsia="es-ES"/>
                <w14:ligatures w14:val="none"/>
              </w:rPr>
            </w:pPr>
            <w:r w:rsidRPr="001C61AE">
              <w:rPr>
                <w:rFonts w:ascii="Arial" w:eastAsia="Myriad Pro" w:hAnsi="Arial" w:cs="Arial"/>
                <w:sz w:val="20"/>
                <w:szCs w:val="20"/>
                <w:lang w:val="sq-AL"/>
              </w:rPr>
              <w:t>Prioriteti kyç për përshtatje:</w:t>
            </w:r>
            <w:r w:rsidR="00554A2A" w:rsidRPr="001C61AE">
              <w:rPr>
                <w:rFonts w:ascii="Arial" w:eastAsia="Myriad Pro" w:hAnsi="Arial" w:cs="Arial"/>
                <w:sz w:val="20"/>
                <w:szCs w:val="20"/>
                <w:lang w:val="sq-AL"/>
              </w:rPr>
              <w:t xml:space="preserve"> </w:t>
            </w:r>
            <w:r w:rsidR="00AD0D94" w:rsidRPr="001C61AE">
              <w:rPr>
                <w:rFonts w:ascii="Arial" w:hAnsi="Arial" w:cs="Arial"/>
                <w:sz w:val="20"/>
                <w:szCs w:val="20"/>
                <w:lang w:val="sq-AL"/>
              </w:rPr>
              <w:t>Forcimi</w:t>
            </w:r>
            <w:r w:rsidR="00AD0D94" w:rsidRPr="001C61AE" w:rsidDel="00AD0D94">
              <w:rPr>
                <w:rFonts w:ascii="Arial" w:hAnsi="Arial" w:cs="Arial"/>
                <w:sz w:val="20"/>
                <w:szCs w:val="20"/>
                <w:lang w:val="sq-AL"/>
              </w:rPr>
              <w:t xml:space="preserve"> </w:t>
            </w:r>
            <w:r w:rsidR="00BE0D45" w:rsidRPr="001C61AE">
              <w:rPr>
                <w:rFonts w:ascii="Arial" w:hAnsi="Arial" w:cs="Arial"/>
                <w:sz w:val="20"/>
                <w:szCs w:val="20"/>
                <w:lang w:val="sq-AL"/>
              </w:rPr>
              <w:t>i sistemeve dhe shërbimeve shëndetësore të qëndrueshme ndaj ndryshimeve klimatike</w:t>
            </w:r>
          </w:p>
        </w:tc>
      </w:tr>
      <w:tr w:rsidR="00554A2A" w:rsidRPr="001C61AE" w14:paraId="40943594" w14:textId="77777777" w:rsidTr="00554A2A">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1C09D745" w14:textId="349786E4" w:rsidR="00554A2A" w:rsidRPr="001C61AE" w:rsidRDefault="00AC67CE" w:rsidP="00A70686">
            <w:pPr>
              <w:spacing w:before="0" w:line="240" w:lineRule="auto"/>
              <w:jc w:val="both"/>
              <w:rPr>
                <w:rFonts w:ascii="Arial" w:eastAsia="Myriad Pro" w:hAnsi="Arial" w:cs="Arial"/>
                <w:sz w:val="20"/>
                <w:szCs w:val="20"/>
                <w:lang w:val="sq-AL"/>
              </w:rPr>
            </w:pPr>
            <w:r w:rsidRPr="001C61AE">
              <w:rPr>
                <w:rFonts w:ascii="Arial" w:eastAsia="Myriad Pro" w:hAnsi="Arial" w:cs="Arial"/>
                <w:sz w:val="20"/>
                <w:szCs w:val="20"/>
                <w:lang w:val="sq-AL"/>
              </w:rPr>
              <w:t>IV.3</w:t>
            </w:r>
            <w:r w:rsidR="00AD0D94" w:rsidRPr="001C61AE">
              <w:rPr>
                <w:rFonts w:ascii="Arial" w:eastAsia="Myriad Pro" w:hAnsi="Arial" w:cs="Arial"/>
                <w:sz w:val="20"/>
                <w:szCs w:val="20"/>
                <w:lang w:val="sq-AL"/>
              </w:rPr>
              <w:t>9</w:t>
            </w:r>
            <w:r w:rsidR="00554A2A" w:rsidRPr="001C61AE">
              <w:rPr>
                <w:rFonts w:ascii="Arial" w:eastAsia="Myriad Pro" w:hAnsi="Arial" w:cs="Arial"/>
                <w:sz w:val="20"/>
                <w:szCs w:val="20"/>
                <w:lang w:val="sq-AL"/>
              </w:rPr>
              <w:t xml:space="preserve"> </w:t>
            </w:r>
            <w:r w:rsidR="00BE0D45" w:rsidRPr="001C61AE">
              <w:rPr>
                <w:rFonts w:ascii="Arial" w:eastAsia="Myriad Pro" w:hAnsi="Arial" w:cs="Arial"/>
                <w:sz w:val="20"/>
                <w:szCs w:val="20"/>
                <w:lang w:val="sq-AL"/>
              </w:rPr>
              <w:t>Rinovimi i objekteve shëndetësore për qëndrueshmëri ndaj ndryshimeve klimatike</w:t>
            </w:r>
          </w:p>
        </w:tc>
      </w:tr>
      <w:tr w:rsidR="00554A2A" w:rsidRPr="001C61AE" w14:paraId="015B43E1" w14:textId="77777777" w:rsidTr="00554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shd w:val="clear" w:color="auto" w:fill="auto"/>
            <w:vAlign w:val="center"/>
          </w:tcPr>
          <w:p w14:paraId="10D83B7F" w14:textId="3CC4C77C" w:rsidR="00554A2A" w:rsidRPr="001C61AE" w:rsidRDefault="00BE0D45" w:rsidP="00A70686">
            <w:pPr>
              <w:widowControl w:val="0"/>
              <w:autoSpaceDE w:val="0"/>
              <w:autoSpaceDN w:val="0"/>
              <w:spacing w:before="0" w:line="240" w:lineRule="auto"/>
              <w:jc w:val="center"/>
              <w:rPr>
                <w:rFonts w:ascii="Arial" w:hAnsi="Arial" w:cs="Arial"/>
                <w:b w:val="0"/>
                <w:bCs w:val="0"/>
                <w:sz w:val="20"/>
                <w:szCs w:val="20"/>
                <w:lang w:val="sq-AL"/>
              </w:rPr>
            </w:pPr>
            <w:r w:rsidRPr="001C61AE">
              <w:rPr>
                <w:rFonts w:ascii="Arial" w:hAnsi="Arial" w:cs="Arial"/>
                <w:sz w:val="20"/>
                <w:szCs w:val="20"/>
                <w:lang w:val="sq-AL"/>
              </w:rPr>
              <w:t>% e institucioneve të kujdesit shëndetësor që përmbushin standardet e qëndrueshmërisë ndaj klimës (në infrastrukturë, energji, WASH).</w:t>
            </w:r>
          </w:p>
        </w:tc>
        <w:tc>
          <w:tcPr>
            <w:tcW w:w="976" w:type="pct"/>
            <w:shd w:val="clear" w:color="auto" w:fill="auto"/>
            <w:vAlign w:val="center"/>
          </w:tcPr>
          <w:p w14:paraId="526F2A9D" w14:textId="77777777" w:rsidR="00554A2A" w:rsidRPr="001C61AE" w:rsidRDefault="00554A2A"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0%</w:t>
            </w:r>
          </w:p>
        </w:tc>
        <w:tc>
          <w:tcPr>
            <w:tcW w:w="895" w:type="pct"/>
            <w:shd w:val="clear" w:color="auto" w:fill="auto"/>
            <w:vAlign w:val="center"/>
          </w:tcPr>
          <w:p w14:paraId="0DC29AB6" w14:textId="77777777" w:rsidR="00554A2A" w:rsidRPr="001C61AE" w:rsidRDefault="00554A2A"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50%</w:t>
            </w:r>
          </w:p>
        </w:tc>
        <w:tc>
          <w:tcPr>
            <w:tcW w:w="1015" w:type="pct"/>
            <w:shd w:val="clear" w:color="auto" w:fill="auto"/>
            <w:vAlign w:val="center"/>
          </w:tcPr>
          <w:p w14:paraId="7DB5EB24" w14:textId="77777777" w:rsidR="00554A2A" w:rsidRPr="001C61AE" w:rsidRDefault="00554A2A"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70%</w:t>
            </w:r>
          </w:p>
        </w:tc>
        <w:tc>
          <w:tcPr>
            <w:tcW w:w="880" w:type="pct"/>
            <w:shd w:val="clear" w:color="auto" w:fill="FFFFFF" w:themeFill="background1"/>
            <w:vAlign w:val="center"/>
          </w:tcPr>
          <w:p w14:paraId="470AB8AB" w14:textId="77777777" w:rsidR="00554A2A" w:rsidRPr="001C61AE" w:rsidRDefault="00554A2A"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100%</w:t>
            </w:r>
          </w:p>
        </w:tc>
      </w:tr>
      <w:tr w:rsidR="00554A2A" w:rsidRPr="001C61AE" w14:paraId="4ADEC194" w14:textId="77777777" w:rsidTr="00554A2A">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2547B45B" w14:textId="18FE18B1" w:rsidR="00554A2A" w:rsidRPr="001C61AE" w:rsidRDefault="00AC67CE" w:rsidP="00A70686">
            <w:pPr>
              <w:widowControl w:val="0"/>
              <w:autoSpaceDE w:val="0"/>
              <w:autoSpaceDN w:val="0"/>
              <w:spacing w:before="0" w:line="240" w:lineRule="auto"/>
              <w:jc w:val="both"/>
              <w:rPr>
                <w:rFonts w:ascii="Arial" w:hAnsi="Arial" w:cs="Arial"/>
                <w:sz w:val="20"/>
                <w:szCs w:val="20"/>
                <w:lang w:val="sq-AL"/>
              </w:rPr>
            </w:pPr>
            <w:r w:rsidRPr="001C61AE">
              <w:rPr>
                <w:rFonts w:ascii="Arial" w:eastAsia="Myriad Pro" w:hAnsi="Arial" w:cs="Arial"/>
                <w:sz w:val="20"/>
                <w:szCs w:val="20"/>
                <w:lang w:val="sq-AL"/>
              </w:rPr>
              <w:t>IV.</w:t>
            </w:r>
            <w:r w:rsidR="00AD0D94" w:rsidRPr="001C61AE">
              <w:rPr>
                <w:rFonts w:ascii="Arial" w:eastAsia="Myriad Pro" w:hAnsi="Arial" w:cs="Arial"/>
                <w:sz w:val="20"/>
                <w:szCs w:val="20"/>
                <w:lang w:val="sq-AL"/>
              </w:rPr>
              <w:t xml:space="preserve">40 </w:t>
            </w:r>
            <w:r w:rsidR="00BE0D45" w:rsidRPr="001C61AE">
              <w:rPr>
                <w:rFonts w:ascii="Arial" w:eastAsia="Myriad Pro" w:hAnsi="Arial" w:cs="Arial"/>
                <w:sz w:val="20"/>
                <w:szCs w:val="20"/>
                <w:lang w:val="sq-AL"/>
              </w:rPr>
              <w:t>Trajnimi i personelit shëndetësor mbi protokollet për klimën dhe shëndetin</w:t>
            </w:r>
          </w:p>
        </w:tc>
      </w:tr>
      <w:tr w:rsidR="00554A2A" w:rsidRPr="001C61AE" w14:paraId="1FEED09A" w14:textId="77777777" w:rsidTr="00554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shd w:val="clear" w:color="auto" w:fill="auto"/>
            <w:vAlign w:val="center"/>
          </w:tcPr>
          <w:p w14:paraId="5EB52AC9" w14:textId="3CAD62B1" w:rsidR="00554A2A" w:rsidRPr="001C61AE" w:rsidRDefault="00BE0D45" w:rsidP="00A70686">
            <w:pPr>
              <w:widowControl w:val="0"/>
              <w:autoSpaceDE w:val="0"/>
              <w:autoSpaceDN w:val="0"/>
              <w:spacing w:before="0" w:line="240" w:lineRule="auto"/>
              <w:jc w:val="center"/>
              <w:rPr>
                <w:rFonts w:ascii="Arial" w:hAnsi="Arial" w:cs="Arial"/>
                <w:b w:val="0"/>
                <w:bCs w:val="0"/>
                <w:sz w:val="20"/>
                <w:szCs w:val="20"/>
                <w:lang w:val="sq-AL"/>
              </w:rPr>
            </w:pPr>
            <w:r w:rsidRPr="001C61AE">
              <w:rPr>
                <w:rFonts w:ascii="Arial" w:hAnsi="Arial" w:cs="Arial"/>
                <w:sz w:val="20"/>
                <w:szCs w:val="20"/>
                <w:lang w:val="sq-AL"/>
              </w:rPr>
              <w:t>Numri i punonjësve të shëndetësisë (përfshirë punonjësit e shëndetësisë në komunitet) të trajnuar në çështjet shëndetësore që lidhen me klimën dhe reagimin ndaj emergjencave.</w:t>
            </w:r>
          </w:p>
        </w:tc>
        <w:tc>
          <w:tcPr>
            <w:tcW w:w="976" w:type="pct"/>
            <w:shd w:val="clear" w:color="auto" w:fill="auto"/>
            <w:vAlign w:val="center"/>
          </w:tcPr>
          <w:p w14:paraId="67374546" w14:textId="77777777" w:rsidR="00554A2A" w:rsidRPr="001C61AE" w:rsidRDefault="00554A2A"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0</w:t>
            </w:r>
          </w:p>
        </w:tc>
        <w:tc>
          <w:tcPr>
            <w:tcW w:w="895" w:type="pct"/>
            <w:shd w:val="clear" w:color="auto" w:fill="auto"/>
            <w:vAlign w:val="center"/>
          </w:tcPr>
          <w:p w14:paraId="4E69699E" w14:textId="77777777" w:rsidR="00554A2A" w:rsidRPr="001C61AE" w:rsidRDefault="00554A2A"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600</w:t>
            </w:r>
          </w:p>
        </w:tc>
        <w:tc>
          <w:tcPr>
            <w:tcW w:w="1015" w:type="pct"/>
            <w:shd w:val="clear" w:color="auto" w:fill="auto"/>
            <w:vAlign w:val="center"/>
          </w:tcPr>
          <w:p w14:paraId="3D05AE69" w14:textId="77777777" w:rsidR="00554A2A" w:rsidRPr="001C61AE" w:rsidRDefault="00554A2A"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1,000</w:t>
            </w:r>
          </w:p>
        </w:tc>
        <w:tc>
          <w:tcPr>
            <w:tcW w:w="880" w:type="pct"/>
            <w:shd w:val="clear" w:color="auto" w:fill="FFFFFF" w:themeFill="background1"/>
            <w:vAlign w:val="center"/>
          </w:tcPr>
          <w:p w14:paraId="1E00CE15" w14:textId="77777777" w:rsidR="00554A2A" w:rsidRPr="001C61AE" w:rsidRDefault="00554A2A"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2,000</w:t>
            </w:r>
          </w:p>
        </w:tc>
      </w:tr>
      <w:tr w:rsidR="00554A2A" w:rsidRPr="001C61AE" w14:paraId="589ADD33" w14:textId="77777777" w:rsidTr="00554A2A">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0F4761"/>
            <w:vAlign w:val="center"/>
          </w:tcPr>
          <w:p w14:paraId="27C556AC" w14:textId="6C74D5CE" w:rsidR="00554A2A" w:rsidRPr="001C61AE" w:rsidRDefault="0040465B" w:rsidP="00A70686">
            <w:pPr>
              <w:widowControl w:val="0"/>
              <w:autoSpaceDE w:val="0"/>
              <w:autoSpaceDN w:val="0"/>
              <w:spacing w:before="0" w:line="240" w:lineRule="auto"/>
              <w:jc w:val="center"/>
              <w:rPr>
                <w:rFonts w:ascii="Arial" w:eastAsia="Myriad Pro" w:hAnsi="Arial" w:cs="Arial"/>
                <w:sz w:val="20"/>
                <w:szCs w:val="20"/>
                <w:lang w:val="sq-AL"/>
              </w:rPr>
            </w:pPr>
            <w:r w:rsidRPr="001C61AE">
              <w:rPr>
                <w:rFonts w:ascii="Arial" w:eastAsia="Myriad Pro" w:hAnsi="Arial" w:cs="Arial"/>
                <w:sz w:val="20"/>
                <w:szCs w:val="20"/>
                <w:lang w:val="sq-AL"/>
              </w:rPr>
              <w:t>Prioriteti kyç për përshtatje</w:t>
            </w:r>
            <w:r w:rsidR="00554A2A" w:rsidRPr="001C61AE">
              <w:rPr>
                <w:rFonts w:ascii="Arial" w:eastAsia="Myriad Pro" w:hAnsi="Arial" w:cs="Arial"/>
                <w:sz w:val="20"/>
                <w:szCs w:val="20"/>
                <w:lang w:val="sq-AL"/>
              </w:rPr>
              <w:t>:</w:t>
            </w:r>
            <w:r w:rsidR="00AD0D94" w:rsidRPr="001C61AE">
              <w:rPr>
                <w:rFonts w:ascii="Arial" w:hAnsi="Arial" w:cs="Arial"/>
              </w:rPr>
              <w:t xml:space="preserve"> </w:t>
            </w:r>
            <w:r w:rsidR="00AD0D94" w:rsidRPr="001C61AE">
              <w:rPr>
                <w:rFonts w:ascii="Arial" w:eastAsia="Myriad Pro" w:hAnsi="Arial" w:cs="Arial"/>
                <w:sz w:val="20"/>
                <w:szCs w:val="20"/>
                <w:lang w:val="sq-AL"/>
              </w:rPr>
              <w:t>•</w:t>
            </w:r>
            <w:r w:rsidR="00AD0D94" w:rsidRPr="001C61AE">
              <w:rPr>
                <w:rFonts w:ascii="Arial" w:eastAsia="Myriad Pro" w:hAnsi="Arial" w:cs="Arial"/>
                <w:sz w:val="20"/>
                <w:szCs w:val="20"/>
                <w:lang w:val="sq-AL"/>
              </w:rPr>
              <w:tab/>
              <w:t>Përmirësimi i mekanizmave të paralajmërimit të hershëm dhe të reagimit emergjent të bazuar në komunitet</w:t>
            </w:r>
          </w:p>
        </w:tc>
      </w:tr>
      <w:tr w:rsidR="00554A2A" w:rsidRPr="001C61AE" w14:paraId="465D2EAF" w14:textId="77777777" w:rsidTr="00554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4824C9C4" w14:textId="593B2A28" w:rsidR="00554A2A" w:rsidRPr="001C61AE" w:rsidRDefault="00AC67CE" w:rsidP="00A70686">
            <w:pPr>
              <w:widowControl w:val="0"/>
              <w:autoSpaceDE w:val="0"/>
              <w:autoSpaceDN w:val="0"/>
              <w:spacing w:before="0" w:line="240" w:lineRule="auto"/>
              <w:jc w:val="both"/>
              <w:rPr>
                <w:rFonts w:ascii="Arial" w:hAnsi="Arial" w:cs="Arial"/>
                <w:sz w:val="20"/>
                <w:szCs w:val="20"/>
                <w:lang w:val="sq-AL"/>
              </w:rPr>
            </w:pPr>
            <w:r w:rsidRPr="001C61AE">
              <w:rPr>
                <w:rFonts w:ascii="Arial" w:eastAsia="Myriad Pro" w:hAnsi="Arial" w:cs="Arial"/>
                <w:sz w:val="20"/>
                <w:szCs w:val="20"/>
                <w:lang w:val="sq-AL"/>
              </w:rPr>
              <w:t>IV.4</w:t>
            </w:r>
            <w:r w:rsidR="00AD0D94" w:rsidRPr="001C61AE">
              <w:rPr>
                <w:rFonts w:ascii="Arial" w:eastAsia="Myriad Pro" w:hAnsi="Arial" w:cs="Arial"/>
                <w:sz w:val="20"/>
                <w:szCs w:val="20"/>
                <w:lang w:val="sq-AL"/>
              </w:rPr>
              <w:t>1</w:t>
            </w:r>
            <w:r w:rsidR="00554A2A" w:rsidRPr="001C61AE">
              <w:rPr>
                <w:rFonts w:ascii="Arial" w:eastAsia="Myriad Pro" w:hAnsi="Arial" w:cs="Arial"/>
                <w:sz w:val="20"/>
                <w:szCs w:val="20"/>
                <w:lang w:val="sq-AL"/>
              </w:rPr>
              <w:t xml:space="preserve"> </w:t>
            </w:r>
            <w:r w:rsidR="00BE0D45" w:rsidRPr="001C61AE">
              <w:rPr>
                <w:rFonts w:ascii="Arial" w:eastAsia="Myriad Pro" w:hAnsi="Arial" w:cs="Arial"/>
                <w:sz w:val="20"/>
                <w:szCs w:val="20"/>
                <w:lang w:val="sq-AL"/>
              </w:rPr>
              <w:t>Vendosja e sistemeve komunale për paralajmërim të hershëm</w:t>
            </w:r>
          </w:p>
        </w:tc>
      </w:tr>
      <w:tr w:rsidR="00554A2A" w:rsidRPr="001C61AE" w14:paraId="3D7027A8" w14:textId="77777777" w:rsidTr="00554A2A">
        <w:tc>
          <w:tcPr>
            <w:cnfStyle w:val="001000000000" w:firstRow="0" w:lastRow="0" w:firstColumn="1" w:lastColumn="0" w:oddVBand="0" w:evenVBand="0" w:oddHBand="0" w:evenHBand="0" w:firstRowFirstColumn="0" w:firstRowLastColumn="0" w:lastRowFirstColumn="0" w:lastRowLastColumn="0"/>
            <w:tcW w:w="1234" w:type="pct"/>
            <w:vAlign w:val="center"/>
          </w:tcPr>
          <w:p w14:paraId="7FD4B82D" w14:textId="2E95F6BB" w:rsidR="00554A2A" w:rsidRPr="001C61AE" w:rsidRDefault="00BE0D45" w:rsidP="00A70686">
            <w:pPr>
              <w:widowControl w:val="0"/>
              <w:autoSpaceDE w:val="0"/>
              <w:autoSpaceDN w:val="0"/>
              <w:spacing w:before="0" w:line="240" w:lineRule="auto"/>
              <w:jc w:val="center"/>
              <w:rPr>
                <w:rFonts w:ascii="Arial" w:hAnsi="Arial" w:cs="Arial"/>
                <w:b w:val="0"/>
                <w:bCs w:val="0"/>
                <w:sz w:val="20"/>
                <w:szCs w:val="20"/>
                <w:lang w:val="sq-AL"/>
              </w:rPr>
            </w:pPr>
            <w:r w:rsidRPr="001C61AE">
              <w:rPr>
                <w:rFonts w:ascii="Arial" w:hAnsi="Arial" w:cs="Arial"/>
                <w:sz w:val="20"/>
                <w:szCs w:val="20"/>
                <w:lang w:val="sq-AL"/>
              </w:rPr>
              <w:t>% e komunave me sisteme operative të paralajmërimit të hershëm klimatik dhe shëndetësor.</w:t>
            </w:r>
          </w:p>
        </w:tc>
        <w:tc>
          <w:tcPr>
            <w:tcW w:w="976" w:type="pct"/>
            <w:vAlign w:val="center"/>
          </w:tcPr>
          <w:p w14:paraId="1EAA96ED" w14:textId="77777777" w:rsidR="00554A2A" w:rsidRPr="001C61AE" w:rsidRDefault="00554A2A"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0%</w:t>
            </w:r>
          </w:p>
        </w:tc>
        <w:tc>
          <w:tcPr>
            <w:tcW w:w="895" w:type="pct"/>
            <w:vAlign w:val="center"/>
          </w:tcPr>
          <w:p w14:paraId="116CD040" w14:textId="77777777" w:rsidR="00554A2A" w:rsidRPr="001C61AE" w:rsidRDefault="00554A2A"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80%</w:t>
            </w:r>
          </w:p>
        </w:tc>
        <w:tc>
          <w:tcPr>
            <w:tcW w:w="1015" w:type="pct"/>
            <w:vAlign w:val="center"/>
          </w:tcPr>
          <w:p w14:paraId="167DEC09" w14:textId="77777777" w:rsidR="00554A2A" w:rsidRPr="001C61AE" w:rsidRDefault="00554A2A"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100%</w:t>
            </w:r>
          </w:p>
        </w:tc>
        <w:tc>
          <w:tcPr>
            <w:tcW w:w="880" w:type="pct"/>
            <w:shd w:val="clear" w:color="auto" w:fill="FFFFFF" w:themeFill="background1"/>
            <w:vAlign w:val="center"/>
          </w:tcPr>
          <w:p w14:paraId="77D4E55D" w14:textId="77777777" w:rsidR="00554A2A" w:rsidRPr="001C61AE" w:rsidRDefault="00554A2A" w:rsidP="00A70686">
            <w:pPr>
              <w:widowControl w:val="0"/>
              <w:autoSpaceDE w:val="0"/>
              <w:autoSpaceDN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100%</w:t>
            </w:r>
          </w:p>
        </w:tc>
      </w:tr>
      <w:tr w:rsidR="00554A2A" w:rsidRPr="001C61AE" w14:paraId="3F770CCA" w14:textId="77777777" w:rsidTr="00554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0F4761"/>
            <w:vAlign w:val="center"/>
          </w:tcPr>
          <w:p w14:paraId="12AE3013" w14:textId="4DCD3724" w:rsidR="00554A2A" w:rsidRPr="001C61AE" w:rsidRDefault="0040465B" w:rsidP="00A70686">
            <w:pPr>
              <w:widowControl w:val="0"/>
              <w:tabs>
                <w:tab w:val="left" w:pos="2190"/>
              </w:tabs>
              <w:autoSpaceDE w:val="0"/>
              <w:autoSpaceDN w:val="0"/>
              <w:spacing w:before="0" w:line="240" w:lineRule="auto"/>
              <w:jc w:val="center"/>
              <w:rPr>
                <w:rFonts w:ascii="Arial" w:eastAsia="Myriad Pro" w:hAnsi="Arial" w:cs="Arial"/>
                <w:sz w:val="20"/>
                <w:szCs w:val="20"/>
                <w:lang w:val="sq-AL"/>
              </w:rPr>
            </w:pPr>
            <w:r w:rsidRPr="001C61AE">
              <w:rPr>
                <w:rFonts w:ascii="Arial" w:eastAsia="Myriad Pro" w:hAnsi="Arial" w:cs="Arial"/>
                <w:sz w:val="20"/>
                <w:szCs w:val="20"/>
                <w:lang w:val="sq-AL"/>
              </w:rPr>
              <w:t>Prioriteti kyç për përshtatje</w:t>
            </w:r>
            <w:r w:rsidR="00554A2A" w:rsidRPr="001C61AE">
              <w:rPr>
                <w:rFonts w:ascii="Arial" w:eastAsia="Myriad Pro" w:hAnsi="Arial" w:cs="Arial"/>
                <w:sz w:val="20"/>
                <w:szCs w:val="20"/>
                <w:lang w:val="sq-AL"/>
              </w:rPr>
              <w:t>:</w:t>
            </w:r>
            <w:r w:rsidR="00BE0D45" w:rsidRPr="001C61AE">
              <w:rPr>
                <w:rFonts w:ascii="Arial" w:hAnsi="Arial" w:cs="Arial"/>
                <w:b w:val="0"/>
                <w:bCs w:val="0"/>
                <w:lang w:val="sq-AL"/>
              </w:rPr>
              <w:t xml:space="preserve"> </w:t>
            </w:r>
            <w:r w:rsidR="00AD0D94" w:rsidRPr="001C61AE">
              <w:rPr>
                <w:rFonts w:ascii="Arial" w:eastAsia="Myriad Pro" w:hAnsi="Arial" w:cs="Arial"/>
                <w:sz w:val="20"/>
                <w:szCs w:val="20"/>
                <w:lang w:val="sq-AL"/>
              </w:rPr>
              <w:t>•</w:t>
            </w:r>
            <w:r w:rsidR="00AD0D94" w:rsidRPr="001C61AE">
              <w:rPr>
                <w:rFonts w:ascii="Arial" w:eastAsia="Myriad Pro" w:hAnsi="Arial" w:cs="Arial"/>
                <w:sz w:val="20"/>
                <w:szCs w:val="20"/>
                <w:lang w:val="sq-AL"/>
              </w:rPr>
              <w:tab/>
              <w:t>Promovimi i masave të mbrojtjes sociale për popullatat e ndjeshme të prekura nga rreziqet klimatike</w:t>
            </w:r>
          </w:p>
        </w:tc>
      </w:tr>
      <w:tr w:rsidR="00554A2A" w:rsidRPr="001C61AE" w14:paraId="0A2FE818" w14:textId="77777777" w:rsidTr="00554A2A">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C6E7F6"/>
            <w:vAlign w:val="center"/>
          </w:tcPr>
          <w:p w14:paraId="55326A96" w14:textId="54C94E85" w:rsidR="00554A2A" w:rsidRPr="001C61AE" w:rsidRDefault="00AC67CE" w:rsidP="00A70686">
            <w:pPr>
              <w:widowControl w:val="0"/>
              <w:tabs>
                <w:tab w:val="left" w:pos="2190"/>
              </w:tabs>
              <w:autoSpaceDE w:val="0"/>
              <w:autoSpaceDN w:val="0"/>
              <w:spacing w:before="0" w:line="240" w:lineRule="auto"/>
              <w:jc w:val="both"/>
              <w:rPr>
                <w:rFonts w:ascii="Arial" w:hAnsi="Arial" w:cs="Arial"/>
                <w:sz w:val="20"/>
                <w:szCs w:val="20"/>
                <w:lang w:val="sq-AL"/>
              </w:rPr>
            </w:pPr>
            <w:r w:rsidRPr="001C61AE">
              <w:rPr>
                <w:rFonts w:ascii="Arial" w:eastAsia="Myriad Pro" w:hAnsi="Arial" w:cs="Arial"/>
                <w:sz w:val="20"/>
                <w:szCs w:val="20"/>
                <w:lang w:val="sq-AL"/>
              </w:rPr>
              <w:t>IV.4</w:t>
            </w:r>
            <w:r w:rsidR="00AD0D94" w:rsidRPr="001C61AE">
              <w:rPr>
                <w:rFonts w:ascii="Arial" w:eastAsia="Myriad Pro" w:hAnsi="Arial" w:cs="Arial"/>
                <w:sz w:val="20"/>
                <w:szCs w:val="20"/>
                <w:lang w:val="sq-AL"/>
              </w:rPr>
              <w:t>2</w:t>
            </w:r>
            <w:r w:rsidR="00BE0D45" w:rsidRPr="001C61AE">
              <w:rPr>
                <w:rFonts w:ascii="Arial" w:hAnsi="Arial" w:cs="Arial"/>
                <w:b w:val="0"/>
                <w:bCs w:val="0"/>
                <w:lang w:val="sq-AL"/>
              </w:rPr>
              <w:t xml:space="preserve"> </w:t>
            </w:r>
            <w:r w:rsidR="00BE0D45" w:rsidRPr="001C61AE">
              <w:rPr>
                <w:rFonts w:ascii="Arial" w:eastAsia="Myriad Pro" w:hAnsi="Arial" w:cs="Arial"/>
                <w:sz w:val="20"/>
                <w:szCs w:val="20"/>
                <w:lang w:val="sq-AL"/>
              </w:rPr>
              <w:t>Ofrimi i mbrojtjes sociale për grupet e cenueshme ndaj ndryshimeve klimatike</w:t>
            </w:r>
          </w:p>
        </w:tc>
      </w:tr>
      <w:tr w:rsidR="00554A2A" w:rsidRPr="001C61AE" w14:paraId="179B8B90" w14:textId="77777777" w:rsidTr="00554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shd w:val="clear" w:color="auto" w:fill="auto"/>
            <w:vAlign w:val="center"/>
          </w:tcPr>
          <w:p w14:paraId="6AE78DE6" w14:textId="52892C8A" w:rsidR="00554A2A" w:rsidRPr="001C61AE" w:rsidRDefault="00BE0D45" w:rsidP="00A70686">
            <w:pPr>
              <w:widowControl w:val="0"/>
              <w:autoSpaceDE w:val="0"/>
              <w:autoSpaceDN w:val="0"/>
              <w:spacing w:before="0" w:line="240" w:lineRule="auto"/>
              <w:jc w:val="center"/>
              <w:rPr>
                <w:rFonts w:ascii="Arial" w:hAnsi="Arial" w:cs="Arial"/>
                <w:b w:val="0"/>
                <w:bCs w:val="0"/>
                <w:sz w:val="20"/>
                <w:szCs w:val="20"/>
                <w:lang w:val="sq-AL"/>
              </w:rPr>
            </w:pPr>
            <w:r w:rsidRPr="001C61AE">
              <w:rPr>
                <w:rFonts w:ascii="Arial" w:hAnsi="Arial" w:cs="Arial"/>
                <w:sz w:val="20"/>
                <w:szCs w:val="20"/>
                <w:lang w:val="sq-AL"/>
              </w:rPr>
              <w:t>Numri i përfituesve (individë në grupet vulnerabël të arritur nga masat adaptive të mbrojtjes sociale).</w:t>
            </w:r>
          </w:p>
        </w:tc>
        <w:tc>
          <w:tcPr>
            <w:tcW w:w="976" w:type="pct"/>
            <w:shd w:val="clear" w:color="auto" w:fill="auto"/>
            <w:vAlign w:val="center"/>
          </w:tcPr>
          <w:p w14:paraId="503B9EB3" w14:textId="77777777" w:rsidR="00554A2A" w:rsidRPr="001C61AE" w:rsidRDefault="00554A2A"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0</w:t>
            </w:r>
          </w:p>
        </w:tc>
        <w:tc>
          <w:tcPr>
            <w:tcW w:w="895" w:type="pct"/>
            <w:shd w:val="clear" w:color="auto" w:fill="auto"/>
            <w:vAlign w:val="center"/>
          </w:tcPr>
          <w:p w14:paraId="1A441378" w14:textId="77777777" w:rsidR="00554A2A" w:rsidRPr="001C61AE" w:rsidRDefault="00554A2A"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3,000</w:t>
            </w:r>
          </w:p>
        </w:tc>
        <w:tc>
          <w:tcPr>
            <w:tcW w:w="1015" w:type="pct"/>
            <w:shd w:val="clear" w:color="auto" w:fill="auto"/>
            <w:vAlign w:val="center"/>
          </w:tcPr>
          <w:p w14:paraId="40AB9F49" w14:textId="77777777" w:rsidR="00554A2A" w:rsidRPr="001C61AE" w:rsidRDefault="00554A2A"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5,000</w:t>
            </w:r>
          </w:p>
        </w:tc>
        <w:tc>
          <w:tcPr>
            <w:tcW w:w="880" w:type="pct"/>
            <w:shd w:val="clear" w:color="auto" w:fill="FFFFFF" w:themeFill="background1"/>
            <w:vAlign w:val="center"/>
          </w:tcPr>
          <w:p w14:paraId="130A924F" w14:textId="77777777" w:rsidR="00554A2A" w:rsidRPr="001C61AE" w:rsidRDefault="00554A2A" w:rsidP="00A70686">
            <w:pPr>
              <w:widowControl w:val="0"/>
              <w:autoSpaceDE w:val="0"/>
              <w:autoSpaceDN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sq-AL"/>
              </w:rPr>
            </w:pPr>
            <w:r w:rsidRPr="001C61AE">
              <w:rPr>
                <w:rFonts w:ascii="Arial" w:hAnsi="Arial" w:cs="Arial"/>
                <w:sz w:val="20"/>
                <w:szCs w:val="20"/>
                <w:lang w:val="sq-AL"/>
              </w:rPr>
              <w:t>10,000</w:t>
            </w:r>
          </w:p>
        </w:tc>
      </w:tr>
    </w:tbl>
    <w:p w14:paraId="5C2F4266" w14:textId="24AF857A" w:rsidR="00D440E1" w:rsidRPr="001C61AE" w:rsidRDefault="00D536BB">
      <w:pPr>
        <w:spacing w:before="0" w:line="278" w:lineRule="auto"/>
        <w:rPr>
          <w:rFonts w:ascii="Arial" w:hAnsi="Arial" w:cs="Arial"/>
          <w:lang w:val="sq-AL"/>
        </w:rPr>
      </w:pPr>
      <w:r w:rsidRPr="001C61AE">
        <w:rPr>
          <w:rFonts w:ascii="Arial" w:hAnsi="Arial" w:cs="Arial"/>
          <w:noProof/>
        </w:rPr>
        <mc:AlternateContent>
          <mc:Choice Requires="wps">
            <w:drawing>
              <wp:anchor distT="0" distB="0" distL="114300" distR="114300" simplePos="0" relativeHeight="251772928" behindDoc="0" locked="0" layoutInCell="1" allowOverlap="1" wp14:anchorId="7CA057CF" wp14:editId="64872267">
                <wp:simplePos x="0" y="0"/>
                <wp:positionH relativeFrom="margin">
                  <wp:align>right</wp:align>
                </wp:positionH>
                <wp:positionV relativeFrom="paragraph">
                  <wp:posOffset>283919</wp:posOffset>
                </wp:positionV>
                <wp:extent cx="6483605" cy="617517"/>
                <wp:effectExtent l="0" t="0" r="12700" b="11430"/>
                <wp:wrapNone/>
                <wp:docPr id="1961167198" name="Cuadro de texto 14"/>
                <wp:cNvGraphicFramePr/>
                <a:graphic xmlns:a="http://schemas.openxmlformats.org/drawingml/2006/main">
                  <a:graphicData uri="http://schemas.microsoft.com/office/word/2010/wordprocessingShape">
                    <wps:wsp>
                      <wps:cNvSpPr txBox="1"/>
                      <wps:spPr>
                        <a:xfrm>
                          <a:off x="0" y="0"/>
                          <a:ext cx="6483605" cy="617517"/>
                        </a:xfrm>
                        <a:prstGeom prst="rect">
                          <a:avLst/>
                        </a:prstGeom>
                        <a:solidFill>
                          <a:schemeClr val="lt1"/>
                        </a:solidFill>
                        <a:ln w="19050">
                          <a:solidFill>
                            <a:srgbClr val="22635D"/>
                          </a:solidFill>
                          <a:prstDash val="dash"/>
                        </a:ln>
                      </wps:spPr>
                      <wps:txbx>
                        <w:txbxContent>
                          <w:p w14:paraId="7F2FFCBD" w14:textId="5E68E89A" w:rsidR="007065D4" w:rsidRPr="00D536BB" w:rsidRDefault="007065D4" w:rsidP="00D536BB">
                            <w:r w:rsidRPr="00530CB6">
                              <w:t>Subjektet përgjegjëse për zbatimin e Objektivat specifikë që do të kryhen gjatë periudhës 2026–2028, së bashku me treguesit e tyre përkatës, janë paraqitur në Shtojcat</w:t>
                            </w:r>
                            <w:r w:rsidRPr="00D536BB">
                              <w:t xml:space="preserve"> </w:t>
                            </w:r>
                            <w:hyperlink w:anchor="_Annex_I" w:history="1">
                              <w:r w:rsidRPr="00D536BB">
                                <w:rPr>
                                  <w:rStyle w:val="Hyperlink"/>
                                </w:rPr>
                                <w:t>I</w:t>
                              </w:r>
                            </w:hyperlink>
                            <w:r w:rsidRPr="00D536BB">
                              <w:t xml:space="preserve">, </w:t>
                            </w:r>
                            <w:hyperlink w:anchor="_Annex_II:_Energy" w:history="1">
                              <w:r w:rsidRPr="00D536BB">
                                <w:rPr>
                                  <w:rStyle w:val="Hyperlink"/>
                                </w:rPr>
                                <w:t>II</w:t>
                              </w:r>
                            </w:hyperlink>
                            <w:r w:rsidRPr="00D536BB">
                              <w:t xml:space="preserve">, </w:t>
                            </w:r>
                            <w:hyperlink w:anchor="_Annex_III:_Agriculture" w:history="1">
                              <w:r w:rsidRPr="00D536BB">
                                <w:rPr>
                                  <w:rStyle w:val="Hyperlink"/>
                                </w:rPr>
                                <w:t>III</w:t>
                              </w:r>
                            </w:hyperlink>
                            <w:r w:rsidRPr="00D536BB">
                              <w:t xml:space="preserve"> d</w:t>
                            </w:r>
                            <w:r>
                              <w:t>he</w:t>
                            </w:r>
                            <w:r w:rsidRPr="00D536BB">
                              <w:t xml:space="preserve"> </w:t>
                            </w:r>
                            <w:hyperlink w:anchor="_Annex_IV:_Health" w:history="1">
                              <w:r w:rsidRPr="00D536BB">
                                <w:rPr>
                                  <w:rStyle w:val="Hyperlink"/>
                                </w:rPr>
                                <w:t>IV</w:t>
                              </w:r>
                            </w:hyperlink>
                            <w:r w:rsidRPr="00D536BB">
                              <w:t>.</w:t>
                            </w:r>
                          </w:p>
                          <w:p w14:paraId="42470943" w14:textId="77777777" w:rsidR="007065D4" w:rsidRDefault="007065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A057CF" id="Cuadro de texto 14" o:spid="_x0000_s1078" type="#_x0000_t202" style="position:absolute;margin-left:459.3pt;margin-top:22.35pt;width:510.5pt;height:48.6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" fillcolor="white [3201]" strokecolor="#22635d" strokeweight="1.5pt">
                <v:stroke dashstyle="dash"/>
                <v:textbox>
                  <w:txbxContent>
                    <w:p w14:paraId="7F2FFCBD" w14:textId="5E68E89A" w:rsidR="007065D4" w:rsidRPr="00D536BB" w:rsidRDefault="007065D4" w:rsidP="00D536BB">
                      <w:r w:rsidRPr="00530CB6">
                        <w:t>Subjektet përgjegjëse për zbatimin e Objektivat specifikë që do të kryhen gjatë periudhës 2026–2028, së bashku me treguesit e tyre përkatës, janë paraqitur në Shtojcat</w:t>
                      </w:r>
                      <w:r w:rsidRPr="00D536BB">
                        <w:t xml:space="preserve"> </w:t>
                      </w:r>
                      <w:hyperlink w:anchor="_Annex_I" w:history="1">
                        <w:r w:rsidRPr="00D536BB">
                          <w:rPr>
                            <w:rStyle w:val="Hyperlink"/>
                          </w:rPr>
                          <w:t>I</w:t>
                        </w:r>
                      </w:hyperlink>
                      <w:r w:rsidRPr="00D536BB">
                        <w:t xml:space="preserve">, </w:t>
                      </w:r>
                      <w:hyperlink w:anchor="_Annex_II:_Energy" w:history="1">
                        <w:r w:rsidRPr="00D536BB">
                          <w:rPr>
                            <w:rStyle w:val="Hyperlink"/>
                          </w:rPr>
                          <w:t>II</w:t>
                        </w:r>
                      </w:hyperlink>
                      <w:r w:rsidRPr="00D536BB">
                        <w:t xml:space="preserve">, </w:t>
                      </w:r>
                      <w:hyperlink w:anchor="_Annex_III:_Agriculture" w:history="1">
                        <w:r w:rsidRPr="00D536BB">
                          <w:rPr>
                            <w:rStyle w:val="Hyperlink"/>
                          </w:rPr>
                          <w:t>III</w:t>
                        </w:r>
                      </w:hyperlink>
                      <w:r w:rsidRPr="00D536BB">
                        <w:t xml:space="preserve"> d</w:t>
                      </w:r>
                      <w:r>
                        <w:t>he</w:t>
                      </w:r>
                      <w:r w:rsidRPr="00D536BB">
                        <w:t xml:space="preserve"> </w:t>
                      </w:r>
                      <w:hyperlink w:anchor="_Annex_IV:_Health" w:history="1">
                        <w:r w:rsidRPr="00D536BB">
                          <w:rPr>
                            <w:rStyle w:val="Hyperlink"/>
                          </w:rPr>
                          <w:t>IV</w:t>
                        </w:r>
                      </w:hyperlink>
                      <w:r w:rsidRPr="00D536BB">
                        <w:t>.</w:t>
                      </w:r>
                    </w:p>
                    <w:p w14:paraId="42470943" w14:textId="77777777" w:rsidR="007065D4" w:rsidRDefault="007065D4"/>
                  </w:txbxContent>
                </v:textbox>
                <w10:wrap anchorx="margin"/>
              </v:shape>
            </w:pict>
          </mc:Fallback>
        </mc:AlternateContent>
      </w:r>
      <w:r w:rsidR="00D440E1" w:rsidRPr="001C61AE">
        <w:rPr>
          <w:rFonts w:ascii="Arial" w:hAnsi="Arial" w:cs="Arial"/>
          <w:lang w:val="sq-AL"/>
        </w:rPr>
        <w:br w:type="page"/>
      </w:r>
    </w:p>
    <w:p w14:paraId="734911CC" w14:textId="404A64B0" w:rsidR="001D4FA1" w:rsidRPr="001C61AE" w:rsidRDefault="001D4FA1" w:rsidP="00DF1E03">
      <w:pPr>
        <w:pStyle w:val="Heading1"/>
        <w:rPr>
          <w:rFonts w:ascii="Arial" w:hAnsi="Arial" w:cs="Arial"/>
          <w:b/>
          <w:bCs/>
          <w:color w:val="22635D"/>
          <w:lang w:val="sq-AL"/>
        </w:rPr>
      </w:pPr>
      <w:bookmarkStart w:id="106" w:name="_Toc211532722"/>
      <w:r w:rsidRPr="001C61AE">
        <w:rPr>
          <w:rFonts w:ascii="Arial" w:hAnsi="Arial" w:cs="Arial"/>
          <w:b/>
          <w:bCs/>
          <w:color w:val="22635D"/>
          <w:lang w:val="sq-AL"/>
        </w:rPr>
        <w:lastRenderedPageBreak/>
        <w:t xml:space="preserve">VII. </w:t>
      </w:r>
      <w:r w:rsidR="003C1569" w:rsidRPr="001C61AE">
        <w:rPr>
          <w:rFonts w:ascii="Arial" w:hAnsi="Arial" w:cs="Arial"/>
          <w:b/>
          <w:bCs/>
          <w:color w:val="22635D"/>
          <w:lang w:val="sq-AL"/>
        </w:rPr>
        <w:t>NDIKIMI BUXHETOR I ZBATIMIT TË STRATEGJISË</w:t>
      </w:r>
      <w:bookmarkEnd w:id="106"/>
    </w:p>
    <w:p w14:paraId="7ACD5379" w14:textId="77777777" w:rsidR="003C1569" w:rsidRPr="001C61AE" w:rsidRDefault="003C1569" w:rsidP="00A36696">
      <w:pPr>
        <w:tabs>
          <w:tab w:val="right" w:leader="dot" w:pos="8494"/>
        </w:tabs>
        <w:spacing w:before="0" w:line="256" w:lineRule="auto"/>
        <w:jc w:val="both"/>
        <w:rPr>
          <w:rFonts w:ascii="Arial" w:eastAsiaTheme="majorEastAsia" w:hAnsi="Arial" w:cs="Arial"/>
          <w:color w:val="0F4761" w:themeColor="accent1" w:themeShade="BF"/>
          <w:sz w:val="32"/>
          <w:szCs w:val="32"/>
          <w:lang w:val="sq-AL" w:eastAsia="es-ES"/>
        </w:rPr>
      </w:pPr>
      <w:r w:rsidRPr="001C61AE">
        <w:rPr>
          <w:rFonts w:ascii="Arial" w:eastAsiaTheme="majorEastAsia" w:hAnsi="Arial" w:cs="Arial"/>
          <w:color w:val="0F4761" w:themeColor="accent1" w:themeShade="BF"/>
          <w:sz w:val="32"/>
          <w:szCs w:val="32"/>
          <w:lang w:val="sq-AL" w:eastAsia="es-ES"/>
        </w:rPr>
        <w:t>Pamja aktuale e financimit të klimës në Kosovë</w:t>
      </w:r>
    </w:p>
    <w:p w14:paraId="3F134B58" w14:textId="37B41E52" w:rsidR="00A36696" w:rsidRPr="001C61AE" w:rsidRDefault="003C1569" w:rsidP="00A36696">
      <w:pPr>
        <w:tabs>
          <w:tab w:val="right" w:leader="dot" w:pos="8494"/>
        </w:tabs>
        <w:spacing w:before="0" w:line="256" w:lineRule="auto"/>
        <w:jc w:val="both"/>
        <w:rPr>
          <w:rFonts w:ascii="Arial" w:eastAsia="SimSun" w:hAnsi="Arial" w:cs="Arial"/>
          <w:szCs w:val="28"/>
          <w:lang w:val="sq-AL" w:eastAsia="es-ES"/>
        </w:rPr>
      </w:pPr>
      <w:r w:rsidRPr="001C61AE">
        <w:rPr>
          <w:rFonts w:ascii="Arial" w:eastAsia="SimSun" w:hAnsi="Arial" w:cs="Arial"/>
          <w:szCs w:val="28"/>
          <w:lang w:val="sq-AL" w:eastAsia="es-ES"/>
        </w:rPr>
        <w:t>Peizazhi i financimit klimatik në Kosovë po zhvillohet si përgjigje ndaj rritjes së rreziqeve mjedisore dhe klimaterike. Si një territor pa dalje në det në Ballkanin Perëndimor, Kosova po ndikohet gjithnjë e më shumë nga dukuritë ekstreme të motit—veçanërisht përmbytjet, thatësirat dhe valët e të nxehtit—të cilat janë intensifikuar si për nga frekuenca ashtu edhe për nga shkalla gjatë dy dekadave të fundit. Valët e të nxehtit në vitin 2022 sollën nivelin e dytë më të ulët të prodhimit vjetor të hidrocentraleve të regjistruar ndonjëherë, duke e ekspozuar vendin ndaj mungesave të theksuara të energjisë dhe presioneve fiskale për shkak të importeve emergjente të energjisë elektrike</w:t>
      </w:r>
      <w:r w:rsidR="0097035C" w:rsidRPr="001C61AE">
        <w:rPr>
          <w:rFonts w:ascii="Arial" w:eastAsia="SimSun" w:hAnsi="Arial" w:cs="Arial"/>
          <w:szCs w:val="28"/>
          <w:lang w:val="sq-AL" w:eastAsia="es-ES"/>
        </w:rPr>
        <w:t>.</w:t>
      </w:r>
      <w:r w:rsidR="00A36696" w:rsidRPr="001C61AE">
        <w:rPr>
          <w:rFonts w:ascii="Arial" w:eastAsia="SimSun" w:hAnsi="Arial" w:cs="Arial"/>
          <w:szCs w:val="28"/>
          <w:vertAlign w:val="superscript"/>
          <w:lang w:val="sq-AL" w:eastAsia="es-ES"/>
        </w:rPr>
        <w:footnoteReference w:id="85"/>
      </w:r>
      <w:r w:rsidR="00A36696" w:rsidRPr="001C61AE">
        <w:rPr>
          <w:rFonts w:ascii="Arial" w:eastAsia="SimSun" w:hAnsi="Arial" w:cs="Arial"/>
          <w:szCs w:val="28"/>
          <w:lang w:val="sq-AL" w:eastAsia="es-ES"/>
        </w:rPr>
        <w:t xml:space="preserve"> </w:t>
      </w:r>
      <w:r w:rsidRPr="001C61AE">
        <w:rPr>
          <w:rFonts w:ascii="Arial" w:eastAsia="SimSun" w:hAnsi="Arial" w:cs="Arial"/>
          <w:szCs w:val="28"/>
          <w:lang w:val="sq-AL" w:eastAsia="es-ES"/>
        </w:rPr>
        <w:t>Përmbytjet e viteve 2021 dhe 2023 shkaktuan dëme në tokat bujqësore, ndërprenë shërbimet e transportit dhe furnizimit me ujë, dhe zbuluan nivelin e ulët të qëndrueshmërisë së infrastrukturës kritike. Humbjet ekonomike nga ngjarjet e lidhura me klimën dhe fatkeqësitë natyrore gjatë dekadës së fundit vlerësohen mbi 214 milionë USD</w:t>
      </w:r>
      <w:r w:rsidR="0097035C" w:rsidRPr="001C61AE">
        <w:rPr>
          <w:rFonts w:ascii="Arial" w:eastAsia="SimSun" w:hAnsi="Arial" w:cs="Arial"/>
          <w:szCs w:val="28"/>
          <w:lang w:val="sq-AL" w:eastAsia="es-ES"/>
        </w:rPr>
        <w:t>.</w:t>
      </w:r>
      <w:r w:rsidR="00A36696" w:rsidRPr="001C61AE">
        <w:rPr>
          <w:rFonts w:ascii="Arial" w:eastAsia="SimSun" w:hAnsi="Arial" w:cs="Arial"/>
          <w:szCs w:val="28"/>
          <w:vertAlign w:val="superscript"/>
          <w:lang w:val="sq-AL" w:eastAsia="es-ES"/>
        </w:rPr>
        <w:footnoteReference w:id="86"/>
      </w:r>
    </w:p>
    <w:p w14:paraId="65E7928B" w14:textId="13FBFF97" w:rsidR="003C1569" w:rsidRPr="001C61AE" w:rsidRDefault="003C1569" w:rsidP="003C1569">
      <w:pPr>
        <w:tabs>
          <w:tab w:val="right" w:leader="dot" w:pos="8494"/>
        </w:tabs>
        <w:spacing w:before="0" w:line="256" w:lineRule="auto"/>
        <w:jc w:val="both"/>
        <w:rPr>
          <w:rFonts w:ascii="Arial" w:eastAsia="SimSun" w:hAnsi="Arial" w:cs="Arial"/>
          <w:szCs w:val="28"/>
          <w:lang w:val="sq-AL" w:eastAsia="es-ES"/>
        </w:rPr>
      </w:pPr>
      <w:r w:rsidRPr="001C61AE">
        <w:rPr>
          <w:rFonts w:ascii="Arial" w:eastAsia="SimSun" w:hAnsi="Arial" w:cs="Arial"/>
          <w:szCs w:val="28"/>
          <w:lang w:val="sq-AL" w:eastAsia="es-ES"/>
        </w:rPr>
        <w:t>Në terma financiarë, nevojat e Kosovës për adaptim dhe zbutje të ndryshimeve klimatike vlerësohen në rreth 3% të PBB-së vjetore deri në vitin 2050, për të siguruar një rrugë zhvillimi të qëndrueshme me karbon të ulët dhe të qëndrueshme ndaj klimës</w:t>
      </w:r>
      <w:r w:rsidR="0097035C" w:rsidRPr="001C61AE">
        <w:rPr>
          <w:rFonts w:ascii="Arial" w:eastAsia="SimSun" w:hAnsi="Arial" w:cs="Arial"/>
          <w:szCs w:val="28"/>
          <w:lang w:val="sq-AL" w:eastAsia="es-ES"/>
        </w:rPr>
        <w:t>.</w:t>
      </w:r>
      <w:r w:rsidR="00A36696" w:rsidRPr="001C61AE">
        <w:rPr>
          <w:rFonts w:ascii="Arial" w:eastAsia="SimSun" w:hAnsi="Arial" w:cs="Arial"/>
          <w:szCs w:val="28"/>
          <w:vertAlign w:val="superscript"/>
          <w:lang w:val="sq-AL" w:eastAsia="es-ES"/>
        </w:rPr>
        <w:footnoteReference w:id="87"/>
      </w:r>
      <w:r w:rsidR="00A36696" w:rsidRPr="001C61AE">
        <w:rPr>
          <w:rFonts w:ascii="Arial" w:eastAsia="SimSun" w:hAnsi="Arial" w:cs="Arial"/>
          <w:szCs w:val="28"/>
          <w:lang w:val="sq-AL" w:eastAsia="es-ES"/>
        </w:rPr>
        <w:t xml:space="preserve"> </w:t>
      </w:r>
      <w:r w:rsidRPr="001C61AE">
        <w:rPr>
          <w:rFonts w:ascii="Arial" w:eastAsia="SimSun" w:hAnsi="Arial" w:cs="Arial"/>
          <w:szCs w:val="28"/>
          <w:lang w:val="sq-AL" w:eastAsia="es-ES"/>
        </w:rPr>
        <w:t>Megjithatë, investimet aktuale klimatike—veçanërisht shpenzimet kapitale publike në sektorët e energjisë, ujit dhe bujqësisë—mbesin nën këtë prag, duke treguar për një mungesë të vazhdueshme të financimit klimatik.</w:t>
      </w:r>
    </w:p>
    <w:p w14:paraId="074303FE" w14:textId="35178BF0" w:rsidR="00A36696" w:rsidRPr="001C61AE" w:rsidRDefault="003C1569" w:rsidP="003C1569">
      <w:pPr>
        <w:tabs>
          <w:tab w:val="right" w:leader="dot" w:pos="8494"/>
        </w:tabs>
        <w:spacing w:before="0" w:line="256" w:lineRule="auto"/>
        <w:jc w:val="both"/>
        <w:rPr>
          <w:rFonts w:ascii="Arial" w:eastAsia="SimSun" w:hAnsi="Arial" w:cs="Arial"/>
          <w:szCs w:val="28"/>
          <w:lang w:val="sq-AL" w:eastAsia="es-ES"/>
        </w:rPr>
      </w:pPr>
      <w:r w:rsidRPr="001C61AE">
        <w:rPr>
          <w:rFonts w:ascii="Arial" w:eastAsia="SimSun" w:hAnsi="Arial" w:cs="Arial"/>
          <w:szCs w:val="28"/>
          <w:lang w:val="sq-AL" w:eastAsia="es-ES"/>
        </w:rPr>
        <w:t>Pavarësisht këtyre sfidave, Kosova ka shënuar përparim të rëndësishëm në sigurimin e qasjes në financat ndërkombëtare për klimën. Në vitin 2023, Kosova u bë vendi i parë evropian që përfitoi financim nga Mekanizmi për Qëndrueshmëri dhe Qëndrueshmëri i FMN-së (RSF), duke siguruar 83.5 milionë USD për të mbështetur reformat klimatike dhe investimet në tranzicionin energjetik dhe infrastrukturën e gjelbër</w:t>
      </w:r>
      <w:r w:rsidR="0097035C" w:rsidRPr="001C61AE">
        <w:rPr>
          <w:rFonts w:ascii="Arial" w:eastAsia="SimSun" w:hAnsi="Arial" w:cs="Arial"/>
          <w:szCs w:val="28"/>
          <w:lang w:val="sq-AL" w:eastAsia="es-ES"/>
        </w:rPr>
        <w:t>.</w:t>
      </w:r>
      <w:r w:rsidR="00A36696" w:rsidRPr="001C61AE">
        <w:rPr>
          <w:rFonts w:ascii="Arial" w:eastAsia="SimSun" w:hAnsi="Arial" w:cs="Arial"/>
          <w:szCs w:val="28"/>
          <w:vertAlign w:val="superscript"/>
          <w:lang w:val="sq-AL" w:eastAsia="es-ES"/>
        </w:rPr>
        <w:footnoteReference w:id="88"/>
      </w:r>
      <w:r w:rsidRPr="001C61AE">
        <w:rPr>
          <w:rFonts w:ascii="Arial" w:eastAsia="SimSun" w:hAnsi="Arial" w:cs="Arial"/>
          <w:szCs w:val="28"/>
          <w:lang w:val="sq-AL" w:eastAsia="es-ES"/>
        </w:rPr>
        <w:t>Financime shtesë janë mobilizuar përmes donatorëve bilateralë dhe institucioneve shumëpalëshe si Bashkimi Evropian, BERZH dhe KfW, kryesisht përmes projekteve të financimit të kombinuar në fushën e efikasitetit energjetik, energjisë solare dhe rinovimit të ndërtesave publike</w:t>
      </w:r>
      <w:r w:rsidR="00824B48" w:rsidRPr="001C61AE">
        <w:rPr>
          <w:rFonts w:ascii="Arial" w:eastAsia="SimSun" w:hAnsi="Arial" w:cs="Arial"/>
          <w:szCs w:val="28"/>
          <w:lang w:val="sq-AL" w:eastAsia="es-ES"/>
        </w:rPr>
        <w:t>.</w:t>
      </w:r>
      <w:r w:rsidR="00A36696" w:rsidRPr="001C61AE">
        <w:rPr>
          <w:rFonts w:ascii="Arial" w:eastAsia="SimSun" w:hAnsi="Arial" w:cs="Arial"/>
          <w:szCs w:val="28"/>
          <w:vertAlign w:val="superscript"/>
          <w:lang w:val="sq-AL" w:eastAsia="es-ES"/>
        </w:rPr>
        <w:footnoteReference w:id="89"/>
      </w:r>
    </w:p>
    <w:p w14:paraId="30FCD3C8" w14:textId="3A8E4552" w:rsidR="00A36696" w:rsidRPr="001C61AE" w:rsidRDefault="003C1569" w:rsidP="00A36696">
      <w:pPr>
        <w:tabs>
          <w:tab w:val="right" w:leader="dot" w:pos="8494"/>
        </w:tabs>
        <w:spacing w:before="0" w:line="256" w:lineRule="auto"/>
        <w:jc w:val="both"/>
        <w:rPr>
          <w:rFonts w:ascii="Arial" w:eastAsia="SimSun" w:hAnsi="Arial" w:cs="Arial"/>
          <w:szCs w:val="28"/>
          <w:lang w:val="sq-AL" w:eastAsia="es-ES"/>
        </w:rPr>
      </w:pPr>
      <w:r w:rsidRPr="001C61AE">
        <w:rPr>
          <w:rFonts w:ascii="Arial" w:eastAsia="SimSun" w:hAnsi="Arial" w:cs="Arial"/>
          <w:szCs w:val="28"/>
          <w:lang w:val="sq-AL" w:eastAsia="es-ES"/>
        </w:rPr>
        <w:t xml:space="preserve">Në aspektin institucional, Kosova ka filluar të integrojë konsideratat klimatike në qeverisjen e saj financiare. </w:t>
      </w:r>
      <w:r w:rsidR="00602281" w:rsidRPr="001C61AE">
        <w:rPr>
          <w:rFonts w:ascii="Arial" w:eastAsia="SimSun" w:hAnsi="Arial" w:cs="Arial"/>
          <w:szCs w:val="28"/>
          <w:lang w:val="sq-AL" w:eastAsia="es-ES"/>
        </w:rPr>
        <w:t>Ligji i Klimës</w:t>
      </w:r>
      <w:r w:rsidRPr="001C61AE">
        <w:rPr>
          <w:rFonts w:ascii="Arial" w:eastAsia="SimSun" w:hAnsi="Arial" w:cs="Arial"/>
          <w:szCs w:val="28"/>
          <w:lang w:val="sq-AL" w:eastAsia="es-ES"/>
        </w:rPr>
        <w:t xml:space="preserve"> (aktualisht në fazë të </w:t>
      </w:r>
      <w:r w:rsidR="00E45E38" w:rsidRPr="001C61AE">
        <w:rPr>
          <w:rFonts w:ascii="Arial" w:eastAsia="SimSun" w:hAnsi="Arial" w:cs="Arial"/>
          <w:szCs w:val="28"/>
          <w:lang w:val="sq-AL" w:eastAsia="es-ES"/>
        </w:rPr>
        <w:t>korrigjimit</w:t>
      </w:r>
      <w:r w:rsidRPr="001C61AE">
        <w:rPr>
          <w:rFonts w:ascii="Arial" w:eastAsia="SimSun" w:hAnsi="Arial" w:cs="Arial"/>
          <w:szCs w:val="28"/>
          <w:lang w:val="sq-AL" w:eastAsia="es-ES"/>
        </w:rPr>
        <w:t xml:space="preserve"> dhe </w:t>
      </w:r>
      <w:r w:rsidR="00BE39C7" w:rsidRPr="001C61AE">
        <w:rPr>
          <w:rFonts w:ascii="Arial" w:eastAsia="SimSun" w:hAnsi="Arial" w:cs="Arial"/>
          <w:szCs w:val="28"/>
          <w:lang w:val="sq-AL" w:eastAsia="es-ES"/>
        </w:rPr>
        <w:t>Strategjia</w:t>
      </w:r>
      <w:r w:rsidRPr="001C61AE">
        <w:rPr>
          <w:rFonts w:ascii="Arial" w:eastAsia="SimSun" w:hAnsi="Arial" w:cs="Arial"/>
          <w:szCs w:val="28"/>
          <w:lang w:val="sq-AL" w:eastAsia="es-ES"/>
        </w:rPr>
        <w:t xml:space="preserve"> e Energjisë 2022–2031 përfshijnë dispozita për çmimin e karbonit dhe planifikimin e tranzicionit të drejtë. Plani Kombëtar për Energji dhe Klimë (NECP) është në hartim e sipër dhe pritet të harmonizohet me objektivat klimatike dhe energjetike të BE-së. Ministria e Mjedisit, Planifikimit Hapësinor dhe Infrastrukturës (MMPHI) dhe Ministria e Ekonomisë janë institucionet udhëheqëse, të mbështetura nga partnerët zhvillimorë</w:t>
      </w:r>
      <w:r w:rsidR="00824B48" w:rsidRPr="001C61AE">
        <w:rPr>
          <w:rFonts w:ascii="Arial" w:eastAsia="SimSun" w:hAnsi="Arial" w:cs="Arial"/>
          <w:szCs w:val="28"/>
          <w:lang w:val="sq-AL" w:eastAsia="es-ES"/>
        </w:rPr>
        <w:t>.</w:t>
      </w:r>
      <w:r w:rsidR="00A36696" w:rsidRPr="001C61AE">
        <w:rPr>
          <w:rFonts w:ascii="Arial" w:eastAsia="SimSun" w:hAnsi="Arial" w:cs="Arial"/>
          <w:szCs w:val="28"/>
          <w:vertAlign w:val="superscript"/>
          <w:lang w:val="sq-AL" w:eastAsia="es-ES"/>
        </w:rPr>
        <w:footnoteReference w:id="90"/>
      </w:r>
    </w:p>
    <w:p w14:paraId="6D55AF83" w14:textId="77777777" w:rsidR="003C1569" w:rsidRPr="001C61AE" w:rsidRDefault="003C1569" w:rsidP="003C1569">
      <w:pPr>
        <w:tabs>
          <w:tab w:val="right" w:leader="dot" w:pos="8494"/>
        </w:tabs>
        <w:spacing w:before="0" w:line="256" w:lineRule="auto"/>
        <w:jc w:val="both"/>
        <w:rPr>
          <w:rFonts w:ascii="Arial" w:eastAsia="SimSun" w:hAnsi="Arial" w:cs="Arial"/>
          <w:szCs w:val="28"/>
          <w:lang w:val="sq-AL" w:eastAsia="es-ES"/>
        </w:rPr>
      </w:pPr>
      <w:r w:rsidRPr="001C61AE">
        <w:rPr>
          <w:rFonts w:ascii="Arial" w:eastAsia="SimSun" w:hAnsi="Arial" w:cs="Arial"/>
          <w:szCs w:val="28"/>
          <w:lang w:val="sq-AL" w:eastAsia="es-ES"/>
        </w:rPr>
        <w:t>Megjithatë, Kosova ende nuk ka një strategji të dedikuar për financimin klimatik, një taksonomi të gjelbër apo një kornizë rregullatore për financat e qëndrueshme. Sektori financiar ka ekspozim të kufizuar ndaj instrumenteve të gjelbra dhe nuk ekziston ndonjë regjim i detyrueshëm i raportimit për rreziqet klimatike. Ndërtimi i kapaciteteve brenda institucioneve financiare, krijimi i udhëzimeve mbikëqyrëse për çështjet klimatike dhe nxitja e partneriteteve publike-private do të jenë thelbësore për të liruar vëllime më të mëdha të financimit klimatik.</w:t>
      </w:r>
    </w:p>
    <w:p w14:paraId="5F8795CA" w14:textId="13E122FF" w:rsidR="00A36696" w:rsidRPr="001C61AE" w:rsidRDefault="003C1569" w:rsidP="00A36696">
      <w:pPr>
        <w:tabs>
          <w:tab w:val="right" w:leader="dot" w:pos="8494"/>
        </w:tabs>
        <w:spacing w:before="0" w:line="256" w:lineRule="auto"/>
        <w:jc w:val="both"/>
        <w:rPr>
          <w:rFonts w:ascii="Arial" w:eastAsia="SimSun" w:hAnsi="Arial" w:cs="Arial"/>
          <w:szCs w:val="28"/>
          <w:lang w:val="sq-AL" w:eastAsia="es-ES"/>
        </w:rPr>
      </w:pPr>
      <w:r w:rsidRPr="001C61AE">
        <w:rPr>
          <w:rFonts w:ascii="Arial" w:eastAsia="SimSun" w:hAnsi="Arial" w:cs="Arial"/>
          <w:szCs w:val="28"/>
          <w:lang w:val="sq-AL" w:eastAsia="es-ES"/>
        </w:rPr>
        <w:t xml:space="preserve">Harmonizimi i Kosovës me Agjendën e Gjelbër të BE-së për Ballkanin Perëndimor ofron një kornizë të fuqishme politike. Duke përshpejtuar reformat institucionale dhe forcimin e kushteve mundësuese për </w:t>
      </w:r>
      <w:r w:rsidRPr="001C61AE">
        <w:rPr>
          <w:rFonts w:ascii="Arial" w:eastAsia="SimSun" w:hAnsi="Arial" w:cs="Arial"/>
          <w:szCs w:val="28"/>
          <w:lang w:val="sq-AL" w:eastAsia="es-ES"/>
        </w:rPr>
        <w:lastRenderedPageBreak/>
        <w:t>financimin e gjelbër—duke përfshirë instrumente për ndarjen e rrezikut, etiketimin e buxhetit për klimën dhe qasjen në fondet klimatike—Kosova mund të zgjerojë investimet klimatike dhe të ndërtojë qëndrueshmëri afatgjatë</w:t>
      </w:r>
      <w:r w:rsidR="00824B48" w:rsidRPr="001C61AE">
        <w:rPr>
          <w:rFonts w:ascii="Arial" w:eastAsia="SimSun" w:hAnsi="Arial" w:cs="Arial"/>
          <w:szCs w:val="28"/>
          <w:lang w:val="sq-AL" w:eastAsia="es-ES"/>
        </w:rPr>
        <w:t>.</w:t>
      </w:r>
      <w:r w:rsidR="00A36696" w:rsidRPr="001C61AE">
        <w:rPr>
          <w:rFonts w:ascii="Arial" w:hAnsi="Arial" w:cs="Arial"/>
          <w:szCs w:val="28"/>
          <w:vertAlign w:val="superscript"/>
          <w:lang w:val="sq-AL" w:eastAsia="es-ES"/>
        </w:rPr>
        <w:footnoteReference w:id="91"/>
      </w:r>
    </w:p>
    <w:p w14:paraId="6F8A5E7E" w14:textId="39CF25C2" w:rsidR="00A36696" w:rsidRPr="001C61AE" w:rsidRDefault="005A734C" w:rsidP="00A36696">
      <w:pPr>
        <w:pStyle w:val="Heading2"/>
        <w:rPr>
          <w:rFonts w:ascii="Arial" w:hAnsi="Arial" w:cs="Arial"/>
          <w:lang w:val="sq-AL" w:eastAsia="es-ES"/>
        </w:rPr>
      </w:pPr>
      <w:bookmarkStart w:id="107" w:name="_Toc211532723"/>
      <w:r w:rsidRPr="001C61AE">
        <w:rPr>
          <w:rFonts w:ascii="Arial" w:hAnsi="Arial" w:cs="Arial"/>
          <w:lang w:val="sq-AL" w:eastAsia="es-ES"/>
        </w:rPr>
        <w:t>Vlerësimi i nevojave financiare për zbatimin e strategjisë</w:t>
      </w:r>
      <w:bookmarkEnd w:id="107"/>
    </w:p>
    <w:p w14:paraId="63812250" w14:textId="70C306FB" w:rsidR="00AA0320" w:rsidRPr="001C61AE" w:rsidRDefault="00AA0320" w:rsidP="00AA0320">
      <w:pPr>
        <w:jc w:val="both"/>
        <w:rPr>
          <w:rFonts w:ascii="Arial" w:eastAsia="SimSun" w:hAnsi="Arial" w:cs="Arial"/>
          <w:szCs w:val="28"/>
          <w:lang w:val="sq-AL"/>
        </w:rPr>
      </w:pPr>
      <w:r w:rsidRPr="001C61AE">
        <w:rPr>
          <w:rFonts w:ascii="Arial" w:eastAsia="SimSun" w:hAnsi="Arial" w:cs="Arial"/>
          <w:szCs w:val="28"/>
          <w:lang w:val="sq-AL"/>
        </w:rPr>
        <w:t xml:space="preserve">Si pjesë e Strategjisë, kjo pjesë paraqet një përmbledhje të burimeve të nevojshme financiare për zbatimin e </w:t>
      </w:r>
      <w:r w:rsidRPr="001C61AE">
        <w:rPr>
          <w:rFonts w:ascii="Arial" w:eastAsia="SimSun" w:hAnsi="Arial" w:cs="Arial"/>
          <w:i/>
          <w:iCs/>
          <w:szCs w:val="28"/>
          <w:lang w:val="sq-AL"/>
        </w:rPr>
        <w:t>Objektivave specifikë</w:t>
      </w:r>
      <w:r w:rsidRPr="001C61AE">
        <w:rPr>
          <w:rFonts w:ascii="Arial" w:eastAsia="SimSun" w:hAnsi="Arial" w:cs="Arial"/>
          <w:szCs w:val="28"/>
          <w:lang w:val="sq-AL"/>
        </w:rPr>
        <w:t xml:space="preserve"> të planifikuar për tre vitet e ardhshme (2026–2028), sipas planeve sektoriale të veprimit (shih Aneksi I; Aneksi II; Aneksi III; Aneksi IV). Qëllimi i këtij vlerësimi është të ofrojë një vlerësim fillestar të nevojave financiare, duke kontribuar në planifikimin e investimeve të ardhshme dhe mobilizimin e financimeve klimatike.</w:t>
      </w:r>
    </w:p>
    <w:p w14:paraId="6C0E4E1F" w14:textId="77777777" w:rsidR="00AA0320" w:rsidRPr="001C61AE" w:rsidRDefault="00AA0320" w:rsidP="00AA0320">
      <w:pPr>
        <w:jc w:val="both"/>
        <w:rPr>
          <w:rFonts w:ascii="Arial" w:eastAsia="SimSun" w:hAnsi="Arial" w:cs="Arial"/>
          <w:szCs w:val="28"/>
          <w:lang w:val="sq-AL"/>
        </w:rPr>
      </w:pPr>
      <w:r w:rsidRPr="001C61AE">
        <w:rPr>
          <w:rFonts w:ascii="Arial" w:eastAsia="SimSun" w:hAnsi="Arial" w:cs="Arial"/>
          <w:szCs w:val="28"/>
          <w:lang w:val="sq-AL"/>
        </w:rPr>
        <w:t>Vlerësimet e kostove janë bazuar në një kombinim të vlerësimit profesional, krahasimeve me nisma të ngjashme për përshtatje në rajon, dhe dokumentacionit teknik të disponueshëm. Ndërsa këto shifra shërbejnë si orientim i dobishëm, ato duhet të konsiderohen si paraprake dhe të hapura për përmirësime përmes vlerësimeve më të detajuara të fizibilitetit dhe planifikimit në nivel projekti. Kjo analizë do të mbështesë proceset e ardhshme të buxhetimit dhe do të lehtësojë përputhjen me mundësitë kombëtare dhe ndërkombëtare për financimin e klimës.</w:t>
      </w:r>
    </w:p>
    <w:p w14:paraId="1076CD11" w14:textId="7E350877" w:rsidR="00126BE6" w:rsidRPr="001C61AE" w:rsidRDefault="00AA0320" w:rsidP="00126BE6">
      <w:pPr>
        <w:jc w:val="both"/>
        <w:rPr>
          <w:rFonts w:ascii="Arial" w:eastAsia="SimSun" w:hAnsi="Arial" w:cs="Arial"/>
          <w:szCs w:val="28"/>
          <w:lang w:val="sq-AL"/>
        </w:rPr>
      </w:pPr>
      <w:r w:rsidRPr="001C61AE">
        <w:rPr>
          <w:rFonts w:ascii="Arial" w:eastAsia="SimSun" w:hAnsi="Arial" w:cs="Arial"/>
          <w:szCs w:val="28"/>
          <w:lang w:val="sq-AL"/>
        </w:rPr>
        <w:t xml:space="preserve">Investimi total i vlerësuar i nevojshëm për të zbatuar </w:t>
      </w:r>
      <w:r w:rsidRPr="001C61AE">
        <w:rPr>
          <w:rFonts w:ascii="Arial" w:eastAsia="SimSun" w:hAnsi="Arial" w:cs="Arial"/>
          <w:i/>
          <w:iCs/>
          <w:szCs w:val="28"/>
          <w:lang w:val="sq-AL"/>
        </w:rPr>
        <w:t>Objektivat specifikë</w:t>
      </w:r>
      <w:r w:rsidRPr="001C61AE">
        <w:rPr>
          <w:rFonts w:ascii="Arial" w:eastAsia="SimSun" w:hAnsi="Arial" w:cs="Arial"/>
          <w:szCs w:val="28"/>
          <w:lang w:val="sq-AL"/>
        </w:rPr>
        <w:t xml:space="preserve"> e përzgjedhur gjatë periudhës 2026–2028 është </w:t>
      </w:r>
      <w:r w:rsidRPr="001C61AE">
        <w:rPr>
          <w:rFonts w:ascii="Arial" w:eastAsia="SimSun" w:hAnsi="Arial" w:cs="Arial"/>
          <w:b/>
          <w:bCs/>
          <w:szCs w:val="28"/>
          <w:lang w:val="sq-AL"/>
        </w:rPr>
        <w:t xml:space="preserve">EUR </w:t>
      </w:r>
      <w:r w:rsidR="00AD0D94" w:rsidRPr="001C61AE">
        <w:rPr>
          <w:rFonts w:ascii="Arial" w:eastAsia="SimSun" w:hAnsi="Arial" w:cs="Arial"/>
          <w:b/>
          <w:bCs/>
          <w:szCs w:val="28"/>
          <w:lang w:val="sq-AL"/>
        </w:rPr>
        <w:t>≈ 853.31 milion</w:t>
      </w:r>
      <w:r w:rsidRPr="001C61AE">
        <w:rPr>
          <w:rFonts w:ascii="Arial" w:eastAsia="SimSun" w:hAnsi="Arial" w:cs="Arial"/>
          <w:szCs w:val="28"/>
          <w:lang w:val="sq-AL"/>
        </w:rPr>
        <w:t>. Tabela në vijim paraqet ndarjen e kostove të parashikuara sipas viteve</w:t>
      </w:r>
      <w:r w:rsidR="00126BE6" w:rsidRPr="001C61AE">
        <w:rPr>
          <w:rFonts w:ascii="Arial" w:eastAsia="SimSun" w:hAnsi="Arial" w:cs="Arial"/>
          <w:szCs w:val="28"/>
          <w:lang w:val="sq-AL"/>
        </w:rPr>
        <w:t>:</w:t>
      </w:r>
    </w:p>
    <w:p w14:paraId="1586CD9E" w14:textId="39E38289" w:rsidR="00B516CC" w:rsidRPr="001C61AE" w:rsidRDefault="00186789" w:rsidP="0097040B">
      <w:pPr>
        <w:spacing w:before="0" w:after="0" w:line="240" w:lineRule="auto"/>
        <w:jc w:val="right"/>
        <w:rPr>
          <w:rFonts w:ascii="Arial" w:eastAsia="SimSun" w:hAnsi="Arial" w:cs="Arial"/>
          <w:b/>
          <w:bCs/>
          <w:i/>
          <w:iCs/>
          <w:kern w:val="0"/>
          <w:sz w:val="20"/>
          <w:szCs w:val="20"/>
          <w:lang w:val="sq-AL"/>
          <w14:ligatures w14:val="none"/>
        </w:rPr>
      </w:pPr>
      <w:r w:rsidRPr="001C61AE">
        <w:rPr>
          <w:rFonts w:ascii="Arial" w:eastAsia="SimSun" w:hAnsi="Arial" w:cs="Arial"/>
          <w:i/>
          <w:iCs/>
          <w:kern w:val="0"/>
          <w:sz w:val="20"/>
          <w:szCs w:val="20"/>
          <w:lang w:val="sq-AL"/>
          <w14:ligatures w14:val="none"/>
        </w:rPr>
        <w:t>.</w:t>
      </w:r>
    </w:p>
    <w:p w14:paraId="0AC8FDE2" w14:textId="688560E5" w:rsidR="0097040B" w:rsidRPr="001C61AE" w:rsidRDefault="0097040B" w:rsidP="00C65386">
      <w:pPr>
        <w:pStyle w:val="Caption"/>
        <w:keepNext/>
        <w:rPr>
          <w:rFonts w:ascii="Arial" w:hAnsi="Arial" w:cs="Arial"/>
        </w:rPr>
      </w:pPr>
      <w:bookmarkStart w:id="108" w:name="_Toc211532733"/>
      <w:r w:rsidRPr="001C61AE">
        <w:rPr>
          <w:rFonts w:ascii="Arial" w:hAnsi="Arial" w:cs="Arial"/>
        </w:rPr>
        <w:t xml:space="preserve">Tabela </w:t>
      </w:r>
      <w:r w:rsidRPr="001C61AE">
        <w:rPr>
          <w:rFonts w:ascii="Arial" w:hAnsi="Arial" w:cs="Arial"/>
        </w:rPr>
        <w:fldChar w:fldCharType="begin"/>
      </w:r>
      <w:r w:rsidRPr="001C61AE">
        <w:rPr>
          <w:rFonts w:ascii="Arial" w:hAnsi="Arial" w:cs="Arial"/>
        </w:rPr>
        <w:instrText xml:space="preserve"> SEQ Tabela \* ARABIC </w:instrText>
      </w:r>
      <w:r w:rsidRPr="001C61AE">
        <w:rPr>
          <w:rFonts w:ascii="Arial" w:hAnsi="Arial" w:cs="Arial"/>
        </w:rPr>
        <w:fldChar w:fldCharType="separate"/>
      </w:r>
      <w:r w:rsidR="00C62DE9">
        <w:rPr>
          <w:rFonts w:ascii="Arial" w:hAnsi="Arial" w:cs="Arial"/>
          <w:noProof/>
        </w:rPr>
        <w:t>6</w:t>
      </w:r>
      <w:r w:rsidRPr="001C61AE">
        <w:rPr>
          <w:rFonts w:ascii="Arial" w:hAnsi="Arial" w:cs="Arial"/>
          <w:noProof/>
        </w:rPr>
        <w:fldChar w:fldCharType="end"/>
      </w:r>
      <w:r w:rsidRPr="001C61AE">
        <w:rPr>
          <w:rFonts w:ascii="Arial" w:hAnsi="Arial" w:cs="Arial"/>
        </w:rPr>
        <w:t>. Investimi total i nevojshëm i vlerësuar. Burimi: MMPHI,2025</w:t>
      </w:r>
      <w:bookmarkEnd w:id="108"/>
    </w:p>
    <w:tbl>
      <w:tblPr>
        <w:tblStyle w:val="TableGrid"/>
        <w:tblW w:w="0" w:type="auto"/>
        <w:tblLook w:val="04A0" w:firstRow="1" w:lastRow="0" w:firstColumn="1" w:lastColumn="0" w:noHBand="0" w:noVBand="1"/>
      </w:tblPr>
      <w:tblGrid>
        <w:gridCol w:w="5098"/>
        <w:gridCol w:w="5098"/>
      </w:tblGrid>
      <w:tr w:rsidR="00126BE6" w:rsidRPr="001C61AE" w14:paraId="559B5A0B" w14:textId="77777777" w:rsidTr="00905BF3">
        <w:tc>
          <w:tcPr>
            <w:tcW w:w="5098" w:type="dxa"/>
            <w:shd w:val="clear" w:color="auto" w:fill="1D3C5A"/>
            <w:vAlign w:val="center"/>
          </w:tcPr>
          <w:p w14:paraId="6405CF20" w14:textId="56C0E769" w:rsidR="00126BE6" w:rsidRPr="001C61AE" w:rsidRDefault="005A734C" w:rsidP="00905BF3">
            <w:pPr>
              <w:jc w:val="center"/>
              <w:rPr>
                <w:rFonts w:ascii="Arial" w:eastAsia="SimSun" w:hAnsi="Arial" w:cs="Arial"/>
                <w:b/>
                <w:bCs/>
                <w:color w:val="FFFFFF" w:themeColor="background1"/>
                <w:szCs w:val="28"/>
                <w:lang w:val="sq-AL"/>
              </w:rPr>
            </w:pPr>
            <w:r w:rsidRPr="001C61AE">
              <w:rPr>
                <w:rFonts w:ascii="Arial" w:eastAsia="SimSun" w:hAnsi="Arial" w:cs="Arial"/>
                <w:b/>
                <w:bCs/>
                <w:color w:val="FFFFFF" w:themeColor="background1"/>
                <w:szCs w:val="28"/>
                <w:lang w:val="sq-AL"/>
              </w:rPr>
              <w:t>Viti</w:t>
            </w:r>
          </w:p>
        </w:tc>
        <w:tc>
          <w:tcPr>
            <w:tcW w:w="5098" w:type="dxa"/>
            <w:shd w:val="clear" w:color="auto" w:fill="1D3C5A"/>
            <w:vAlign w:val="center"/>
          </w:tcPr>
          <w:p w14:paraId="4DE7EDD1" w14:textId="483D03B5" w:rsidR="00126BE6" w:rsidRPr="001C61AE" w:rsidRDefault="005A734C" w:rsidP="00905BF3">
            <w:pPr>
              <w:jc w:val="center"/>
              <w:rPr>
                <w:rFonts w:ascii="Arial" w:eastAsia="SimSun" w:hAnsi="Arial" w:cs="Arial"/>
                <w:b/>
                <w:bCs/>
                <w:color w:val="FFFFFF" w:themeColor="background1"/>
                <w:szCs w:val="28"/>
                <w:lang w:val="sq-AL"/>
              </w:rPr>
            </w:pPr>
            <w:r w:rsidRPr="001C61AE">
              <w:rPr>
                <w:rFonts w:ascii="Arial" w:eastAsia="SimSun" w:hAnsi="Arial" w:cs="Arial"/>
                <w:b/>
                <w:bCs/>
                <w:color w:val="FFFFFF" w:themeColor="background1"/>
                <w:szCs w:val="28"/>
                <w:lang w:val="sq-AL"/>
              </w:rPr>
              <w:t>Kostot e parashikuara (€)</w:t>
            </w:r>
          </w:p>
        </w:tc>
      </w:tr>
      <w:tr w:rsidR="00AD0D94" w:rsidRPr="001C61AE" w14:paraId="5623AD03" w14:textId="77777777" w:rsidTr="004C6E93">
        <w:tc>
          <w:tcPr>
            <w:tcW w:w="5098" w:type="dxa"/>
            <w:vAlign w:val="center"/>
          </w:tcPr>
          <w:p w14:paraId="43DA4026" w14:textId="3698B29B" w:rsidR="00AD0D94" w:rsidRPr="001C61AE" w:rsidRDefault="00AD0D94" w:rsidP="00AD0D94">
            <w:pPr>
              <w:jc w:val="center"/>
              <w:rPr>
                <w:rFonts w:ascii="Arial" w:eastAsia="SimSun" w:hAnsi="Arial" w:cs="Arial"/>
                <w:b/>
                <w:bCs/>
                <w:sz w:val="20"/>
                <w:szCs w:val="24"/>
                <w:lang w:val="sq-AL"/>
              </w:rPr>
            </w:pPr>
            <w:r w:rsidRPr="001C61AE">
              <w:rPr>
                <w:rFonts w:ascii="Arial" w:eastAsia="SimSun" w:hAnsi="Arial" w:cs="Arial"/>
                <w:b/>
                <w:bCs/>
                <w:sz w:val="20"/>
                <w:szCs w:val="24"/>
                <w:lang w:val="sq-AL"/>
              </w:rPr>
              <w:t>2026</w:t>
            </w:r>
          </w:p>
        </w:tc>
        <w:tc>
          <w:tcPr>
            <w:tcW w:w="5098" w:type="dxa"/>
          </w:tcPr>
          <w:p w14:paraId="26DBB7B7" w14:textId="5FB854DA" w:rsidR="00AD0D94" w:rsidRPr="001C61AE" w:rsidRDefault="00AD0D94" w:rsidP="00AD0D94">
            <w:pPr>
              <w:jc w:val="center"/>
              <w:rPr>
                <w:rFonts w:ascii="Arial" w:eastAsia="SimSun" w:hAnsi="Arial" w:cs="Arial"/>
                <w:sz w:val="20"/>
                <w:szCs w:val="24"/>
                <w:lang w:val="sq-AL"/>
              </w:rPr>
            </w:pPr>
            <w:r w:rsidRPr="001C61AE">
              <w:rPr>
                <w:rFonts w:ascii="Arial" w:hAnsi="Arial" w:cs="Arial"/>
              </w:rPr>
              <w:t xml:space="preserve">≈230.36 milion </w:t>
            </w:r>
          </w:p>
        </w:tc>
      </w:tr>
      <w:tr w:rsidR="00AD0D94" w:rsidRPr="001C61AE" w14:paraId="24B52B41" w14:textId="77777777" w:rsidTr="004C6E93">
        <w:tc>
          <w:tcPr>
            <w:tcW w:w="5098" w:type="dxa"/>
            <w:vAlign w:val="center"/>
          </w:tcPr>
          <w:p w14:paraId="31B13B82" w14:textId="59409FA6" w:rsidR="00AD0D94" w:rsidRPr="001C61AE" w:rsidRDefault="00AD0D94" w:rsidP="00AD0D94">
            <w:pPr>
              <w:jc w:val="center"/>
              <w:rPr>
                <w:rFonts w:ascii="Arial" w:eastAsia="SimSun" w:hAnsi="Arial" w:cs="Arial"/>
                <w:b/>
                <w:bCs/>
                <w:sz w:val="20"/>
                <w:szCs w:val="24"/>
                <w:lang w:val="sq-AL"/>
              </w:rPr>
            </w:pPr>
            <w:r w:rsidRPr="001C61AE">
              <w:rPr>
                <w:rFonts w:ascii="Arial" w:eastAsia="SimSun" w:hAnsi="Arial" w:cs="Arial"/>
                <w:b/>
                <w:bCs/>
                <w:sz w:val="20"/>
                <w:szCs w:val="24"/>
                <w:lang w:val="sq-AL"/>
              </w:rPr>
              <w:t>2027</w:t>
            </w:r>
          </w:p>
        </w:tc>
        <w:tc>
          <w:tcPr>
            <w:tcW w:w="5098" w:type="dxa"/>
          </w:tcPr>
          <w:p w14:paraId="7744C7E2" w14:textId="42FF6687" w:rsidR="00AD0D94" w:rsidRPr="001C61AE" w:rsidRDefault="00AD0D94" w:rsidP="00AD0D94">
            <w:pPr>
              <w:jc w:val="center"/>
              <w:rPr>
                <w:rFonts w:ascii="Arial" w:eastAsia="SimSun" w:hAnsi="Arial" w:cs="Arial"/>
                <w:sz w:val="20"/>
                <w:szCs w:val="24"/>
                <w:lang w:val="sq-AL"/>
              </w:rPr>
            </w:pPr>
            <w:r w:rsidRPr="001C61AE">
              <w:rPr>
                <w:rFonts w:ascii="Arial" w:hAnsi="Arial" w:cs="Arial"/>
              </w:rPr>
              <w:t xml:space="preserve">≈ 378.24 milion </w:t>
            </w:r>
          </w:p>
        </w:tc>
      </w:tr>
      <w:tr w:rsidR="00AD0D94" w:rsidRPr="001C61AE" w14:paraId="0D4C894A" w14:textId="77777777" w:rsidTr="004C6E93">
        <w:tc>
          <w:tcPr>
            <w:tcW w:w="5098" w:type="dxa"/>
            <w:vAlign w:val="center"/>
          </w:tcPr>
          <w:p w14:paraId="554923B8" w14:textId="209B0206" w:rsidR="00AD0D94" w:rsidRPr="001C61AE" w:rsidRDefault="00AD0D94" w:rsidP="00AD0D94">
            <w:pPr>
              <w:jc w:val="center"/>
              <w:rPr>
                <w:rFonts w:ascii="Arial" w:eastAsia="SimSun" w:hAnsi="Arial" w:cs="Arial"/>
                <w:b/>
                <w:bCs/>
                <w:sz w:val="20"/>
                <w:szCs w:val="24"/>
                <w:lang w:val="sq-AL"/>
              </w:rPr>
            </w:pPr>
            <w:r w:rsidRPr="001C61AE">
              <w:rPr>
                <w:rFonts w:ascii="Arial" w:eastAsia="SimSun" w:hAnsi="Arial" w:cs="Arial"/>
                <w:b/>
                <w:bCs/>
                <w:sz w:val="20"/>
                <w:szCs w:val="24"/>
                <w:lang w:val="sq-AL"/>
              </w:rPr>
              <w:t>2028</w:t>
            </w:r>
          </w:p>
        </w:tc>
        <w:tc>
          <w:tcPr>
            <w:tcW w:w="5098" w:type="dxa"/>
          </w:tcPr>
          <w:p w14:paraId="71EC3224" w14:textId="0D9F6089" w:rsidR="00AD0D94" w:rsidRPr="001C61AE" w:rsidRDefault="00AD0D94" w:rsidP="00AD0D94">
            <w:pPr>
              <w:jc w:val="center"/>
              <w:rPr>
                <w:rFonts w:ascii="Arial" w:eastAsia="SimSun" w:hAnsi="Arial" w:cs="Arial"/>
                <w:sz w:val="20"/>
                <w:szCs w:val="24"/>
                <w:lang w:val="sq-AL"/>
              </w:rPr>
            </w:pPr>
            <w:r w:rsidRPr="001C61AE">
              <w:rPr>
                <w:rFonts w:ascii="Arial" w:hAnsi="Arial" w:cs="Arial"/>
              </w:rPr>
              <w:t>≈ 244.71 milion</w:t>
            </w:r>
          </w:p>
        </w:tc>
      </w:tr>
      <w:tr w:rsidR="00AD0D94" w:rsidRPr="001C61AE" w14:paraId="4761A1AD" w14:textId="77777777" w:rsidTr="004C6E93">
        <w:tc>
          <w:tcPr>
            <w:tcW w:w="5098" w:type="dxa"/>
            <w:vAlign w:val="center"/>
          </w:tcPr>
          <w:p w14:paraId="4C3B9940" w14:textId="417A79CA" w:rsidR="00AD0D94" w:rsidRPr="001C61AE" w:rsidRDefault="00AD0D94" w:rsidP="00AD0D94">
            <w:pPr>
              <w:jc w:val="right"/>
              <w:rPr>
                <w:rFonts w:ascii="Arial" w:eastAsia="SimSun" w:hAnsi="Arial" w:cs="Arial"/>
                <w:b/>
                <w:bCs/>
                <w:i/>
                <w:iCs/>
                <w:sz w:val="20"/>
                <w:szCs w:val="24"/>
                <w:lang w:val="sq-AL"/>
              </w:rPr>
            </w:pPr>
            <w:r w:rsidRPr="001C61AE">
              <w:rPr>
                <w:rFonts w:ascii="Arial" w:eastAsia="SimSun" w:hAnsi="Arial" w:cs="Arial"/>
                <w:b/>
                <w:bCs/>
                <w:i/>
                <w:iCs/>
                <w:sz w:val="20"/>
                <w:szCs w:val="24"/>
                <w:lang w:val="sq-AL"/>
              </w:rPr>
              <w:t>Totali</w:t>
            </w:r>
          </w:p>
        </w:tc>
        <w:tc>
          <w:tcPr>
            <w:tcW w:w="5098" w:type="dxa"/>
          </w:tcPr>
          <w:p w14:paraId="2572FD06" w14:textId="27D1ED86" w:rsidR="00AD0D94" w:rsidRPr="001C61AE" w:rsidRDefault="00AD0D94" w:rsidP="00AD0D94">
            <w:pPr>
              <w:jc w:val="center"/>
              <w:rPr>
                <w:rFonts w:ascii="Arial" w:eastAsia="SimSun" w:hAnsi="Arial" w:cs="Arial"/>
                <w:sz w:val="20"/>
                <w:szCs w:val="24"/>
                <w:lang w:val="sq-AL"/>
              </w:rPr>
            </w:pPr>
            <w:r w:rsidRPr="001C61AE">
              <w:rPr>
                <w:rFonts w:ascii="Arial" w:hAnsi="Arial" w:cs="Arial"/>
              </w:rPr>
              <w:t>≈ 853.31 milion</w:t>
            </w:r>
          </w:p>
        </w:tc>
      </w:tr>
    </w:tbl>
    <w:p w14:paraId="2A57E822" w14:textId="24128A7B" w:rsidR="00A36696" w:rsidRPr="001C61AE" w:rsidRDefault="00FA3ACA" w:rsidP="00A36696">
      <w:pPr>
        <w:pStyle w:val="Heading2"/>
        <w:rPr>
          <w:rFonts w:ascii="Arial" w:hAnsi="Arial" w:cs="Arial"/>
          <w:lang w:val="sq-AL" w:eastAsia="es-ES"/>
        </w:rPr>
      </w:pPr>
      <w:bookmarkStart w:id="109" w:name="_Toc211532724"/>
      <w:r w:rsidRPr="001C61AE">
        <w:rPr>
          <w:rFonts w:ascii="Arial" w:hAnsi="Arial" w:cs="Arial"/>
          <w:lang w:val="sq-AL" w:eastAsia="es-ES"/>
        </w:rPr>
        <w:t>Mjetet e zbatimit: burimet e mundshme të financimit dhe instrumentet</w:t>
      </w:r>
      <w:bookmarkEnd w:id="109"/>
    </w:p>
    <w:p w14:paraId="09712A9C" w14:textId="37DCFD8D" w:rsidR="00A36696" w:rsidRPr="001C61AE" w:rsidRDefault="00FA3ACA" w:rsidP="00A36696">
      <w:pPr>
        <w:tabs>
          <w:tab w:val="right" w:leader="dot" w:pos="8494"/>
        </w:tabs>
        <w:spacing w:before="0" w:line="256" w:lineRule="auto"/>
        <w:jc w:val="both"/>
        <w:rPr>
          <w:rFonts w:ascii="Arial" w:eastAsia="SimSun" w:hAnsi="Arial" w:cs="Arial"/>
          <w:szCs w:val="28"/>
          <w:lang w:val="sq-AL"/>
        </w:rPr>
      </w:pPr>
      <w:r w:rsidRPr="001C61AE">
        <w:rPr>
          <w:rFonts w:ascii="Arial" w:eastAsia="SimSun" w:hAnsi="Arial" w:cs="Arial"/>
          <w:szCs w:val="28"/>
          <w:lang w:val="sq-AL"/>
        </w:rPr>
        <w:t>Zbatimi i suksesshëm i veprimeve prioritare të përshtatjes ndaj klimës në Kosovë kërkon një kombinim strategjik të burimeve të financimit dhe mekanizmave mundësues. Kjo pjesë ofron një përmbledhje të peizazhit aktual të financimit, duke bërë dallimin midis burimeve publike dhe private, si dhe identifikon aktorët kryesorë, instrumentet dhe kanalet përmes të cilave financimi klimatik mobilizohet dhe shpërndahet. Burimet publike – si fondet multilaterale për klimën, bankat zhvillimore dhe partnerët e bashkëpunimit bilateral – kanë pasur tradicionalisht një rol qendror në mbështetjen e përpjekjeve të përshtatjes. Në mënyrë plotësuese, përfshirja e sektorit privat, megjithëse ende në zhvillim, paraqet mundësi gjithnjë e më të mëdha përmes bankave tregtare, mikrofinancës, kapitalit sipërmarrës dhe instrumenteve të financimit të përzier. Së bashku, këto mekanizma përbëjnë bazën financiare të nevojshme për të mbështetur tranzicionin e Kosovës drejt qëndrueshmërisë klimatike</w:t>
      </w:r>
      <w:r w:rsidR="00A36696" w:rsidRPr="001C61AE">
        <w:rPr>
          <w:rFonts w:ascii="Arial" w:eastAsia="SimSun" w:hAnsi="Arial" w:cs="Arial"/>
          <w:szCs w:val="28"/>
          <w:lang w:val="sq-AL"/>
        </w:rPr>
        <w:t>.</w:t>
      </w:r>
    </w:p>
    <w:p w14:paraId="557C565F" w14:textId="20333C6E" w:rsidR="00A36696" w:rsidRPr="001C61AE" w:rsidRDefault="00FA3ACA" w:rsidP="00A36696">
      <w:pPr>
        <w:shd w:val="clear" w:color="auto" w:fill="215A5C"/>
        <w:tabs>
          <w:tab w:val="left" w:pos="2554"/>
        </w:tabs>
        <w:spacing w:before="0" w:line="256" w:lineRule="auto"/>
        <w:jc w:val="both"/>
        <w:rPr>
          <w:rFonts w:ascii="Arial" w:hAnsi="Arial" w:cs="Arial"/>
          <w:b/>
          <w:bCs/>
          <w:color w:val="FFFFFF" w:themeColor="background1"/>
          <w:sz w:val="20"/>
          <w:szCs w:val="24"/>
          <w:lang w:val="sq-AL"/>
        </w:rPr>
      </w:pPr>
      <w:r w:rsidRPr="001C61AE">
        <w:rPr>
          <w:rFonts w:ascii="Arial" w:hAnsi="Arial" w:cs="Arial"/>
          <w:b/>
          <w:bCs/>
          <w:color w:val="FFFFFF" w:themeColor="background1"/>
          <w:szCs w:val="28"/>
          <w:lang w:val="sq-AL"/>
        </w:rPr>
        <w:t>Burimet publike</w:t>
      </w:r>
      <w:r w:rsidR="00A36696" w:rsidRPr="001C61AE">
        <w:rPr>
          <w:rFonts w:ascii="Arial" w:hAnsi="Arial" w:cs="Arial"/>
          <w:b/>
          <w:bCs/>
          <w:color w:val="FFFFFF" w:themeColor="background1"/>
          <w:sz w:val="20"/>
          <w:szCs w:val="24"/>
          <w:lang w:val="sq-AL"/>
        </w:rPr>
        <w:tab/>
      </w:r>
    </w:p>
    <w:p w14:paraId="537537EE" w14:textId="48704574" w:rsidR="00FA3ACA" w:rsidRPr="001C61AE" w:rsidRDefault="00FA3ACA" w:rsidP="00FA3ACA">
      <w:pPr>
        <w:spacing w:before="0"/>
        <w:jc w:val="both"/>
        <w:rPr>
          <w:rFonts w:ascii="Arial" w:hAnsi="Arial" w:cs="Arial"/>
          <w:szCs w:val="28"/>
          <w:lang w:val="sq-AL"/>
        </w:rPr>
      </w:pPr>
      <w:r w:rsidRPr="001C61AE">
        <w:rPr>
          <w:rFonts w:ascii="Arial" w:hAnsi="Arial" w:cs="Arial"/>
          <w:szCs w:val="28"/>
          <w:lang w:val="sq-AL"/>
        </w:rPr>
        <w:t xml:space="preserve">Roli i financimit publik mbetet thelbësor në Kosovë, veçanërisht për shkak të kufizimeve aktuale në zhvillimin e një ekosistemi të qëndrueshëm për financimin e gjelbër nga sektori privat. Qeveritë </w:t>
      </w:r>
      <w:r w:rsidR="00836610" w:rsidRPr="001C61AE">
        <w:rPr>
          <w:rFonts w:ascii="Arial" w:hAnsi="Arial" w:cs="Arial"/>
          <w:szCs w:val="28"/>
          <w:lang w:val="sq-AL"/>
        </w:rPr>
        <w:t xml:space="preserve">qëndrore </w:t>
      </w:r>
      <w:r w:rsidRPr="001C61AE">
        <w:rPr>
          <w:rFonts w:ascii="Arial" w:hAnsi="Arial" w:cs="Arial"/>
          <w:szCs w:val="28"/>
          <w:lang w:val="sq-AL"/>
        </w:rPr>
        <w:t xml:space="preserve">dhe </w:t>
      </w:r>
      <w:r w:rsidR="00836610" w:rsidRPr="001C61AE">
        <w:rPr>
          <w:rFonts w:ascii="Arial" w:hAnsi="Arial" w:cs="Arial"/>
          <w:szCs w:val="28"/>
          <w:lang w:val="sq-AL"/>
        </w:rPr>
        <w:t xml:space="preserve">qeverisja lokale </w:t>
      </w:r>
      <w:r w:rsidRPr="001C61AE">
        <w:rPr>
          <w:rFonts w:ascii="Arial" w:hAnsi="Arial" w:cs="Arial"/>
          <w:szCs w:val="28"/>
          <w:lang w:val="sq-AL"/>
        </w:rPr>
        <w:t xml:space="preserve">luajnë </w:t>
      </w:r>
      <w:r w:rsidR="00AC4F54" w:rsidRPr="001C61AE">
        <w:rPr>
          <w:rFonts w:ascii="Arial" w:hAnsi="Arial" w:cs="Arial"/>
          <w:szCs w:val="28"/>
          <w:lang w:val="sq-AL"/>
        </w:rPr>
        <w:t xml:space="preserve">një </w:t>
      </w:r>
      <w:r w:rsidRPr="001C61AE">
        <w:rPr>
          <w:rFonts w:ascii="Arial" w:hAnsi="Arial" w:cs="Arial"/>
          <w:szCs w:val="28"/>
          <w:lang w:val="sq-AL"/>
        </w:rPr>
        <w:t>rol vendimtar në mobilizimin dhe menaxhimin e financimeve ndërkombëtare për klimën, duke vepruar shpesh si entitete zbatuese ose ekzekutuese për nisma të financuara nga jashtë.</w:t>
      </w:r>
    </w:p>
    <w:p w14:paraId="52EF8C09" w14:textId="16254F3B" w:rsidR="00FA3ACA" w:rsidRPr="001C61AE" w:rsidRDefault="00FA3ACA" w:rsidP="00FA3ACA">
      <w:pPr>
        <w:spacing w:before="0"/>
        <w:jc w:val="both"/>
        <w:rPr>
          <w:rFonts w:ascii="Arial" w:hAnsi="Arial" w:cs="Arial"/>
          <w:szCs w:val="28"/>
          <w:lang w:val="sq-AL"/>
        </w:rPr>
      </w:pPr>
      <w:r w:rsidRPr="001C61AE">
        <w:rPr>
          <w:rFonts w:ascii="Arial" w:hAnsi="Arial" w:cs="Arial"/>
          <w:szCs w:val="28"/>
          <w:lang w:val="sq-AL"/>
        </w:rPr>
        <w:lastRenderedPageBreak/>
        <w:t xml:space="preserve">Për këtë arsye, forcimi i koordinimit institucional dhe rritja e kapaciteteve përthithëse të institucioneve publike është thelbësore për të përmirësuar gatishmërinë e Kosovës për financimin e klimës dhe për të siguruar alokimin dhe shpërndarjen </w:t>
      </w:r>
      <w:r w:rsidR="00AF6C69" w:rsidRPr="001C61AE">
        <w:rPr>
          <w:rFonts w:ascii="Arial" w:hAnsi="Arial" w:cs="Arial"/>
          <w:szCs w:val="28"/>
          <w:lang w:val="sq-AL"/>
        </w:rPr>
        <w:t>efiçiente</w:t>
      </w:r>
      <w:r w:rsidRPr="001C61AE">
        <w:rPr>
          <w:rFonts w:ascii="Arial" w:hAnsi="Arial" w:cs="Arial"/>
          <w:szCs w:val="28"/>
          <w:lang w:val="sq-AL"/>
        </w:rPr>
        <w:t>të burimeve të disponueshme.</w:t>
      </w:r>
    </w:p>
    <w:p w14:paraId="4ADC28A9" w14:textId="77777777" w:rsidR="00FA3ACA" w:rsidRPr="001C61AE" w:rsidRDefault="00FA3ACA" w:rsidP="00FA3ACA">
      <w:pPr>
        <w:spacing w:before="0"/>
        <w:jc w:val="both"/>
        <w:rPr>
          <w:rFonts w:ascii="Arial" w:hAnsi="Arial" w:cs="Arial"/>
          <w:szCs w:val="28"/>
          <w:lang w:val="sq-AL"/>
        </w:rPr>
      </w:pPr>
      <w:r w:rsidRPr="001C61AE">
        <w:rPr>
          <w:rFonts w:ascii="Arial" w:hAnsi="Arial" w:cs="Arial"/>
          <w:szCs w:val="28"/>
          <w:lang w:val="sq-AL"/>
        </w:rPr>
        <w:t>Burimet publike të financimit përfshijnë si burimet e brendshme – që burojnë nga buxheti qendror dhe ai komunal, përfshirë agjencitë e tyre përkatëse – ashtu edhe fondet e ofruara nga organizata ndërkombëtare, të cilat mund të kanalizohen ose përmes institucioneve shtetërore ose drejtpërdrejt për projekte të udhëhequra nga sektori privat. Kjo arkitekturë e financimit të përzier përbën shtyllën kryesore të tranzicionit të Kosovës drejt zhvillimit me emetim të ulët dhe të qëndrueshëm ndaj klimës.</w:t>
      </w:r>
    </w:p>
    <w:p w14:paraId="6D2273D3" w14:textId="305D46FA" w:rsidR="00A36696" w:rsidRPr="001C61AE" w:rsidRDefault="00FA3ACA" w:rsidP="00A36696">
      <w:pPr>
        <w:spacing w:before="0"/>
        <w:jc w:val="both"/>
        <w:rPr>
          <w:rFonts w:ascii="Arial" w:hAnsi="Arial" w:cs="Arial"/>
          <w:szCs w:val="28"/>
          <w:lang w:val="sq-AL"/>
        </w:rPr>
      </w:pPr>
      <w:r w:rsidRPr="001C61AE">
        <w:rPr>
          <w:rFonts w:ascii="Arial" w:hAnsi="Arial" w:cs="Arial"/>
          <w:szCs w:val="28"/>
          <w:lang w:val="sq-AL"/>
        </w:rPr>
        <w:t>Sipas Iniciativës për Politikat Klimatike (Climate Policy Initiative), gjatë viteve 2021/2022 aktorët publikë ofruan afërsisht 60% të totalit të financimit klimatik në nivel global, duke angazhuar një mesatare vjetore prej 640 miliardë USD</w:t>
      </w:r>
      <w:r w:rsidR="00C912A2" w:rsidRPr="001C61AE">
        <w:rPr>
          <w:rFonts w:ascii="Arial" w:hAnsi="Arial" w:cs="Arial"/>
          <w:szCs w:val="28"/>
          <w:lang w:val="sq-AL"/>
        </w:rPr>
        <w:t>.</w:t>
      </w:r>
      <w:r w:rsidR="00A36696" w:rsidRPr="001C61AE">
        <w:rPr>
          <w:rFonts w:ascii="Arial" w:hAnsi="Arial" w:cs="Arial"/>
          <w:szCs w:val="28"/>
          <w:vertAlign w:val="superscript"/>
          <w:lang w:val="sq-AL"/>
        </w:rPr>
        <w:footnoteReference w:id="92"/>
      </w:r>
      <w:r w:rsidR="00A36696" w:rsidRPr="001C61AE">
        <w:rPr>
          <w:rFonts w:ascii="Arial" w:hAnsi="Arial" w:cs="Arial"/>
          <w:szCs w:val="28"/>
          <w:lang w:val="sq-AL"/>
        </w:rPr>
        <w:t xml:space="preserve"> </w:t>
      </w:r>
      <w:r w:rsidRPr="001C61AE">
        <w:rPr>
          <w:rFonts w:ascii="Arial" w:hAnsi="Arial" w:cs="Arial"/>
          <w:szCs w:val="28"/>
          <w:lang w:val="sq-AL"/>
        </w:rPr>
        <w:t>Nga të gjitha burimet publike të financimit klimatik, institucionet financiare zhvillimore kombëtare (DFI) ishin kontribuesit kryesorë, të ndjekur nga ndërmarrjet shtetërore dhe vetë qeveritë</w:t>
      </w:r>
      <w:r w:rsidR="00A36696" w:rsidRPr="001C61AE">
        <w:rPr>
          <w:rFonts w:ascii="Arial" w:hAnsi="Arial" w:cs="Arial"/>
          <w:szCs w:val="28"/>
          <w:lang w:val="sq-AL"/>
        </w:rPr>
        <w:t xml:space="preserve"> (</w:t>
      </w:r>
      <w:r w:rsidR="00A36696" w:rsidRPr="001C61AE">
        <w:rPr>
          <w:rFonts w:ascii="Arial" w:hAnsi="Arial" w:cs="Arial"/>
          <w:szCs w:val="28"/>
          <w:lang w:val="sq-AL"/>
        </w:rPr>
        <w:fldChar w:fldCharType="begin"/>
      </w:r>
      <w:r w:rsidR="00A36696" w:rsidRPr="001C61AE">
        <w:rPr>
          <w:rFonts w:ascii="Arial" w:hAnsi="Arial" w:cs="Arial"/>
          <w:szCs w:val="28"/>
          <w:lang w:val="sq-AL"/>
        </w:rPr>
        <w:instrText xml:space="preserve"> REF _Ref195089523 \h  \* MERGEFORMAT </w:instrText>
      </w:r>
      <w:r w:rsidR="00A36696" w:rsidRPr="001C61AE">
        <w:rPr>
          <w:rFonts w:ascii="Arial" w:hAnsi="Arial" w:cs="Arial"/>
          <w:szCs w:val="28"/>
          <w:lang w:val="sq-AL"/>
        </w:rPr>
      </w:r>
      <w:r w:rsidR="00A36696" w:rsidRPr="001C61AE">
        <w:rPr>
          <w:rFonts w:ascii="Arial" w:hAnsi="Arial" w:cs="Arial"/>
          <w:szCs w:val="28"/>
          <w:lang w:val="sq-AL"/>
        </w:rPr>
        <w:fldChar w:fldCharType="separate"/>
      </w:r>
      <w:r w:rsidR="00BF6450" w:rsidRPr="001C61AE">
        <w:rPr>
          <w:rFonts w:ascii="Arial" w:hAnsi="Arial" w:cs="Arial"/>
          <w:szCs w:val="28"/>
          <w:lang w:val="sq-AL"/>
        </w:rPr>
        <w:t>Figur</w:t>
      </w:r>
      <w:r w:rsidRPr="001C61AE">
        <w:rPr>
          <w:rFonts w:ascii="Arial" w:hAnsi="Arial" w:cs="Arial"/>
          <w:szCs w:val="28"/>
          <w:lang w:val="sq-AL"/>
        </w:rPr>
        <w:t>a</w:t>
      </w:r>
      <w:r w:rsidR="00BF6450" w:rsidRPr="001C61AE">
        <w:rPr>
          <w:rFonts w:ascii="Arial" w:hAnsi="Arial" w:cs="Arial"/>
          <w:szCs w:val="28"/>
          <w:lang w:val="sq-AL"/>
        </w:rPr>
        <w:t xml:space="preserve"> 22</w:t>
      </w:r>
      <w:r w:rsidR="00A36696" w:rsidRPr="001C61AE">
        <w:rPr>
          <w:rFonts w:ascii="Arial" w:hAnsi="Arial" w:cs="Arial"/>
          <w:szCs w:val="28"/>
          <w:lang w:val="sq-AL"/>
        </w:rPr>
        <w:fldChar w:fldCharType="end"/>
      </w:r>
      <w:r w:rsidR="00A36696" w:rsidRPr="001C61AE">
        <w:rPr>
          <w:rFonts w:ascii="Arial" w:hAnsi="Arial" w:cs="Arial"/>
          <w:szCs w:val="28"/>
          <w:lang w:val="sq-AL"/>
        </w:rPr>
        <w:t>).</w:t>
      </w:r>
    </w:p>
    <w:p w14:paraId="5DC2670D" w14:textId="77777777" w:rsidR="00A36696" w:rsidRPr="001C61AE" w:rsidRDefault="00A36696" w:rsidP="00A36696">
      <w:pPr>
        <w:spacing w:before="0"/>
        <w:rPr>
          <w:rFonts w:ascii="Arial" w:hAnsi="Arial" w:cs="Arial"/>
          <w:color w:val="000000" w:themeColor="text1"/>
          <w:sz w:val="24"/>
          <w:szCs w:val="24"/>
          <w:lang w:val="sq-AL"/>
        </w:rPr>
      </w:pPr>
      <w:r w:rsidRPr="001C61AE">
        <w:rPr>
          <w:rFonts w:ascii="Arial" w:hAnsi="Arial" w:cs="Arial"/>
          <w:color w:val="000000" w:themeColor="text1"/>
          <w:sz w:val="24"/>
          <w:szCs w:val="24"/>
          <w:lang w:val="sq-AL"/>
        </w:rPr>
        <w:t xml:space="preserve"> </w:t>
      </w:r>
    </w:p>
    <w:p w14:paraId="40130434" w14:textId="77777777" w:rsidR="008D041E" w:rsidRPr="001C61AE" w:rsidRDefault="00A36696" w:rsidP="004C6E93">
      <w:pPr>
        <w:keepNext/>
        <w:spacing w:before="0"/>
        <w:jc w:val="center"/>
        <w:rPr>
          <w:rFonts w:ascii="Arial" w:hAnsi="Arial" w:cs="Arial"/>
        </w:rPr>
      </w:pPr>
      <w:r w:rsidRPr="001C61AE">
        <w:rPr>
          <w:rFonts w:ascii="Arial" w:hAnsi="Arial" w:cs="Arial"/>
          <w:noProof/>
          <w:color w:val="000000" w:themeColor="text1"/>
          <w:sz w:val="24"/>
          <w:szCs w:val="20"/>
        </w:rPr>
        <w:drawing>
          <wp:inline distT="0" distB="0" distL="0" distR="0" wp14:anchorId="4B8AC727" wp14:editId="2606FDE8">
            <wp:extent cx="5244029" cy="2510523"/>
            <wp:effectExtent l="0" t="0" r="1905" b="0"/>
            <wp:docPr id="162095409" name="Picture 1" descr="A graph of blue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5409" name="Picture 1" descr="A graph of blue squares with white text&#10;&#10;Description automatically generated"/>
                    <pic:cNvPicPr/>
                  </pic:nvPicPr>
                  <pic:blipFill>
                    <a:blip r:embed="rId60"/>
                    <a:stretch>
                      <a:fillRect/>
                    </a:stretch>
                  </pic:blipFill>
                  <pic:spPr>
                    <a:xfrm>
                      <a:off x="0" y="0"/>
                      <a:ext cx="5244029" cy="2510523"/>
                    </a:xfrm>
                    <a:prstGeom prst="rect">
                      <a:avLst/>
                    </a:prstGeom>
                  </pic:spPr>
                </pic:pic>
              </a:graphicData>
            </a:graphic>
          </wp:inline>
        </w:drawing>
      </w:r>
    </w:p>
    <w:p w14:paraId="05F8523D" w14:textId="67F3BE54" w:rsidR="00A36696" w:rsidRPr="001C61AE" w:rsidRDefault="008D041E" w:rsidP="004C6E93">
      <w:pPr>
        <w:pStyle w:val="Caption"/>
        <w:jc w:val="center"/>
        <w:rPr>
          <w:rFonts w:ascii="Arial" w:hAnsi="Arial" w:cs="Arial"/>
          <w:color w:val="000000" w:themeColor="text1"/>
          <w:sz w:val="24"/>
          <w:szCs w:val="20"/>
          <w:lang w:val="sq-AL"/>
        </w:rPr>
      </w:pPr>
      <w:bookmarkStart w:id="110" w:name="_Toc211532633"/>
      <w:r w:rsidRPr="001C61AE">
        <w:rPr>
          <w:rFonts w:ascii="Arial" w:hAnsi="Arial" w:cs="Arial"/>
        </w:rPr>
        <w:t xml:space="preserve">Figura </w:t>
      </w:r>
      <w:r w:rsidRPr="001C61AE">
        <w:rPr>
          <w:rFonts w:ascii="Arial" w:hAnsi="Arial" w:cs="Arial"/>
        </w:rPr>
        <w:fldChar w:fldCharType="begin"/>
      </w:r>
      <w:r w:rsidRPr="001C61AE">
        <w:rPr>
          <w:rFonts w:ascii="Arial" w:hAnsi="Arial" w:cs="Arial"/>
        </w:rPr>
        <w:instrText xml:space="preserve"> SEQ Figura \* ARABIC </w:instrText>
      </w:r>
      <w:r w:rsidRPr="001C61AE">
        <w:rPr>
          <w:rFonts w:ascii="Arial" w:hAnsi="Arial" w:cs="Arial"/>
        </w:rPr>
        <w:fldChar w:fldCharType="separate"/>
      </w:r>
      <w:r w:rsidR="0005579F" w:rsidRPr="001C61AE">
        <w:rPr>
          <w:rFonts w:ascii="Arial" w:hAnsi="Arial" w:cs="Arial"/>
          <w:noProof/>
        </w:rPr>
        <w:t>32</w:t>
      </w:r>
      <w:r w:rsidRPr="001C61AE">
        <w:rPr>
          <w:rFonts w:ascii="Arial" w:hAnsi="Arial" w:cs="Arial"/>
        </w:rPr>
        <w:fldChar w:fldCharType="end"/>
      </w:r>
      <w:r w:rsidRPr="001C61AE">
        <w:rPr>
          <w:rFonts w:ascii="Arial" w:hAnsi="Arial" w:cs="Arial"/>
        </w:rPr>
        <w:t>. Financimi i klimës nga aktori publik (miliardë dollarë amerikanë). Burimi: Iniciativa e Politikave Klimatike, 2023.</w:t>
      </w:r>
      <w:bookmarkEnd w:id="110"/>
    </w:p>
    <w:p w14:paraId="6518BE03" w14:textId="4C026492" w:rsidR="00A36696" w:rsidRPr="001C61AE" w:rsidRDefault="00FA3ACA" w:rsidP="00A36696">
      <w:pPr>
        <w:spacing w:before="0" w:after="240"/>
        <w:jc w:val="both"/>
        <w:rPr>
          <w:rFonts w:ascii="Arial" w:hAnsi="Arial" w:cs="Arial"/>
          <w:szCs w:val="28"/>
          <w:lang w:val="sq-AL"/>
        </w:rPr>
      </w:pPr>
      <w:r w:rsidRPr="001C61AE">
        <w:rPr>
          <w:rFonts w:ascii="Arial" w:hAnsi="Arial" w:cs="Arial"/>
          <w:szCs w:val="28"/>
          <w:lang w:val="sq-AL"/>
        </w:rPr>
        <w:t xml:space="preserve">Në të njëjtën periudhë, financimi i adaptimit i ndjekur u dominua (98%) nga aktorët publikë me disa flukse të fragmentuara nga sektori privat. Edhe pse financimi i </w:t>
      </w:r>
      <w:r w:rsidR="00AC4F54" w:rsidRPr="001C61AE">
        <w:rPr>
          <w:rFonts w:ascii="Arial" w:hAnsi="Arial" w:cs="Arial"/>
          <w:szCs w:val="28"/>
          <w:lang w:val="sq-AL"/>
        </w:rPr>
        <w:t xml:space="preserve">përshtatjes </w:t>
      </w:r>
      <w:r w:rsidRPr="001C61AE">
        <w:rPr>
          <w:rFonts w:ascii="Arial" w:hAnsi="Arial" w:cs="Arial"/>
          <w:szCs w:val="28"/>
          <w:lang w:val="sq-AL"/>
        </w:rPr>
        <w:t>u rrit me 28% nga periudha 2019/2020 duke arritur një nivel rekord prej 63 miliardë dollarësh amerikanë, ai prapë nuk i plotësoi nevojat e vlerësuara për vendet në zhvillim prej 212 miliardë dollarësh amerikanë/vit deri në vitin 2030</w:t>
      </w:r>
      <w:r w:rsidR="00C912A2" w:rsidRPr="001C61AE">
        <w:rPr>
          <w:rFonts w:ascii="Arial" w:hAnsi="Arial" w:cs="Arial"/>
          <w:szCs w:val="28"/>
          <w:lang w:val="sq-AL"/>
        </w:rPr>
        <w:t>.</w:t>
      </w:r>
      <w:r w:rsidR="00A36696" w:rsidRPr="001C61AE">
        <w:rPr>
          <w:rFonts w:ascii="Arial" w:hAnsi="Arial" w:cs="Arial"/>
          <w:szCs w:val="28"/>
          <w:vertAlign w:val="superscript"/>
          <w:lang w:val="sq-AL"/>
        </w:rPr>
        <w:footnoteReference w:id="93"/>
      </w:r>
    </w:p>
    <w:p w14:paraId="37E3A773" w14:textId="20C9F55A" w:rsidR="000C2040" w:rsidRPr="00F22C96" w:rsidRDefault="00FA3ACA" w:rsidP="00F22C96">
      <w:pPr>
        <w:spacing w:before="0" w:after="0"/>
        <w:rPr>
          <w:rFonts w:ascii="Arial" w:hAnsi="Arial" w:cs="Arial"/>
          <w:szCs w:val="28"/>
          <w:lang w:val="sq-AL"/>
        </w:rPr>
      </w:pPr>
      <w:r w:rsidRPr="001C61AE">
        <w:rPr>
          <w:rFonts w:ascii="Arial" w:hAnsi="Arial" w:cs="Arial"/>
          <w:szCs w:val="28"/>
          <w:lang w:val="sq-AL"/>
        </w:rPr>
        <w:t>Tabela 6 tregon një listë të burimeve publike të financimit të klimës që kanë financuar projekte në Kosovë</w:t>
      </w:r>
      <w:r w:rsidR="00A36696" w:rsidRPr="001C61AE">
        <w:rPr>
          <w:rFonts w:ascii="Arial" w:hAnsi="Arial" w:cs="Arial"/>
          <w:szCs w:val="28"/>
          <w:lang w:val="sq-AL"/>
        </w:rPr>
        <w:t xml:space="preserve">: </w:t>
      </w:r>
      <w:bookmarkStart w:id="111" w:name="_Ref195089596"/>
      <w:bookmarkStart w:id="112" w:name="_Toc199326427"/>
      <w:bookmarkStart w:id="113" w:name="_Toc203473867"/>
    </w:p>
    <w:bookmarkEnd w:id="111"/>
    <w:bookmarkEnd w:id="112"/>
    <w:bookmarkEnd w:id="113"/>
    <w:p w14:paraId="50001A9F" w14:textId="395F5927" w:rsidR="00A36696" w:rsidRPr="001C61AE" w:rsidRDefault="00A36696" w:rsidP="00A36696">
      <w:pPr>
        <w:spacing w:before="0" w:after="0" w:line="240" w:lineRule="auto"/>
        <w:jc w:val="right"/>
        <w:rPr>
          <w:rFonts w:ascii="Arial" w:eastAsia="SimSun" w:hAnsi="Arial" w:cs="Arial"/>
          <w:i/>
          <w:iCs/>
          <w:color w:val="1D3C5A"/>
          <w:kern w:val="0"/>
          <w:sz w:val="18"/>
          <w:szCs w:val="18"/>
          <w:lang w:val="sq-AL"/>
          <w14:ligatures w14:val="none"/>
        </w:rPr>
      </w:pPr>
    </w:p>
    <w:p w14:paraId="504E76DC" w14:textId="1CB962A1" w:rsidR="0097040B" w:rsidRPr="001C61AE" w:rsidRDefault="0097040B" w:rsidP="00C65386">
      <w:pPr>
        <w:pStyle w:val="Caption"/>
        <w:keepNext/>
        <w:rPr>
          <w:rFonts w:ascii="Arial" w:hAnsi="Arial" w:cs="Arial"/>
        </w:rPr>
      </w:pPr>
      <w:bookmarkStart w:id="114" w:name="_Toc211532734"/>
      <w:r w:rsidRPr="001C61AE">
        <w:rPr>
          <w:rFonts w:ascii="Arial" w:hAnsi="Arial" w:cs="Arial"/>
        </w:rPr>
        <w:t xml:space="preserve">Tabela </w:t>
      </w:r>
      <w:r w:rsidRPr="001C61AE">
        <w:rPr>
          <w:rFonts w:ascii="Arial" w:hAnsi="Arial" w:cs="Arial"/>
        </w:rPr>
        <w:fldChar w:fldCharType="begin"/>
      </w:r>
      <w:r w:rsidRPr="001C61AE">
        <w:rPr>
          <w:rFonts w:ascii="Arial" w:hAnsi="Arial" w:cs="Arial"/>
        </w:rPr>
        <w:instrText xml:space="preserve"> SEQ Tabela \* ARABIC </w:instrText>
      </w:r>
      <w:r w:rsidRPr="001C61AE">
        <w:rPr>
          <w:rFonts w:ascii="Arial" w:hAnsi="Arial" w:cs="Arial"/>
        </w:rPr>
        <w:fldChar w:fldCharType="separate"/>
      </w:r>
      <w:r w:rsidR="00C62DE9">
        <w:rPr>
          <w:rFonts w:ascii="Arial" w:hAnsi="Arial" w:cs="Arial"/>
          <w:noProof/>
        </w:rPr>
        <w:t>7</w:t>
      </w:r>
      <w:r w:rsidRPr="001C61AE">
        <w:rPr>
          <w:rFonts w:ascii="Arial" w:hAnsi="Arial" w:cs="Arial"/>
          <w:noProof/>
        </w:rPr>
        <w:fldChar w:fldCharType="end"/>
      </w:r>
      <w:r w:rsidRPr="001C61AE">
        <w:rPr>
          <w:rFonts w:ascii="Arial" w:hAnsi="Arial" w:cs="Arial"/>
        </w:rPr>
        <w:t>.  Burimet publike të financimit, tabela përmbledhëse</w:t>
      </w:r>
      <w:bookmarkEnd w:id="114"/>
    </w:p>
    <w:tbl>
      <w:tblPr>
        <w:tblStyle w:val="GridTable1Light-Accent51"/>
        <w:tblW w:w="5000" w:type="pct"/>
        <w:jc w:val="center"/>
        <w:tblBorders>
          <w:top w:val="none" w:sz="0" w:space="0" w:color="auto"/>
          <w:left w:val="none" w:sz="0" w:space="0" w:color="auto"/>
          <w:bottom w:val="none" w:sz="0" w:space="0" w:color="auto"/>
          <w:right w:val="none" w:sz="0" w:space="0" w:color="auto"/>
          <w:insideH w:val="single" w:sz="4" w:space="0" w:color="3EA9AC"/>
          <w:insideV w:val="single" w:sz="4" w:space="0" w:color="3EA9AC"/>
        </w:tblBorders>
        <w:tblLook w:val="0400" w:firstRow="0" w:lastRow="0" w:firstColumn="0" w:lastColumn="0" w:noHBand="0" w:noVBand="1"/>
      </w:tblPr>
      <w:tblGrid>
        <w:gridCol w:w="2837"/>
        <w:gridCol w:w="7369"/>
      </w:tblGrid>
      <w:tr w:rsidR="00A36696" w:rsidRPr="001C61AE" w14:paraId="2BF6710F" w14:textId="77777777" w:rsidTr="00A70686">
        <w:trPr>
          <w:trHeight w:val="24"/>
          <w:jc w:val="center"/>
        </w:trPr>
        <w:tc>
          <w:tcPr>
            <w:tcW w:w="1390" w:type="pct"/>
            <w:shd w:val="clear" w:color="auto" w:fill="215A5C"/>
            <w:vAlign w:val="center"/>
          </w:tcPr>
          <w:p w14:paraId="2F0A3003" w14:textId="1F1860B4" w:rsidR="00A36696" w:rsidRPr="001C61AE" w:rsidRDefault="00FA3ACA" w:rsidP="00A36696">
            <w:pPr>
              <w:shd w:val="clear" w:color="auto" w:fill="215A5C"/>
              <w:tabs>
                <w:tab w:val="left" w:pos="2554"/>
              </w:tabs>
              <w:spacing w:before="0" w:line="256" w:lineRule="auto"/>
              <w:jc w:val="both"/>
              <w:rPr>
                <w:rFonts w:ascii="Arial" w:hAnsi="Arial" w:cs="Arial"/>
                <w:b/>
                <w:bCs/>
                <w:color w:val="FFFFFF" w:themeColor="background1"/>
                <w:sz w:val="20"/>
                <w:lang w:val="sq-AL"/>
              </w:rPr>
            </w:pPr>
            <w:r w:rsidRPr="001C61AE">
              <w:rPr>
                <w:rFonts w:ascii="Arial" w:hAnsi="Arial" w:cs="Arial"/>
                <w:b/>
                <w:bCs/>
                <w:color w:val="FFFFFF" w:themeColor="background1"/>
                <w:sz w:val="18"/>
                <w:szCs w:val="18"/>
                <w:lang w:val="sq-AL"/>
              </w:rPr>
              <w:t>Fondet shumëpalëshe nga Mekanizmi i Financimit të Klimës i UNFCCC-së</w:t>
            </w:r>
            <w:r w:rsidR="00A36696" w:rsidRPr="001C61AE">
              <w:rPr>
                <w:rFonts w:ascii="Arial" w:hAnsi="Arial" w:cs="Arial"/>
                <w:b/>
                <w:bCs/>
                <w:color w:val="FFFFFF" w:themeColor="background1"/>
                <w:sz w:val="18"/>
                <w:szCs w:val="18"/>
                <w:lang w:val="sq-AL"/>
              </w:rPr>
              <w:tab/>
            </w:r>
          </w:p>
        </w:tc>
        <w:tc>
          <w:tcPr>
            <w:tcW w:w="3610" w:type="pct"/>
            <w:noWrap/>
            <w:vAlign w:val="center"/>
          </w:tcPr>
          <w:p w14:paraId="34E0B7C3" w14:textId="77777777" w:rsidR="00A36696" w:rsidRPr="001C61AE" w:rsidRDefault="00A36696" w:rsidP="00F36447">
            <w:pPr>
              <w:numPr>
                <w:ilvl w:val="0"/>
                <w:numId w:val="18"/>
              </w:numPr>
              <w:spacing w:before="0" w:line="240" w:lineRule="auto"/>
              <w:rPr>
                <w:rFonts w:ascii="Arial" w:hAnsi="Arial" w:cs="Arial"/>
                <w:sz w:val="18"/>
                <w:szCs w:val="18"/>
                <w:lang w:val="sq-AL"/>
              </w:rPr>
            </w:pPr>
            <w:r w:rsidRPr="001C61AE">
              <w:rPr>
                <w:rFonts w:ascii="Arial" w:hAnsi="Arial" w:cs="Arial"/>
                <w:sz w:val="18"/>
                <w:szCs w:val="18"/>
                <w:lang w:val="sq-AL"/>
              </w:rPr>
              <w:t>GEF</w:t>
            </w:r>
          </w:p>
        </w:tc>
      </w:tr>
      <w:tr w:rsidR="00A36696" w:rsidRPr="001C61AE" w14:paraId="661A412A" w14:textId="77777777" w:rsidTr="00A70686">
        <w:trPr>
          <w:trHeight w:val="24"/>
          <w:jc w:val="center"/>
        </w:trPr>
        <w:tc>
          <w:tcPr>
            <w:tcW w:w="1390" w:type="pct"/>
            <w:shd w:val="clear" w:color="auto" w:fill="215A5C"/>
            <w:vAlign w:val="center"/>
            <w:hideMark/>
          </w:tcPr>
          <w:p w14:paraId="285C0F49" w14:textId="7336DAFE" w:rsidR="00A36696" w:rsidRPr="001C61AE" w:rsidRDefault="00FA3ACA" w:rsidP="00094020">
            <w:pPr>
              <w:spacing w:before="0" w:line="240" w:lineRule="auto"/>
              <w:jc w:val="both"/>
              <w:rPr>
                <w:rFonts w:ascii="Arial" w:hAnsi="Arial" w:cs="Arial"/>
                <w:b/>
                <w:bCs/>
                <w:color w:val="FFFFFF" w:themeColor="background1"/>
                <w:sz w:val="18"/>
                <w:szCs w:val="18"/>
                <w:lang w:val="sq-AL"/>
              </w:rPr>
            </w:pPr>
            <w:bookmarkStart w:id="115" w:name="_Hlk184896388"/>
            <w:r w:rsidRPr="001C61AE">
              <w:rPr>
                <w:rFonts w:ascii="Arial" w:hAnsi="Arial" w:cs="Arial"/>
                <w:b/>
                <w:bCs/>
                <w:color w:val="FFFFFF" w:themeColor="background1"/>
                <w:sz w:val="18"/>
                <w:szCs w:val="18"/>
                <w:lang w:val="sq-AL"/>
              </w:rPr>
              <w:t>Bankat Shumëpalëshe të Zhvillimit (MDB) dhe agjenci të tjera shumëpalëshe</w:t>
            </w:r>
          </w:p>
        </w:tc>
        <w:tc>
          <w:tcPr>
            <w:tcW w:w="3610" w:type="pct"/>
            <w:noWrap/>
            <w:vAlign w:val="center"/>
            <w:hideMark/>
          </w:tcPr>
          <w:p w14:paraId="36CF82F4" w14:textId="38682BDF" w:rsidR="00FA3ACA" w:rsidRPr="001C61AE" w:rsidRDefault="00FA3ACA" w:rsidP="00F36447">
            <w:pPr>
              <w:pStyle w:val="ListParagraph"/>
              <w:numPr>
                <w:ilvl w:val="0"/>
                <w:numId w:val="18"/>
              </w:numPr>
              <w:spacing w:before="0" w:line="240" w:lineRule="auto"/>
              <w:rPr>
                <w:rFonts w:ascii="Arial" w:hAnsi="Arial" w:cs="Arial"/>
                <w:sz w:val="18"/>
                <w:szCs w:val="18"/>
                <w:lang w:val="sq-AL"/>
              </w:rPr>
            </w:pPr>
            <w:r w:rsidRPr="001C61AE">
              <w:rPr>
                <w:rFonts w:ascii="Arial" w:hAnsi="Arial" w:cs="Arial"/>
                <w:sz w:val="18"/>
                <w:szCs w:val="18"/>
                <w:lang w:val="sq-AL"/>
              </w:rPr>
              <w:t>Banka Evropiane për Rindërtim dhe Zhvillim (EBRD)</w:t>
            </w:r>
          </w:p>
          <w:p w14:paraId="51DF962B" w14:textId="42CDB254" w:rsidR="00FA3ACA" w:rsidRPr="001C61AE" w:rsidRDefault="00FA3ACA" w:rsidP="00F36447">
            <w:pPr>
              <w:pStyle w:val="ListParagraph"/>
              <w:numPr>
                <w:ilvl w:val="0"/>
                <w:numId w:val="18"/>
              </w:numPr>
              <w:spacing w:before="0" w:line="240" w:lineRule="auto"/>
              <w:rPr>
                <w:rFonts w:ascii="Arial" w:hAnsi="Arial" w:cs="Arial"/>
                <w:sz w:val="18"/>
                <w:szCs w:val="18"/>
                <w:lang w:val="sq-AL"/>
              </w:rPr>
            </w:pPr>
            <w:r w:rsidRPr="001C61AE">
              <w:rPr>
                <w:rFonts w:ascii="Arial" w:hAnsi="Arial" w:cs="Arial"/>
                <w:sz w:val="18"/>
                <w:szCs w:val="18"/>
                <w:lang w:val="sq-AL"/>
              </w:rPr>
              <w:t>Banka Evropiane e Investimeve (EIB)</w:t>
            </w:r>
          </w:p>
          <w:p w14:paraId="0990CD0F" w14:textId="76FAE6B9" w:rsidR="00FA3ACA" w:rsidRPr="001C61AE" w:rsidRDefault="00FA3ACA" w:rsidP="00F36447">
            <w:pPr>
              <w:pStyle w:val="ListParagraph"/>
              <w:numPr>
                <w:ilvl w:val="0"/>
                <w:numId w:val="18"/>
              </w:numPr>
              <w:spacing w:before="0" w:line="240" w:lineRule="auto"/>
              <w:rPr>
                <w:rFonts w:ascii="Arial" w:hAnsi="Arial" w:cs="Arial"/>
                <w:sz w:val="18"/>
                <w:szCs w:val="18"/>
                <w:lang w:val="sq-AL"/>
              </w:rPr>
            </w:pPr>
            <w:r w:rsidRPr="001C61AE">
              <w:rPr>
                <w:rFonts w:ascii="Arial" w:hAnsi="Arial" w:cs="Arial"/>
                <w:sz w:val="18"/>
                <w:szCs w:val="18"/>
                <w:lang w:val="sq-AL"/>
              </w:rPr>
              <w:t>Organizata për Ushqim dhe Bujqësi (FAO)</w:t>
            </w:r>
          </w:p>
          <w:p w14:paraId="13177F56" w14:textId="7CD4DD11" w:rsidR="00FA3ACA" w:rsidRPr="001C61AE" w:rsidRDefault="00FA3ACA" w:rsidP="00F36447">
            <w:pPr>
              <w:pStyle w:val="ListParagraph"/>
              <w:numPr>
                <w:ilvl w:val="0"/>
                <w:numId w:val="18"/>
              </w:numPr>
              <w:spacing w:before="0" w:line="240" w:lineRule="auto"/>
              <w:rPr>
                <w:rFonts w:ascii="Arial" w:hAnsi="Arial" w:cs="Arial"/>
                <w:sz w:val="18"/>
                <w:szCs w:val="18"/>
                <w:lang w:val="sq-AL"/>
              </w:rPr>
            </w:pPr>
            <w:r w:rsidRPr="001C61AE">
              <w:rPr>
                <w:rFonts w:ascii="Arial" w:hAnsi="Arial" w:cs="Arial"/>
                <w:sz w:val="18"/>
                <w:szCs w:val="18"/>
                <w:lang w:val="sq-AL"/>
              </w:rPr>
              <w:t>Programi i Kombeve të Bashkuara për Zhvillim (UNDP)</w:t>
            </w:r>
          </w:p>
          <w:p w14:paraId="077CB347" w14:textId="47EA5265" w:rsidR="00FA3ACA" w:rsidRPr="001C61AE" w:rsidRDefault="00FA3ACA" w:rsidP="00F36447">
            <w:pPr>
              <w:pStyle w:val="ListParagraph"/>
              <w:numPr>
                <w:ilvl w:val="0"/>
                <w:numId w:val="18"/>
              </w:numPr>
              <w:spacing w:before="0" w:line="240" w:lineRule="auto"/>
              <w:rPr>
                <w:rFonts w:ascii="Arial" w:hAnsi="Arial" w:cs="Arial"/>
                <w:sz w:val="18"/>
                <w:szCs w:val="18"/>
                <w:lang w:val="sq-AL"/>
              </w:rPr>
            </w:pPr>
            <w:r w:rsidRPr="001C61AE">
              <w:rPr>
                <w:rFonts w:ascii="Arial" w:hAnsi="Arial" w:cs="Arial"/>
                <w:sz w:val="18"/>
                <w:szCs w:val="18"/>
                <w:lang w:val="sq-AL"/>
              </w:rPr>
              <w:lastRenderedPageBreak/>
              <w:t>Programi i Kombeve të Bashkuara për Mjedisin (UNEP)</w:t>
            </w:r>
          </w:p>
          <w:p w14:paraId="4C367F48" w14:textId="77777777" w:rsidR="00FA3ACA" w:rsidRPr="001C61AE" w:rsidRDefault="00FA3ACA" w:rsidP="00F36447">
            <w:pPr>
              <w:pStyle w:val="ListParagraph"/>
              <w:numPr>
                <w:ilvl w:val="0"/>
                <w:numId w:val="18"/>
              </w:numPr>
              <w:spacing w:before="0" w:line="240" w:lineRule="auto"/>
              <w:rPr>
                <w:rFonts w:ascii="Arial" w:hAnsi="Arial" w:cs="Arial"/>
                <w:sz w:val="18"/>
                <w:szCs w:val="18"/>
                <w:lang w:val="sq-AL"/>
              </w:rPr>
            </w:pPr>
            <w:r w:rsidRPr="001C61AE">
              <w:rPr>
                <w:rFonts w:ascii="Arial" w:hAnsi="Arial" w:cs="Arial"/>
                <w:sz w:val="18"/>
                <w:szCs w:val="18"/>
                <w:lang w:val="sq-AL"/>
              </w:rPr>
              <w:t>Grupi i Bankës Botërore (WBG)</w:t>
            </w:r>
          </w:p>
          <w:p w14:paraId="2F6C3AD8" w14:textId="61BDBADB" w:rsidR="00A36696" w:rsidRPr="001C61AE" w:rsidRDefault="00FA3ACA" w:rsidP="00F36447">
            <w:pPr>
              <w:pStyle w:val="ListParagraph"/>
              <w:numPr>
                <w:ilvl w:val="0"/>
                <w:numId w:val="18"/>
              </w:numPr>
              <w:spacing w:before="0" w:line="240" w:lineRule="auto"/>
              <w:rPr>
                <w:rFonts w:ascii="Arial" w:hAnsi="Arial" w:cs="Arial"/>
                <w:sz w:val="18"/>
                <w:szCs w:val="18"/>
                <w:lang w:val="sq-AL"/>
              </w:rPr>
            </w:pPr>
            <w:r w:rsidRPr="001C61AE">
              <w:rPr>
                <w:rFonts w:ascii="Arial" w:hAnsi="Arial" w:cs="Arial"/>
                <w:sz w:val="18"/>
                <w:szCs w:val="18"/>
                <w:lang w:val="sq-AL"/>
              </w:rPr>
              <w:t xml:space="preserve"> Fondi BioCarbon (BIOCF)</w:t>
            </w:r>
          </w:p>
        </w:tc>
      </w:tr>
      <w:tr w:rsidR="00A36696" w:rsidRPr="001C61AE" w14:paraId="1B64577E" w14:textId="77777777" w:rsidTr="00A70686">
        <w:trPr>
          <w:trHeight w:val="1651"/>
          <w:jc w:val="center"/>
        </w:trPr>
        <w:tc>
          <w:tcPr>
            <w:tcW w:w="1390" w:type="pct"/>
            <w:shd w:val="clear" w:color="auto" w:fill="215A5C"/>
            <w:vAlign w:val="center"/>
          </w:tcPr>
          <w:p w14:paraId="1842DA27" w14:textId="5B0F950A" w:rsidR="00A36696" w:rsidRPr="001C61AE" w:rsidRDefault="00FA3ACA" w:rsidP="00094020">
            <w:pPr>
              <w:spacing w:before="0" w:line="240" w:lineRule="auto"/>
              <w:jc w:val="both"/>
              <w:rPr>
                <w:rFonts w:ascii="Arial" w:hAnsi="Arial" w:cs="Arial"/>
                <w:b/>
                <w:bCs/>
                <w:color w:val="FFFFFF" w:themeColor="background1"/>
                <w:sz w:val="18"/>
                <w:szCs w:val="18"/>
                <w:lang w:val="sq-AL"/>
              </w:rPr>
            </w:pPr>
            <w:r w:rsidRPr="001C61AE">
              <w:rPr>
                <w:rFonts w:ascii="Arial" w:hAnsi="Arial" w:cs="Arial"/>
                <w:b/>
                <w:bCs/>
                <w:color w:val="FFFFFF" w:themeColor="background1"/>
                <w:sz w:val="18"/>
                <w:szCs w:val="18"/>
                <w:lang w:val="sq-AL"/>
              </w:rPr>
              <w:lastRenderedPageBreak/>
              <w:t>Institucionet bilaterale për financim zhvillimor dhe burime të tjera bilaterale</w:t>
            </w:r>
          </w:p>
        </w:tc>
        <w:tc>
          <w:tcPr>
            <w:tcW w:w="3610" w:type="pct"/>
            <w:noWrap/>
            <w:vAlign w:val="center"/>
          </w:tcPr>
          <w:p w14:paraId="369096DF" w14:textId="64902477" w:rsidR="00FA3ACA" w:rsidRPr="001C61AE" w:rsidRDefault="00FA3ACA" w:rsidP="00F36447">
            <w:pPr>
              <w:pStyle w:val="ListParagraph"/>
              <w:numPr>
                <w:ilvl w:val="0"/>
                <w:numId w:val="18"/>
              </w:numPr>
              <w:spacing w:before="0" w:line="240" w:lineRule="auto"/>
              <w:rPr>
                <w:rFonts w:ascii="Arial" w:hAnsi="Arial" w:cs="Arial"/>
                <w:sz w:val="18"/>
                <w:szCs w:val="18"/>
                <w:lang w:val="sq-AL"/>
              </w:rPr>
            </w:pPr>
            <w:r w:rsidRPr="001C61AE">
              <w:rPr>
                <w:rFonts w:ascii="Arial" w:hAnsi="Arial" w:cs="Arial"/>
                <w:sz w:val="18"/>
                <w:szCs w:val="18"/>
                <w:lang w:val="sq-AL"/>
              </w:rPr>
              <w:t>Bashkimi Evropian (BE)</w:t>
            </w:r>
          </w:p>
          <w:p w14:paraId="63F8C240" w14:textId="0D33675B" w:rsidR="00FA3ACA" w:rsidRPr="001C61AE" w:rsidRDefault="00FA3ACA" w:rsidP="00F36447">
            <w:pPr>
              <w:pStyle w:val="ListParagraph"/>
              <w:numPr>
                <w:ilvl w:val="0"/>
                <w:numId w:val="18"/>
              </w:numPr>
              <w:spacing w:before="0" w:line="240" w:lineRule="auto"/>
              <w:rPr>
                <w:rFonts w:ascii="Arial" w:hAnsi="Arial" w:cs="Arial"/>
                <w:sz w:val="18"/>
                <w:szCs w:val="18"/>
                <w:lang w:val="sq-AL"/>
              </w:rPr>
            </w:pPr>
            <w:r w:rsidRPr="001C61AE">
              <w:rPr>
                <w:rFonts w:ascii="Arial" w:hAnsi="Arial" w:cs="Arial"/>
                <w:sz w:val="18"/>
                <w:szCs w:val="18"/>
                <w:lang w:val="sq-AL"/>
              </w:rPr>
              <w:t>Agjencia Franceze për Zhvillim (AFD)</w:t>
            </w:r>
          </w:p>
          <w:p w14:paraId="5940F7E7" w14:textId="722BCADF" w:rsidR="00FA3ACA" w:rsidRPr="001C61AE" w:rsidRDefault="00FA3ACA" w:rsidP="00F36447">
            <w:pPr>
              <w:pStyle w:val="ListParagraph"/>
              <w:numPr>
                <w:ilvl w:val="0"/>
                <w:numId w:val="18"/>
              </w:numPr>
              <w:spacing w:before="0" w:line="240" w:lineRule="auto"/>
              <w:rPr>
                <w:rFonts w:ascii="Arial" w:hAnsi="Arial" w:cs="Arial"/>
                <w:sz w:val="18"/>
                <w:szCs w:val="18"/>
                <w:lang w:val="sq-AL"/>
              </w:rPr>
            </w:pPr>
            <w:r w:rsidRPr="001C61AE">
              <w:rPr>
                <w:rFonts w:ascii="Arial" w:hAnsi="Arial" w:cs="Arial"/>
                <w:sz w:val="18"/>
                <w:szCs w:val="18"/>
                <w:lang w:val="sq-AL"/>
              </w:rPr>
              <w:t>Agjencia Gjermane për Bashkëpunim Ndërkombëtar (GIZ)</w:t>
            </w:r>
          </w:p>
          <w:p w14:paraId="2C732CEA" w14:textId="5B65DE83" w:rsidR="00FA3ACA" w:rsidRPr="001C61AE" w:rsidRDefault="00FA3ACA" w:rsidP="00F36447">
            <w:pPr>
              <w:pStyle w:val="ListParagraph"/>
              <w:numPr>
                <w:ilvl w:val="0"/>
                <w:numId w:val="18"/>
              </w:numPr>
              <w:spacing w:before="0" w:line="240" w:lineRule="auto"/>
              <w:rPr>
                <w:rFonts w:ascii="Arial" w:hAnsi="Arial" w:cs="Arial"/>
                <w:sz w:val="18"/>
                <w:szCs w:val="18"/>
                <w:lang w:val="sq-AL"/>
              </w:rPr>
            </w:pPr>
            <w:r w:rsidRPr="001C61AE">
              <w:rPr>
                <w:rFonts w:ascii="Arial" w:hAnsi="Arial" w:cs="Arial"/>
                <w:sz w:val="18"/>
                <w:szCs w:val="18"/>
                <w:lang w:val="sq-AL"/>
              </w:rPr>
              <w:t>Bashkëpunimi Italian për Zhvillim</w:t>
            </w:r>
          </w:p>
          <w:p w14:paraId="598ED83C" w14:textId="20C0153F" w:rsidR="00FA3ACA" w:rsidRPr="001C61AE" w:rsidRDefault="00FA3ACA" w:rsidP="00F36447">
            <w:pPr>
              <w:pStyle w:val="ListParagraph"/>
              <w:numPr>
                <w:ilvl w:val="0"/>
                <w:numId w:val="18"/>
              </w:numPr>
              <w:spacing w:before="0" w:line="240" w:lineRule="auto"/>
              <w:rPr>
                <w:rFonts w:ascii="Arial" w:hAnsi="Arial" w:cs="Arial"/>
                <w:sz w:val="18"/>
                <w:szCs w:val="18"/>
                <w:lang w:val="sq-AL"/>
              </w:rPr>
            </w:pPr>
            <w:r w:rsidRPr="001C61AE">
              <w:rPr>
                <w:rFonts w:ascii="Arial" w:hAnsi="Arial" w:cs="Arial"/>
                <w:sz w:val="18"/>
                <w:szCs w:val="18"/>
                <w:lang w:val="sq-AL"/>
              </w:rPr>
              <w:t>Iniciativa Ndërkombëtare për Klimën (IKI)</w:t>
            </w:r>
          </w:p>
          <w:p w14:paraId="580A5DB9" w14:textId="1241EC01" w:rsidR="00FA3ACA" w:rsidRPr="001C61AE" w:rsidRDefault="00FA3ACA" w:rsidP="00F36447">
            <w:pPr>
              <w:pStyle w:val="ListParagraph"/>
              <w:numPr>
                <w:ilvl w:val="0"/>
                <w:numId w:val="18"/>
              </w:numPr>
              <w:spacing w:before="0" w:line="240" w:lineRule="auto"/>
              <w:rPr>
                <w:rFonts w:ascii="Arial" w:hAnsi="Arial" w:cs="Arial"/>
                <w:sz w:val="18"/>
                <w:szCs w:val="18"/>
                <w:lang w:val="sq-AL"/>
              </w:rPr>
            </w:pPr>
            <w:r w:rsidRPr="001C61AE">
              <w:rPr>
                <w:rFonts w:ascii="Arial" w:hAnsi="Arial" w:cs="Arial"/>
                <w:sz w:val="18"/>
                <w:szCs w:val="18"/>
                <w:lang w:val="sq-AL"/>
              </w:rPr>
              <w:t>Agjencia Japoneze për Bashkëpunim Ndërkombëtar (JICA)</w:t>
            </w:r>
          </w:p>
          <w:p w14:paraId="20BA5993" w14:textId="5D677D75" w:rsidR="00FA3ACA" w:rsidRPr="001C61AE" w:rsidRDefault="00FA3ACA" w:rsidP="00F36447">
            <w:pPr>
              <w:pStyle w:val="ListParagraph"/>
              <w:numPr>
                <w:ilvl w:val="0"/>
                <w:numId w:val="18"/>
              </w:numPr>
              <w:spacing w:before="0" w:line="240" w:lineRule="auto"/>
              <w:rPr>
                <w:rFonts w:ascii="Arial" w:hAnsi="Arial" w:cs="Arial"/>
                <w:sz w:val="18"/>
                <w:szCs w:val="18"/>
                <w:lang w:val="sq-AL"/>
              </w:rPr>
            </w:pPr>
            <w:r w:rsidRPr="001C61AE">
              <w:rPr>
                <w:rFonts w:ascii="Arial" w:hAnsi="Arial" w:cs="Arial"/>
                <w:sz w:val="18"/>
                <w:szCs w:val="18"/>
                <w:lang w:val="sq-AL"/>
              </w:rPr>
              <w:t>KfW (Kreditanstalt für Wiederaufbau)</w:t>
            </w:r>
          </w:p>
          <w:p w14:paraId="11F91341" w14:textId="6CCBD154" w:rsidR="00A36696" w:rsidRPr="001C61AE" w:rsidRDefault="00FA3ACA" w:rsidP="00F36447">
            <w:pPr>
              <w:pStyle w:val="ListParagraph"/>
              <w:numPr>
                <w:ilvl w:val="0"/>
                <w:numId w:val="18"/>
              </w:numPr>
              <w:spacing w:before="0" w:line="240" w:lineRule="auto"/>
              <w:rPr>
                <w:rFonts w:ascii="Arial" w:hAnsi="Arial" w:cs="Arial"/>
                <w:sz w:val="18"/>
                <w:szCs w:val="18"/>
                <w:lang w:val="sq-AL"/>
              </w:rPr>
            </w:pPr>
            <w:r w:rsidRPr="001C61AE">
              <w:rPr>
                <w:rFonts w:ascii="Arial" w:hAnsi="Arial" w:cs="Arial"/>
                <w:sz w:val="18"/>
                <w:szCs w:val="18"/>
                <w:lang w:val="sq-AL"/>
              </w:rPr>
              <w:t>Agjencia e Shteteve të Bashkuara për Zhvillim Ndërkombëtar (USAID)</w:t>
            </w:r>
          </w:p>
        </w:tc>
      </w:tr>
    </w:tbl>
    <w:bookmarkEnd w:id="115"/>
    <w:p w14:paraId="58876A80" w14:textId="04D3D271" w:rsidR="00A36696" w:rsidRPr="001C61AE" w:rsidRDefault="00336C87" w:rsidP="00A36696">
      <w:pPr>
        <w:shd w:val="clear" w:color="auto" w:fill="215A5C"/>
        <w:tabs>
          <w:tab w:val="left" w:pos="2554"/>
        </w:tabs>
        <w:spacing w:before="160" w:line="257" w:lineRule="auto"/>
        <w:jc w:val="both"/>
        <w:rPr>
          <w:rFonts w:ascii="Arial" w:hAnsi="Arial" w:cs="Arial"/>
          <w:b/>
          <w:bCs/>
          <w:color w:val="FFFFFF" w:themeColor="background1"/>
          <w:sz w:val="20"/>
          <w:szCs w:val="24"/>
          <w:lang w:val="sq-AL"/>
        </w:rPr>
      </w:pPr>
      <w:r w:rsidRPr="001C61AE">
        <w:rPr>
          <w:rFonts w:ascii="Arial" w:hAnsi="Arial" w:cs="Arial"/>
          <w:b/>
          <w:bCs/>
          <w:color w:val="FFFFFF" w:themeColor="background1"/>
          <w:szCs w:val="28"/>
          <w:lang w:val="sq-AL"/>
        </w:rPr>
        <w:t>Fondet shumëpalëshe nga Mekanizmi i Financimit të Klimës i UNFCCC-së</w:t>
      </w:r>
      <w:r w:rsidR="00A36696" w:rsidRPr="001C61AE">
        <w:rPr>
          <w:rFonts w:ascii="Arial" w:hAnsi="Arial" w:cs="Arial"/>
          <w:b/>
          <w:bCs/>
          <w:color w:val="FFFFFF" w:themeColor="background1"/>
          <w:sz w:val="20"/>
          <w:szCs w:val="24"/>
          <w:lang w:val="sq-AL"/>
        </w:rPr>
        <w:tab/>
      </w:r>
    </w:p>
    <w:p w14:paraId="27EE3A81" w14:textId="77777777" w:rsidR="008C2253" w:rsidRPr="001C61AE" w:rsidRDefault="008C2253" w:rsidP="008C2253">
      <w:pPr>
        <w:spacing w:before="0" w:after="240" w:line="256" w:lineRule="auto"/>
        <w:jc w:val="both"/>
        <w:rPr>
          <w:rFonts w:ascii="Arial" w:hAnsi="Arial" w:cs="Arial"/>
          <w:szCs w:val="28"/>
          <w:lang w:val="sq-AL" w:eastAsia="es-ES"/>
        </w:rPr>
      </w:pPr>
      <w:r w:rsidRPr="001C61AE">
        <w:rPr>
          <w:rFonts w:ascii="Arial" w:hAnsi="Arial" w:cs="Arial"/>
          <w:szCs w:val="28"/>
          <w:lang w:val="sq-AL" w:eastAsia="es-ES"/>
        </w:rPr>
        <w:t>Kosova, ndonëse nuk është një Palë formale e Konventës Kuadër të Kombeve të Bashkuara për Ndryshimet Klimatike (UNFCCC) dhe nuk njihet si shtet përfitues nën strukturën qeverisëse të Fondit Global për Mjedis (GEF), ka arritur të sigurojë financim shumëpalësh për klimën përmes marrëveshjeve programore dhe rregullimeve të veçanta. Këto modalitete financimi zakonisht kanalizohen përmes agjencive zbatuese të OKB-së që veprojnë në kuadër të mandatin të Rezolutës 1244 (1999) të Këshillit të Sigurimit të OKB-së</w:t>
      </w:r>
      <w:r w:rsidR="00A36696" w:rsidRPr="001C61AE">
        <w:rPr>
          <w:rFonts w:ascii="Arial" w:hAnsi="Arial" w:cs="Arial"/>
          <w:szCs w:val="28"/>
          <w:vertAlign w:val="superscript"/>
          <w:lang w:val="sq-AL" w:eastAsia="es-ES"/>
        </w:rPr>
        <w:footnoteReference w:id="94"/>
      </w:r>
      <w:r w:rsidR="00A36696" w:rsidRPr="001C61AE">
        <w:rPr>
          <w:rFonts w:ascii="Arial" w:hAnsi="Arial" w:cs="Arial"/>
          <w:szCs w:val="28"/>
          <w:lang w:val="sq-AL" w:eastAsia="es-ES"/>
        </w:rPr>
        <w:t xml:space="preserve">, </w:t>
      </w:r>
      <w:r w:rsidRPr="001C61AE">
        <w:rPr>
          <w:rFonts w:ascii="Arial" w:hAnsi="Arial" w:cs="Arial"/>
          <w:szCs w:val="28"/>
          <w:lang w:val="sq-AL" w:eastAsia="es-ES"/>
        </w:rPr>
        <w:t>e cila i mundëson Kosovës të marrë pjesë në bashkëpunimin ndërkombëtar për mjedisin nëpërmjet sistemit të Kombeve të Bashkuara.</w:t>
      </w:r>
    </w:p>
    <w:p w14:paraId="0D0D7E77" w14:textId="77777777" w:rsidR="008C2253" w:rsidRPr="001C61AE" w:rsidRDefault="008C2253" w:rsidP="008C2253">
      <w:pPr>
        <w:spacing w:before="0" w:after="240" w:line="256" w:lineRule="auto"/>
        <w:jc w:val="both"/>
        <w:rPr>
          <w:rFonts w:ascii="Arial" w:hAnsi="Arial" w:cs="Arial"/>
          <w:szCs w:val="28"/>
          <w:lang w:val="sq-AL" w:eastAsia="es-ES"/>
        </w:rPr>
      </w:pPr>
      <w:r w:rsidRPr="001C61AE">
        <w:rPr>
          <w:rFonts w:ascii="Arial" w:hAnsi="Arial" w:cs="Arial"/>
          <w:szCs w:val="28"/>
          <w:lang w:val="sq-AL" w:eastAsia="es-ES"/>
        </w:rPr>
        <w:t>Një shembull i spikatur është projekti “Mundësimi i Bashkëpunimit Ndërkufitar dhe Menaxhimi i Integruar i Burimeve Ujore në Drinin e Bardhë dhe Pellgun e Zgjeruar të Drinit</w:t>
      </w:r>
      <w:r w:rsidR="00A36696" w:rsidRPr="001C61AE">
        <w:rPr>
          <w:rFonts w:ascii="Arial" w:hAnsi="Arial" w:cs="Arial"/>
          <w:szCs w:val="28"/>
          <w:vertAlign w:val="superscript"/>
          <w:lang w:val="sq-AL" w:eastAsia="es-ES"/>
        </w:rPr>
        <w:footnoteReference w:id="95"/>
      </w:r>
      <w:r w:rsidR="00A36696" w:rsidRPr="001C61AE">
        <w:rPr>
          <w:rFonts w:ascii="Arial" w:hAnsi="Arial" w:cs="Arial"/>
          <w:szCs w:val="28"/>
          <w:lang w:val="sq-AL" w:eastAsia="es-ES"/>
        </w:rPr>
        <w:t xml:space="preserve">", </w:t>
      </w:r>
      <w:r w:rsidRPr="001C61AE">
        <w:rPr>
          <w:rFonts w:ascii="Arial" w:hAnsi="Arial" w:cs="Arial"/>
          <w:szCs w:val="28"/>
          <w:lang w:val="sq-AL" w:eastAsia="es-ES"/>
        </w:rPr>
        <w:t>i zbatuar në kuadër të fushës fokale të Ujërave Ndërkombëtare të GEF. Kosova është përfshirë në fushëveprimin e projektit si pjesë e pellgut të zgjeruar të Drinit, duke përfituar një grant prej 1 milion dollarësh nga GEF, me një shumë shtesë prej 95,000 dollarësh për tarifat e agjencisë, dhe një bashkëfinancim të raportuar prej 7.85 milionë dollarësh nga JICA, Sida dhe UNDP. Ky projekt dëshmon se kornizat rajonale dhe ndërkufitare mund të shërbejnë si pika efektive hyrëse për Kosovën në mobilizimin e burimeve shumëpalëshe, veçanërisht në kontekstin e qeverisjes së ujërave rezistente ndaj klimës dhe mbrojtjes së ekosistemeve.</w:t>
      </w:r>
    </w:p>
    <w:p w14:paraId="59B94E8E" w14:textId="77777777" w:rsidR="008C2253" w:rsidRPr="001C61AE" w:rsidRDefault="008C2253" w:rsidP="008C2253">
      <w:pPr>
        <w:spacing w:before="0" w:after="240" w:line="256" w:lineRule="auto"/>
        <w:jc w:val="both"/>
        <w:rPr>
          <w:rFonts w:ascii="Arial" w:hAnsi="Arial" w:cs="Arial"/>
          <w:szCs w:val="28"/>
          <w:lang w:val="sq-AL" w:eastAsia="es-ES"/>
        </w:rPr>
      </w:pPr>
      <w:r w:rsidRPr="001C61AE">
        <w:rPr>
          <w:rFonts w:ascii="Arial" w:hAnsi="Arial" w:cs="Arial"/>
          <w:szCs w:val="28"/>
          <w:lang w:val="sq-AL" w:eastAsia="es-ES"/>
        </w:rPr>
        <w:t>Duke marrë parasysh statusin aktual të Kosovës, qasja direkte në fondet vertikale të klimës nën Mekanizmin Financiar të UNFCCC-së – si Fondi i Gjelbër për Klimën (GCF) apo Fondi i Përshtatjes (AF) – mbetet e kufizuar. Megjithatë, pjesëmarrja indirekte përmes programeve rajonale ose ndërkufitare, partneritetet me entitete të akredituara zbatuese, si dhe bashkëpunimi teknik përmes agjencive të OKB-së vazhdojnë të ofrojnë rrugë të vlefshme që Kosova të përfitojë nga financimi shumëpalësh për klimën.</w:t>
      </w:r>
    </w:p>
    <w:p w14:paraId="78FDF046" w14:textId="56FDCF1E" w:rsidR="00A36696" w:rsidRPr="001C61AE" w:rsidRDefault="008C2253" w:rsidP="008C2253">
      <w:pPr>
        <w:spacing w:before="0" w:after="240" w:line="256" w:lineRule="auto"/>
        <w:jc w:val="both"/>
        <w:rPr>
          <w:rFonts w:ascii="Arial" w:hAnsi="Arial" w:cs="Arial"/>
          <w:szCs w:val="28"/>
          <w:lang w:val="sq-AL" w:eastAsia="es-ES"/>
        </w:rPr>
      </w:pPr>
      <w:r w:rsidRPr="001C61AE">
        <w:rPr>
          <w:rFonts w:ascii="Arial" w:hAnsi="Arial" w:cs="Arial"/>
          <w:szCs w:val="28"/>
          <w:lang w:val="sq-AL" w:eastAsia="es-ES"/>
        </w:rPr>
        <w:t>Përfshirja e vazhdueshme në iniciativa të tilla rajonale dhe forcimi i bashkëpunimit me agjencitë e OKB-së dhe partnerët ndërkombëtarë për zhvillim do të jenë thelbësore për të maksimizuar qasjen e Kosovës në fondet shumëpalëshe për klimën, në përputhje me prioritetet e saj kombëtare për përshtatje dhe zbutje të ndryshimeve klimatike</w:t>
      </w:r>
      <w:r w:rsidR="00A36696" w:rsidRPr="001C61AE">
        <w:rPr>
          <w:rFonts w:ascii="Arial" w:hAnsi="Arial" w:cs="Arial"/>
          <w:szCs w:val="28"/>
          <w:lang w:val="sq-AL" w:eastAsia="es-ES"/>
        </w:rPr>
        <w:t>.</w:t>
      </w:r>
    </w:p>
    <w:p w14:paraId="40F7A76A" w14:textId="61BE4A8C" w:rsidR="00A36696" w:rsidRPr="001C61AE" w:rsidRDefault="008C2253" w:rsidP="00A36696">
      <w:pPr>
        <w:shd w:val="clear" w:color="auto" w:fill="215A5C"/>
        <w:tabs>
          <w:tab w:val="left" w:pos="2554"/>
        </w:tabs>
        <w:spacing w:before="0" w:line="256" w:lineRule="auto"/>
        <w:jc w:val="both"/>
        <w:rPr>
          <w:rFonts w:ascii="Arial" w:hAnsi="Arial" w:cs="Arial"/>
          <w:b/>
          <w:bCs/>
          <w:color w:val="FFFFFF" w:themeColor="background1"/>
          <w:szCs w:val="28"/>
          <w:lang w:val="sq-AL"/>
        </w:rPr>
      </w:pPr>
      <w:r w:rsidRPr="001C61AE">
        <w:rPr>
          <w:rFonts w:ascii="Arial" w:hAnsi="Arial" w:cs="Arial"/>
          <w:b/>
          <w:bCs/>
          <w:color w:val="FFFFFF" w:themeColor="background1"/>
          <w:szCs w:val="28"/>
          <w:lang w:val="sq-AL"/>
        </w:rPr>
        <w:t>Bankat Shumëpalëshe të Zhvillimit (MDB) dhe institucione të tjera shumëpalëshe</w:t>
      </w:r>
      <w:r w:rsidR="00A36696" w:rsidRPr="001C61AE">
        <w:rPr>
          <w:rFonts w:ascii="Arial" w:hAnsi="Arial" w:cs="Arial"/>
          <w:b/>
          <w:bCs/>
          <w:color w:val="FFFFFF" w:themeColor="background1"/>
          <w:szCs w:val="28"/>
          <w:lang w:val="sq-AL"/>
        </w:rPr>
        <w:tab/>
      </w:r>
    </w:p>
    <w:p w14:paraId="585A1230" w14:textId="77777777" w:rsidR="008C2253" w:rsidRPr="001C61AE" w:rsidRDefault="008C2253" w:rsidP="008C2253">
      <w:pPr>
        <w:spacing w:before="160"/>
        <w:jc w:val="both"/>
        <w:rPr>
          <w:rFonts w:ascii="Arial" w:hAnsi="Arial" w:cs="Arial"/>
          <w:szCs w:val="28"/>
          <w:lang w:val="sq-AL" w:eastAsia="es-ES"/>
        </w:rPr>
      </w:pPr>
      <w:bookmarkStart w:id="116" w:name="_Hlk184896459"/>
      <w:r w:rsidRPr="001C61AE">
        <w:rPr>
          <w:rFonts w:ascii="Arial" w:hAnsi="Arial" w:cs="Arial"/>
          <w:szCs w:val="28"/>
          <w:lang w:val="sq-AL" w:eastAsia="es-ES"/>
        </w:rPr>
        <w:t>Kjo kategori përfshin institucione financiare të krijuara nga disa shtete me mandatin për të ofruar mbështetje financiare dhe asistencë teknike për projekte zhvillimore, veçanërisht në vendet në zhvillim dhe ato me ekonomi në tranzicion. Bankat Shumëpalëshe të Zhvillimit (MDB) operojnë globalisht për të nxitur zhvillimin gjithëpërfshirës dhe të qëndrueshëm, duke financuar projekte në fusha si infrastruktura, mbrojtja e mjedisit, shërbimet publike dhe ndërtimi i qëndrueshmërisë ndaj ndryshimeve klimatike. Instrumentet e tyre përfshijnë kredi koncesionare dhe jo-koncesionare, grante, garanci financiare dhe shërbime këshillimore teknike, të ofruara për qeveritë, entitetet nënkombëtare dhe sektorin privat.</w:t>
      </w:r>
    </w:p>
    <w:p w14:paraId="657AFF26" w14:textId="46B2C1FB" w:rsidR="008C2253" w:rsidRPr="001C61AE" w:rsidRDefault="008C2253" w:rsidP="008C2253">
      <w:pPr>
        <w:spacing w:before="160"/>
        <w:jc w:val="both"/>
        <w:rPr>
          <w:rFonts w:ascii="Arial" w:hAnsi="Arial" w:cs="Arial"/>
          <w:szCs w:val="28"/>
          <w:lang w:val="sq-AL" w:eastAsia="es-ES"/>
        </w:rPr>
      </w:pPr>
      <w:r w:rsidRPr="001C61AE">
        <w:rPr>
          <w:rFonts w:ascii="Arial" w:hAnsi="Arial" w:cs="Arial"/>
          <w:szCs w:val="28"/>
          <w:lang w:val="sq-AL" w:eastAsia="es-ES"/>
        </w:rPr>
        <w:lastRenderedPageBreak/>
        <w:t>Në kontekstin e financimit global për klimën, MDB-të përfaqësojnë aktorë kyç në mobilizimin dhe shpërndarjen e burimeve për të mbështetur përpjekjet për zbutje dhe përshtatje ndaj ndryshimeve klimatike. Gjatë periudhës 2021/2022, institucionet shumëpalëshe të financës zhvillimore (DFI) kontribuuan me 93 miliardë dollarë amerikanë në financimin për klimën në nivel global, që përfaqëson rreth 15% të angazhimeve të përgjithshme të sektorit publik dhe një rritje prej 36% krahasuar me 68 miliardë dollarë në periudhën 2019/2020</w:t>
      </w:r>
      <w:r w:rsidR="00D87564" w:rsidRPr="001C61AE">
        <w:rPr>
          <w:rFonts w:ascii="Arial" w:hAnsi="Arial" w:cs="Arial"/>
          <w:szCs w:val="28"/>
          <w:lang w:val="sq-AL" w:eastAsia="es-ES"/>
        </w:rPr>
        <w:t>.</w:t>
      </w:r>
      <w:r w:rsidR="00A36696" w:rsidRPr="001C61AE">
        <w:rPr>
          <w:rFonts w:ascii="Arial" w:hAnsi="Arial" w:cs="Arial"/>
          <w:szCs w:val="28"/>
          <w:vertAlign w:val="superscript"/>
          <w:lang w:val="sq-AL" w:eastAsia="es-ES"/>
        </w:rPr>
        <w:footnoteReference w:id="96"/>
      </w:r>
      <w:r w:rsidR="00A36696" w:rsidRPr="001C61AE">
        <w:rPr>
          <w:rFonts w:ascii="Arial" w:hAnsi="Arial" w:cs="Arial"/>
          <w:szCs w:val="28"/>
          <w:lang w:val="sq-AL" w:eastAsia="es-ES"/>
        </w:rPr>
        <w:t xml:space="preserve"> </w:t>
      </w:r>
      <w:r w:rsidRPr="001C61AE">
        <w:rPr>
          <w:rFonts w:ascii="Arial" w:hAnsi="Arial" w:cs="Arial"/>
          <w:szCs w:val="28"/>
          <w:lang w:val="sq-AL" w:eastAsia="es-ES"/>
        </w:rPr>
        <w:t>Ky trend rritës reflekton rolin në rritje të MDB-ve në veprimet për klimën, në një kohë kur po zhvillohen diskutime ndërkombëtare për përmirësimin e strukturave të kapitalit dhe kapaciteteve huadhënëse të tyre, siç theksohet në Rishikimin e Pavarur të vitit 2023. Këto reforma të propozuara – së bashku me thirrjet globale për ristrukturim sistemik të institucioneve financiare ndërkombëtare si FMN dhe MDB-të – synojnë të optimizojnë aftësinë e tyre për të mbështetur vendet në përballjen me krizën klimatike.</w:t>
      </w:r>
    </w:p>
    <w:p w14:paraId="3D722F16" w14:textId="52C8A7E1" w:rsidR="00A36696" w:rsidRPr="001C61AE" w:rsidRDefault="008C2253" w:rsidP="008C2253">
      <w:pPr>
        <w:spacing w:before="160"/>
        <w:jc w:val="both"/>
        <w:rPr>
          <w:rFonts w:ascii="Arial" w:hAnsi="Arial" w:cs="Arial"/>
          <w:szCs w:val="28"/>
          <w:lang w:val="sq-AL" w:eastAsia="es-ES"/>
        </w:rPr>
      </w:pPr>
      <w:r w:rsidRPr="001C61AE">
        <w:rPr>
          <w:rFonts w:ascii="Arial" w:hAnsi="Arial" w:cs="Arial"/>
          <w:szCs w:val="28"/>
          <w:lang w:val="sq-AL" w:eastAsia="es-ES"/>
        </w:rPr>
        <w:t>Megjithatë, shpërndarja e financimit nga MDB-të mbetet e pabarabartë. Ndërsa rreth 40% e financimit për klimën nga MDB-të shkon në vendet me të ardhura të larta, Vendet më Pak të Zhvilluara (LDC) marrin vetëm 14% (13 miliardë dollarë), ku një pjesë e konsiderueshme jepet përmes instrumenteve të borxhit. Kjo pabarazi thekson nevojën për instrumente më të favorshme dhe koncesionare financimi, në mënyrë që vendet më të ndjeshme të mos ngarkohen më tej financiarisht</w:t>
      </w:r>
      <w:r w:rsidR="00D87564" w:rsidRPr="001C61AE">
        <w:rPr>
          <w:rFonts w:ascii="Arial" w:hAnsi="Arial" w:cs="Arial"/>
          <w:szCs w:val="28"/>
          <w:lang w:val="sq-AL" w:eastAsia="es-ES"/>
        </w:rPr>
        <w:t>.</w:t>
      </w:r>
      <w:r w:rsidR="00A36696" w:rsidRPr="001C61AE">
        <w:rPr>
          <w:rFonts w:ascii="Arial" w:hAnsi="Arial" w:cs="Arial"/>
          <w:szCs w:val="28"/>
          <w:vertAlign w:val="superscript"/>
          <w:lang w:val="sq-AL" w:eastAsia="es-ES"/>
        </w:rPr>
        <w:footnoteReference w:id="97"/>
      </w:r>
    </w:p>
    <w:p w14:paraId="60852A12" w14:textId="1FF6D09D" w:rsidR="00A36696" w:rsidRPr="001C61AE" w:rsidRDefault="008C2253" w:rsidP="00A36696">
      <w:pPr>
        <w:spacing w:before="160"/>
        <w:jc w:val="both"/>
        <w:rPr>
          <w:rFonts w:ascii="Arial" w:hAnsi="Arial" w:cs="Arial"/>
          <w:szCs w:val="28"/>
          <w:lang w:val="sq-AL" w:eastAsia="es-ES"/>
        </w:rPr>
      </w:pPr>
      <w:r w:rsidRPr="001C61AE">
        <w:rPr>
          <w:rFonts w:ascii="Arial" w:hAnsi="Arial" w:cs="Arial"/>
          <w:szCs w:val="28"/>
          <w:lang w:val="sq-AL" w:eastAsia="es-ES"/>
        </w:rPr>
        <w:t>Në Kosovë, MDB-të – përfshirë Bankën Evropiane për Rindërtim dhe Zhvillim (BERZH), Bankën Evropiane për Investime (EIB) dhe Grupin e Bankës Botërore – kanë luajtur një rol të rëndësishëm në avancimin e zhvillimit kombëtar dhe mbështetjen e tranzicionit klimatik të vendit. Këto institucione kanë financuar projekte kyçe infrastrukturore në sektorë si energjia, menaxhimi i ujërave dhe transporti i qëndrueshëm, ndërsa kanë ofruar gjithashtu mbështetje politike për të përafruar kornizat financiare dhe rregullative të Kosovës me standardet e Bashkimit Evropian. Veçanërisht, BERZH ka mobilizuar një investim kumulativ prej 846 milionë dollarësh në 123 projekte, me një portofol aktiv prej 437.8 milionë dollarësh, prej të cilave 51% synojnë sektorin privat</w:t>
      </w:r>
      <w:r w:rsidR="00A36696" w:rsidRPr="001C61AE">
        <w:rPr>
          <w:rFonts w:ascii="Arial" w:hAnsi="Arial" w:cs="Arial"/>
          <w:szCs w:val="28"/>
          <w:vertAlign w:val="superscript"/>
          <w:lang w:val="sq-AL" w:eastAsia="es-ES"/>
        </w:rPr>
        <w:t xml:space="preserve"> </w:t>
      </w:r>
      <w:r w:rsidR="00A36696" w:rsidRPr="001C61AE">
        <w:rPr>
          <w:rFonts w:ascii="Arial" w:hAnsi="Arial" w:cs="Arial"/>
          <w:szCs w:val="28"/>
          <w:vertAlign w:val="superscript"/>
          <w:lang w:val="sq-AL" w:eastAsia="es-ES"/>
        </w:rPr>
        <w:footnoteReference w:id="98"/>
      </w:r>
      <w:r w:rsidR="00A36696" w:rsidRPr="001C61AE">
        <w:rPr>
          <w:rFonts w:ascii="Arial" w:hAnsi="Arial" w:cs="Arial"/>
          <w:szCs w:val="28"/>
          <w:lang w:val="sq-AL" w:eastAsia="es-ES"/>
        </w:rPr>
        <w:t xml:space="preserve">. </w:t>
      </w:r>
      <w:r w:rsidRPr="001C61AE">
        <w:rPr>
          <w:rFonts w:ascii="Arial" w:hAnsi="Arial" w:cs="Arial"/>
          <w:szCs w:val="28"/>
          <w:lang w:val="sq-AL" w:eastAsia="es-ES"/>
        </w:rPr>
        <w:t xml:space="preserve">Po ashtu, BERZH ka ofruar linja krediti për qëllime të gjelbra nëpërmjet partnerëve si Raiffeisen Bank Kosova (kredi për SME “Go Green” në vlerë 5.42 milionë dollarë) dhe ka financuar një kredi sovrane prej 54.1 milionë dollarësh për të rritur </w:t>
      </w:r>
      <w:r w:rsidR="00AF6C69" w:rsidRPr="001C61AE">
        <w:rPr>
          <w:rFonts w:ascii="Arial" w:hAnsi="Arial" w:cs="Arial"/>
          <w:szCs w:val="28"/>
          <w:lang w:val="sq-AL" w:eastAsia="es-ES"/>
        </w:rPr>
        <w:t>efiçiencën energjetike</w:t>
      </w:r>
      <w:r w:rsidRPr="001C61AE">
        <w:rPr>
          <w:rFonts w:ascii="Arial" w:hAnsi="Arial" w:cs="Arial"/>
          <w:szCs w:val="28"/>
          <w:lang w:val="sq-AL" w:eastAsia="es-ES"/>
        </w:rPr>
        <w:t xml:space="preserve"> në deri 400 objekte publike</w:t>
      </w:r>
      <w:r w:rsidR="00A36696" w:rsidRPr="001C61AE">
        <w:rPr>
          <w:rFonts w:ascii="Arial" w:hAnsi="Arial" w:cs="Arial"/>
          <w:szCs w:val="28"/>
          <w:vertAlign w:val="superscript"/>
          <w:lang w:val="sq-AL" w:eastAsia="es-ES"/>
        </w:rPr>
        <w:footnoteReference w:id="99"/>
      </w:r>
      <w:r w:rsidR="00A36696" w:rsidRPr="001C61AE">
        <w:rPr>
          <w:rFonts w:ascii="Arial" w:hAnsi="Arial" w:cs="Arial"/>
          <w:szCs w:val="28"/>
          <w:lang w:val="sq-AL" w:eastAsia="es-ES"/>
        </w:rPr>
        <w:t xml:space="preserve">, </w:t>
      </w:r>
      <w:r w:rsidRPr="001C61AE">
        <w:rPr>
          <w:rFonts w:ascii="Arial" w:hAnsi="Arial" w:cs="Arial"/>
          <w:szCs w:val="28"/>
          <w:lang w:val="sq-AL" w:eastAsia="es-ES"/>
        </w:rPr>
        <w:t>me pritshmëri për kursime energjie prej 30–50% dhe reduktim të konsiderueshëm të gazeve serrë</w:t>
      </w:r>
      <w:r w:rsidR="00D87564" w:rsidRPr="001C61AE">
        <w:rPr>
          <w:rFonts w:ascii="Arial" w:hAnsi="Arial" w:cs="Arial"/>
          <w:szCs w:val="28"/>
          <w:lang w:val="sq-AL" w:eastAsia="es-ES"/>
        </w:rPr>
        <w:t>.</w:t>
      </w:r>
      <w:r w:rsidR="00A36696" w:rsidRPr="001C61AE">
        <w:rPr>
          <w:rFonts w:ascii="Arial" w:hAnsi="Arial" w:cs="Arial"/>
          <w:szCs w:val="28"/>
          <w:vertAlign w:val="superscript"/>
          <w:lang w:val="sq-AL" w:eastAsia="es-ES"/>
        </w:rPr>
        <w:footnoteReference w:id="100"/>
      </w:r>
    </w:p>
    <w:p w14:paraId="6FABCE86" w14:textId="10EDA13F" w:rsidR="00A36696" w:rsidRPr="001C61AE" w:rsidRDefault="008C2253" w:rsidP="00A36696">
      <w:pPr>
        <w:spacing w:before="160"/>
        <w:jc w:val="both"/>
        <w:rPr>
          <w:rFonts w:ascii="Arial" w:hAnsi="Arial" w:cs="Arial"/>
          <w:color w:val="1D3C5A"/>
          <w:sz w:val="20"/>
          <w:szCs w:val="24"/>
          <w:lang w:val="sq-AL" w:eastAsia="es-ES"/>
        </w:rPr>
      </w:pPr>
      <w:r w:rsidRPr="001C61AE">
        <w:rPr>
          <w:rFonts w:ascii="Arial" w:hAnsi="Arial" w:cs="Arial"/>
          <w:szCs w:val="28"/>
          <w:lang w:val="sq-AL" w:eastAsia="es-ES"/>
        </w:rPr>
        <w:t>Qasja e Kosovës në financimin e klimës nga MDB-të është e lidhur ngushtë me përpjekjet e saj për integrim në BE dhe Instrumentin për Ndihmë Para-Anëtarësuese (IPA)</w:t>
      </w:r>
      <w:r w:rsidR="00A36696" w:rsidRPr="001C61AE">
        <w:rPr>
          <w:rFonts w:ascii="Arial" w:hAnsi="Arial" w:cs="Arial"/>
          <w:szCs w:val="28"/>
          <w:vertAlign w:val="superscript"/>
          <w:lang w:val="sq-AL" w:eastAsia="es-ES"/>
        </w:rPr>
        <w:footnoteReference w:id="101"/>
      </w:r>
      <w:r w:rsidR="00A36696" w:rsidRPr="001C61AE">
        <w:rPr>
          <w:rFonts w:ascii="Arial" w:hAnsi="Arial" w:cs="Arial"/>
          <w:szCs w:val="28"/>
          <w:lang w:val="sq-AL" w:eastAsia="es-ES"/>
        </w:rPr>
        <w:t>,</w:t>
      </w:r>
      <w:r w:rsidRPr="001C61AE">
        <w:rPr>
          <w:rFonts w:ascii="Arial" w:hAnsi="Arial" w:cs="Arial"/>
          <w:lang w:val="sq-AL"/>
        </w:rPr>
        <w:t xml:space="preserve"> </w:t>
      </w:r>
      <w:r w:rsidRPr="001C61AE">
        <w:rPr>
          <w:rFonts w:ascii="Arial" w:hAnsi="Arial" w:cs="Arial"/>
          <w:szCs w:val="28"/>
          <w:lang w:val="sq-AL" w:eastAsia="es-ES"/>
        </w:rPr>
        <w:t xml:space="preserve">të cilat kanë lehtësuar të drejtën për instrumente të përziera financiare dhe asistencë teknike që synojnë mbështetjen e tranzicionit të saj të gjelbër. Ndërsa Kosova punon për të forcuar gatishmërinë e saj për financimin e klimës, përmirësimi i </w:t>
      </w:r>
      <w:r w:rsidRPr="001C61AE">
        <w:rPr>
          <w:rFonts w:ascii="Arial" w:hAnsi="Arial" w:cs="Arial"/>
          <w:szCs w:val="28"/>
          <w:lang w:val="sq-AL" w:eastAsia="es-ES"/>
        </w:rPr>
        <w:lastRenderedPageBreak/>
        <w:t>mekanizmave të koordinimit me MDB-të</w:t>
      </w:r>
      <w:r w:rsidR="00A36696" w:rsidRPr="001C61AE">
        <w:rPr>
          <w:rFonts w:ascii="Arial" w:hAnsi="Arial" w:cs="Arial"/>
          <w:szCs w:val="28"/>
          <w:vertAlign w:val="superscript"/>
          <w:lang w:val="sq-AL" w:eastAsia="es-ES"/>
        </w:rPr>
        <w:footnoteReference w:id="102"/>
      </w:r>
      <w:r w:rsidR="00A36696" w:rsidRPr="001C61AE">
        <w:rPr>
          <w:rFonts w:ascii="Arial" w:hAnsi="Arial" w:cs="Arial"/>
          <w:szCs w:val="28"/>
          <w:lang w:val="sq-AL" w:eastAsia="es-ES"/>
        </w:rPr>
        <w:t xml:space="preserve">, </w:t>
      </w:r>
      <w:r w:rsidRPr="001C61AE">
        <w:rPr>
          <w:rFonts w:ascii="Arial" w:hAnsi="Arial" w:cs="Arial"/>
          <w:szCs w:val="28"/>
          <w:lang w:val="sq-AL" w:eastAsia="es-ES"/>
        </w:rPr>
        <w:t>rritja e kapacitetit absorbues në nivel institucional</w:t>
      </w:r>
      <w:r w:rsidR="00A36696" w:rsidRPr="001C61AE">
        <w:rPr>
          <w:rFonts w:ascii="Arial" w:hAnsi="Arial" w:cs="Arial"/>
          <w:szCs w:val="28"/>
          <w:vertAlign w:val="superscript"/>
          <w:lang w:val="sq-AL" w:eastAsia="es-ES"/>
        </w:rPr>
        <w:footnoteReference w:id="103"/>
      </w:r>
      <w:r w:rsidR="00A36696" w:rsidRPr="001C61AE">
        <w:rPr>
          <w:rFonts w:ascii="Arial" w:hAnsi="Arial" w:cs="Arial"/>
          <w:szCs w:val="28"/>
          <w:lang w:val="sq-AL" w:eastAsia="es-ES"/>
        </w:rPr>
        <w:t xml:space="preserve">, </w:t>
      </w:r>
      <w:r w:rsidRPr="001C61AE">
        <w:rPr>
          <w:rFonts w:ascii="Arial" w:hAnsi="Arial" w:cs="Arial"/>
          <w:szCs w:val="28"/>
          <w:lang w:val="sq-AL" w:eastAsia="es-ES"/>
        </w:rPr>
        <w:t>dhe përafrimi i politikave kombëtare me kornizat e financimit të qëndrueshëm të BE-së sipas IPA-s do të jenë jetësore për të shfrytëzuar plotësisht këto burime për veprime transformuese klimatike</w:t>
      </w:r>
      <w:r w:rsidR="00A36696" w:rsidRPr="001C61AE">
        <w:rPr>
          <w:rFonts w:ascii="Arial" w:hAnsi="Arial" w:cs="Arial"/>
          <w:szCs w:val="28"/>
          <w:lang w:val="sq-AL" w:eastAsia="es-ES"/>
        </w:rPr>
        <w:t>.</w:t>
      </w:r>
    </w:p>
    <w:bookmarkEnd w:id="116"/>
    <w:p w14:paraId="6682781F" w14:textId="77777777" w:rsidR="008D041E" w:rsidRPr="001C61AE" w:rsidRDefault="00A36696" w:rsidP="008D041E">
      <w:pPr>
        <w:keepNext/>
        <w:spacing w:before="160" w:after="0"/>
        <w:jc w:val="center"/>
        <w:rPr>
          <w:rFonts w:ascii="Arial" w:hAnsi="Arial" w:cs="Arial"/>
        </w:rPr>
      </w:pPr>
      <w:r w:rsidRPr="001C61AE">
        <w:rPr>
          <w:rFonts w:ascii="Arial" w:hAnsi="Arial" w:cs="Arial"/>
          <w:noProof/>
          <w:sz w:val="24"/>
          <w:szCs w:val="24"/>
        </w:rPr>
        <w:drawing>
          <wp:inline distT="0" distB="0" distL="0" distR="0" wp14:anchorId="754785D8" wp14:editId="54C9C1D8">
            <wp:extent cx="6419850" cy="3867150"/>
            <wp:effectExtent l="0" t="0" r="0" b="0"/>
            <wp:docPr id="1042126965" name="Chart 1">
              <a:extLst xmlns:a="http://schemas.openxmlformats.org/drawingml/2006/main">
                <a:ext uri="{FF2B5EF4-FFF2-40B4-BE49-F238E27FC236}">
                  <a16:creationId xmlns:a16="http://schemas.microsoft.com/office/drawing/2014/main" id="{37091D65-50D6-CC10-BCA5-ED0FCA98E6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D1EF0A7" w14:textId="2E0A98E4" w:rsidR="00A36696" w:rsidRPr="001C61AE" w:rsidRDefault="008D041E" w:rsidP="004C6E93">
      <w:pPr>
        <w:pStyle w:val="Caption"/>
        <w:rPr>
          <w:rFonts w:ascii="Arial" w:hAnsi="Arial" w:cs="Arial"/>
          <w:sz w:val="24"/>
          <w:szCs w:val="24"/>
          <w:highlight w:val="yellow"/>
          <w:lang w:val="sq-AL"/>
        </w:rPr>
      </w:pPr>
      <w:bookmarkStart w:id="117" w:name="_Toc211532634"/>
      <w:r w:rsidRPr="001C61AE">
        <w:rPr>
          <w:rFonts w:ascii="Arial" w:hAnsi="Arial" w:cs="Arial"/>
        </w:rPr>
        <w:t xml:space="preserve">Figura </w:t>
      </w:r>
      <w:r w:rsidRPr="001C61AE">
        <w:rPr>
          <w:rFonts w:ascii="Arial" w:hAnsi="Arial" w:cs="Arial"/>
        </w:rPr>
        <w:fldChar w:fldCharType="begin"/>
      </w:r>
      <w:r w:rsidRPr="001C61AE">
        <w:rPr>
          <w:rFonts w:ascii="Arial" w:hAnsi="Arial" w:cs="Arial"/>
        </w:rPr>
        <w:instrText xml:space="preserve"> SEQ Figura \* ARABIC </w:instrText>
      </w:r>
      <w:r w:rsidRPr="001C61AE">
        <w:rPr>
          <w:rFonts w:ascii="Arial" w:hAnsi="Arial" w:cs="Arial"/>
        </w:rPr>
        <w:fldChar w:fldCharType="separate"/>
      </w:r>
      <w:r w:rsidR="0005579F" w:rsidRPr="001C61AE">
        <w:rPr>
          <w:rFonts w:ascii="Arial" w:hAnsi="Arial" w:cs="Arial"/>
          <w:noProof/>
        </w:rPr>
        <w:t>33</w:t>
      </w:r>
      <w:r w:rsidRPr="001C61AE">
        <w:rPr>
          <w:rFonts w:ascii="Arial" w:hAnsi="Arial" w:cs="Arial"/>
        </w:rPr>
        <w:fldChar w:fldCharType="end"/>
      </w:r>
      <w:r w:rsidRPr="001C61AE">
        <w:rPr>
          <w:rFonts w:ascii="Arial" w:hAnsi="Arial" w:cs="Arial"/>
        </w:rPr>
        <w:t>.Flukset e financimit për klimën në Ballkanin Perëndimor nga MDB-të, periudha 2015-2023. Burimi: MMPHI (2025) bazuar në Raportin e Përbashkët Financiar të Klimës MDB 2023.</w:t>
      </w:r>
      <w:bookmarkEnd w:id="117"/>
    </w:p>
    <w:p w14:paraId="6A4FABE6" w14:textId="68832C79" w:rsidR="00A36696" w:rsidRPr="001C61AE" w:rsidRDefault="00017ED1" w:rsidP="00A36696">
      <w:pPr>
        <w:shd w:val="clear" w:color="auto" w:fill="215A5C"/>
        <w:tabs>
          <w:tab w:val="left" w:pos="2554"/>
        </w:tabs>
        <w:spacing w:before="0" w:line="256" w:lineRule="auto"/>
        <w:jc w:val="both"/>
        <w:rPr>
          <w:rFonts w:ascii="Arial" w:hAnsi="Arial" w:cs="Arial"/>
          <w:b/>
          <w:bCs/>
          <w:color w:val="FFFFFF" w:themeColor="background1"/>
          <w:sz w:val="20"/>
          <w:szCs w:val="24"/>
          <w:lang w:val="sq-AL"/>
        </w:rPr>
      </w:pPr>
      <w:r w:rsidRPr="001C61AE">
        <w:rPr>
          <w:rFonts w:ascii="Arial" w:hAnsi="Arial" w:cs="Arial"/>
          <w:b/>
          <w:bCs/>
          <w:color w:val="FFFFFF" w:themeColor="background1"/>
          <w:szCs w:val="28"/>
          <w:lang w:val="sq-AL"/>
        </w:rPr>
        <w:t>Institucionet Financiare për Zhvillim Bilateral dhe burimet e tjera bilaterale</w:t>
      </w:r>
      <w:r w:rsidR="00A36696" w:rsidRPr="001C61AE">
        <w:rPr>
          <w:rFonts w:ascii="Arial" w:hAnsi="Arial" w:cs="Arial"/>
          <w:b/>
          <w:bCs/>
          <w:color w:val="FFFFFF" w:themeColor="background1"/>
          <w:sz w:val="20"/>
          <w:szCs w:val="24"/>
          <w:lang w:val="sq-AL"/>
        </w:rPr>
        <w:tab/>
      </w:r>
    </w:p>
    <w:p w14:paraId="0D8281A1" w14:textId="6335350D" w:rsidR="00A36696" w:rsidRPr="001C61AE" w:rsidRDefault="002D220E" w:rsidP="002D220E">
      <w:pPr>
        <w:keepNext/>
        <w:spacing w:before="160"/>
        <w:jc w:val="both"/>
        <w:rPr>
          <w:rFonts w:ascii="Arial" w:hAnsi="Arial" w:cs="Arial"/>
          <w:szCs w:val="28"/>
          <w:lang w:val="sq-AL" w:eastAsia="es-ES"/>
        </w:rPr>
      </w:pPr>
      <w:r w:rsidRPr="001C61AE">
        <w:rPr>
          <w:rFonts w:ascii="Arial" w:hAnsi="Arial" w:cs="Arial"/>
          <w:szCs w:val="28"/>
          <w:lang w:val="sq-AL" w:eastAsia="es-ES"/>
        </w:rPr>
        <w:t>Institucionet për financim zhvillimor bilateral (DFI) dhe partnerët e tjerë bilateralë luajnë një rol thelbësor në peizazhin e financimit për klimën në Kosovë, duke plotësuar përpjekjet vendore dhe objektivat për integrim në BE. Këto agjenci të mbështetura nga qeveritë kanalizojnë fonde dhe ekspertizë në iniciativa klimatike të harmonizuara me prioritetet zhvillimore të Kosovës dhe standardet evropiane. Për shembull, Bashkimi Evropian është shfaqur si një kontribuues kryesor bilateral, duke financuar infrastrukturë të qëndrueshme ndaj ndryshimeve klimatike (nga vlerësimet e rrezikut nga përmbytjet deri te qasja në ujë të pastër</w:t>
      </w:r>
      <w:r w:rsidR="00A36696" w:rsidRPr="001C61AE">
        <w:rPr>
          <w:rFonts w:ascii="Arial" w:hAnsi="Arial" w:cs="Arial"/>
          <w:szCs w:val="28"/>
          <w:lang w:val="sq-AL" w:eastAsia="es-ES"/>
        </w:rPr>
        <w:t>)</w:t>
      </w:r>
      <w:r w:rsidR="00A36696" w:rsidRPr="001C61AE">
        <w:rPr>
          <w:rFonts w:ascii="Arial" w:hAnsi="Arial" w:cs="Arial"/>
          <w:szCs w:val="28"/>
          <w:vertAlign w:val="superscript"/>
          <w:lang w:val="sq-AL" w:eastAsia="es-ES"/>
        </w:rPr>
        <w:footnoteReference w:id="104"/>
      </w:r>
      <w:r w:rsidR="00A36696" w:rsidRPr="001C61AE">
        <w:rPr>
          <w:rFonts w:ascii="Arial" w:hAnsi="Arial" w:cs="Arial"/>
          <w:szCs w:val="28"/>
          <w:lang w:val="sq-AL" w:eastAsia="es-ES"/>
        </w:rPr>
        <w:t xml:space="preserve"> </w:t>
      </w:r>
      <w:r w:rsidRPr="001C61AE">
        <w:rPr>
          <w:rFonts w:ascii="Arial" w:hAnsi="Arial" w:cs="Arial"/>
          <w:szCs w:val="28"/>
          <w:lang w:val="sq-AL" w:eastAsia="es-ES"/>
        </w:rPr>
        <w:t>dhe duke promovuar rritje ekonomike të gjelbër përmes mbështetjes për NMVM-të dhe iniciativave për ekonomi qarkulluese</w:t>
      </w:r>
      <w:r w:rsidR="00D62F49" w:rsidRPr="001C61AE">
        <w:rPr>
          <w:rFonts w:ascii="Arial" w:hAnsi="Arial" w:cs="Arial"/>
          <w:szCs w:val="28"/>
          <w:lang w:val="sq-AL" w:eastAsia="es-ES"/>
        </w:rPr>
        <w:t>.</w:t>
      </w:r>
      <w:r w:rsidR="00A36696" w:rsidRPr="001C61AE">
        <w:rPr>
          <w:rFonts w:ascii="Arial" w:hAnsi="Arial" w:cs="Arial"/>
          <w:szCs w:val="28"/>
          <w:vertAlign w:val="superscript"/>
          <w:lang w:val="sq-AL" w:eastAsia="es-ES"/>
        </w:rPr>
        <w:footnoteReference w:id="105"/>
      </w:r>
      <w:r w:rsidR="00A36696" w:rsidRPr="001C61AE">
        <w:rPr>
          <w:rFonts w:ascii="Arial" w:hAnsi="Arial" w:cs="Arial"/>
          <w:szCs w:val="28"/>
          <w:lang w:val="sq-AL" w:eastAsia="es-ES"/>
        </w:rPr>
        <w:t xml:space="preserve"> </w:t>
      </w:r>
      <w:r w:rsidRPr="001C61AE">
        <w:rPr>
          <w:rFonts w:ascii="Arial" w:hAnsi="Arial" w:cs="Arial"/>
          <w:szCs w:val="28"/>
          <w:lang w:val="sq-AL" w:eastAsia="es-ES"/>
        </w:rPr>
        <w:t>Po ashtu, Agjencia Franceze për Zhvillim (AFD) ka zgjeruar mandatin e saj në Ballkanin Perëndimor, duke theksuar një angazhim politik për të ndihmuar Kosovën të përafrohet me standardet mjedisore dhe objektivat klimatike të BE-së</w:t>
      </w:r>
      <w:r w:rsidR="00C56A27" w:rsidRPr="001C61AE">
        <w:rPr>
          <w:rFonts w:ascii="Arial" w:hAnsi="Arial" w:cs="Arial"/>
          <w:szCs w:val="28"/>
          <w:lang w:val="sq-AL" w:eastAsia="es-ES"/>
        </w:rPr>
        <w:t>.</w:t>
      </w:r>
      <w:r w:rsidR="00A36696" w:rsidRPr="001C61AE">
        <w:rPr>
          <w:rFonts w:ascii="Arial" w:hAnsi="Arial" w:cs="Arial"/>
          <w:szCs w:val="28"/>
          <w:vertAlign w:val="superscript"/>
          <w:lang w:val="sq-AL" w:eastAsia="es-ES"/>
        </w:rPr>
        <w:footnoteReference w:id="106"/>
      </w:r>
      <w:r w:rsidR="00A36696" w:rsidRPr="001C61AE">
        <w:rPr>
          <w:rFonts w:ascii="Arial" w:hAnsi="Arial" w:cs="Arial"/>
          <w:szCs w:val="28"/>
          <w:lang w:val="sq-AL" w:eastAsia="es-ES"/>
        </w:rPr>
        <w:t xml:space="preserve"> </w:t>
      </w:r>
      <w:r w:rsidRPr="001C61AE">
        <w:rPr>
          <w:rFonts w:ascii="Arial" w:hAnsi="Arial" w:cs="Arial"/>
          <w:szCs w:val="28"/>
          <w:lang w:val="sq-AL" w:eastAsia="es-ES"/>
        </w:rPr>
        <w:t>GIZ-i gjerman ka ofruar asistencë teknike për planifikimin energjetik dhe klimatik të Kosovës (p.sh. zhvillimin e një Plani të Integruar për Energji dhe Klimë)</w:t>
      </w:r>
      <w:r w:rsidR="00A36696" w:rsidRPr="001C61AE">
        <w:rPr>
          <w:rFonts w:ascii="Arial" w:hAnsi="Arial" w:cs="Arial"/>
          <w:szCs w:val="28"/>
          <w:vertAlign w:val="superscript"/>
          <w:lang w:val="sq-AL" w:eastAsia="es-ES"/>
        </w:rPr>
        <w:footnoteReference w:id="107"/>
      </w:r>
      <w:r w:rsidR="00A36696" w:rsidRPr="001C61AE">
        <w:rPr>
          <w:rFonts w:ascii="Arial" w:hAnsi="Arial" w:cs="Arial"/>
          <w:szCs w:val="28"/>
          <w:lang w:val="sq-AL" w:eastAsia="es-ES"/>
        </w:rPr>
        <w:t xml:space="preserve"> </w:t>
      </w:r>
      <w:r w:rsidRPr="001C61AE">
        <w:rPr>
          <w:rFonts w:ascii="Arial" w:hAnsi="Arial" w:cs="Arial"/>
          <w:szCs w:val="28"/>
          <w:lang w:val="sq-AL" w:eastAsia="es-ES"/>
        </w:rPr>
        <w:t xml:space="preserve">si dhe për projekte të qëndrueshmërisë urbane që përmirësojnë menaxhimin e </w:t>
      </w:r>
      <w:r w:rsidRPr="001C61AE">
        <w:rPr>
          <w:rFonts w:ascii="Arial" w:hAnsi="Arial" w:cs="Arial"/>
          <w:szCs w:val="28"/>
          <w:lang w:val="sq-AL" w:eastAsia="es-ES"/>
        </w:rPr>
        <w:lastRenderedPageBreak/>
        <w:t>mbeturinave dhe zhvillimin e qyteteve miqësore me klimën</w:t>
      </w:r>
      <w:r w:rsidR="00C56A27" w:rsidRPr="001C61AE">
        <w:rPr>
          <w:rFonts w:ascii="Arial" w:hAnsi="Arial" w:cs="Arial"/>
          <w:szCs w:val="28"/>
          <w:lang w:val="sq-AL" w:eastAsia="es-ES"/>
        </w:rPr>
        <w:t>.</w:t>
      </w:r>
      <w:r w:rsidR="00A36696" w:rsidRPr="001C61AE">
        <w:rPr>
          <w:rFonts w:ascii="Arial" w:hAnsi="Arial" w:cs="Arial"/>
          <w:szCs w:val="28"/>
          <w:vertAlign w:val="superscript"/>
          <w:lang w:val="sq-AL" w:eastAsia="es-ES"/>
        </w:rPr>
        <w:footnoteReference w:id="108"/>
      </w:r>
      <w:r w:rsidR="00A36696" w:rsidRPr="001C61AE">
        <w:rPr>
          <w:rFonts w:ascii="Arial" w:hAnsi="Arial" w:cs="Arial"/>
          <w:szCs w:val="28"/>
          <w:lang w:val="sq-AL" w:eastAsia="es-ES"/>
        </w:rPr>
        <w:t xml:space="preserve"> </w:t>
      </w:r>
      <w:r w:rsidRPr="001C61AE">
        <w:rPr>
          <w:rFonts w:ascii="Arial" w:hAnsi="Arial" w:cs="Arial"/>
          <w:szCs w:val="28"/>
          <w:lang w:val="sq-AL" w:eastAsia="es-ES"/>
        </w:rPr>
        <w:t>Dega për bashkëpunim zhvillimor e Italisë (AICS) fokusohet në sektorë të rëndësishëm për klimën si bujqësia e qëndrueshme dhe zhvillimi rural, mbrojtja e mjedisit dhe forcimi i sistemit shëndetësor</w:t>
      </w:r>
      <w:r w:rsidR="00C56A27" w:rsidRPr="001C61AE">
        <w:rPr>
          <w:rFonts w:ascii="Arial" w:hAnsi="Arial" w:cs="Arial"/>
          <w:szCs w:val="28"/>
          <w:lang w:val="sq-AL" w:eastAsia="es-ES"/>
        </w:rPr>
        <w:t>.</w:t>
      </w:r>
      <w:r w:rsidR="00A36696" w:rsidRPr="001C61AE">
        <w:rPr>
          <w:rFonts w:ascii="Arial" w:hAnsi="Arial" w:cs="Arial"/>
          <w:szCs w:val="28"/>
          <w:vertAlign w:val="superscript"/>
          <w:lang w:val="sq-AL" w:eastAsia="es-ES"/>
        </w:rPr>
        <w:footnoteReference w:id="109"/>
      </w:r>
      <w:r w:rsidR="00A36696" w:rsidRPr="001C61AE">
        <w:rPr>
          <w:rFonts w:ascii="Arial" w:hAnsi="Arial" w:cs="Arial"/>
          <w:szCs w:val="28"/>
          <w:lang w:val="sq-AL" w:eastAsia="es-ES"/>
        </w:rPr>
        <w:t xml:space="preserve"> </w:t>
      </w:r>
      <w:r w:rsidRPr="001C61AE">
        <w:rPr>
          <w:rFonts w:ascii="Arial" w:hAnsi="Arial" w:cs="Arial"/>
          <w:szCs w:val="28"/>
          <w:lang w:val="sq-AL" w:eastAsia="es-ES"/>
        </w:rPr>
        <w:t>Për më tepër, Iniciativa Ndërkombëtare për Klimën (IKI), e financuar nga Gjermania, ofron asistencë teknike rajonale për të ndërtuar kapacitete për politika klimatike në Kosovë, duke forcuar institucionet dhe njohuritë për zbatimin e masave të reduktimit të emetimeve dhe përshtatjes</w:t>
      </w:r>
      <w:r w:rsidR="00255272" w:rsidRPr="001C61AE">
        <w:rPr>
          <w:rFonts w:ascii="Arial" w:hAnsi="Arial" w:cs="Arial"/>
          <w:szCs w:val="28"/>
          <w:lang w:val="sq-AL" w:eastAsia="es-ES"/>
        </w:rPr>
        <w:t>.</w:t>
      </w:r>
      <w:r w:rsidR="00A36696" w:rsidRPr="001C61AE">
        <w:rPr>
          <w:rFonts w:ascii="Arial" w:hAnsi="Arial" w:cs="Arial"/>
          <w:szCs w:val="28"/>
          <w:vertAlign w:val="superscript"/>
          <w:lang w:val="sq-AL" w:eastAsia="es-ES"/>
        </w:rPr>
        <w:footnoteReference w:id="110"/>
      </w:r>
      <w:r w:rsidR="00A36696" w:rsidRPr="001C61AE">
        <w:rPr>
          <w:rFonts w:ascii="Arial" w:hAnsi="Arial" w:cs="Arial"/>
          <w:szCs w:val="28"/>
          <w:lang w:val="sq-AL" w:eastAsia="es-ES"/>
        </w:rPr>
        <w:t xml:space="preserve"> </w:t>
      </w:r>
      <w:r w:rsidRPr="001C61AE">
        <w:rPr>
          <w:rFonts w:ascii="Arial" w:hAnsi="Arial" w:cs="Arial"/>
          <w:szCs w:val="28"/>
          <w:lang w:val="sq-AL" w:eastAsia="es-ES"/>
        </w:rPr>
        <w:t>Agjencia Japoneze për Bashkëpunim Ndërkombëtar (JICA) ka kontribuar me ekspertizë për të përmirësuar menaxhimin mjedisor në Kosovë – veçanërisht përmes ndërtimit të kapaciteteve për monitorimin dhe kontrollin e ndotjes së ajrit</w:t>
      </w:r>
      <w:r w:rsidR="00255272" w:rsidRPr="001C61AE">
        <w:rPr>
          <w:rFonts w:ascii="Arial" w:hAnsi="Arial" w:cs="Arial"/>
          <w:szCs w:val="28"/>
          <w:lang w:val="sq-AL" w:eastAsia="es-ES"/>
        </w:rPr>
        <w:t>.</w:t>
      </w:r>
      <w:r w:rsidR="00A36696" w:rsidRPr="001C61AE">
        <w:rPr>
          <w:rFonts w:ascii="Arial" w:hAnsi="Arial" w:cs="Arial"/>
          <w:szCs w:val="28"/>
          <w:vertAlign w:val="superscript"/>
          <w:lang w:val="sq-AL" w:eastAsia="es-ES"/>
        </w:rPr>
        <w:footnoteReference w:id="111"/>
      </w:r>
      <w:r w:rsidR="00A36696" w:rsidRPr="001C61AE">
        <w:rPr>
          <w:rFonts w:ascii="Arial" w:hAnsi="Arial" w:cs="Arial"/>
          <w:szCs w:val="28"/>
          <w:lang w:val="sq-AL" w:eastAsia="es-ES"/>
        </w:rPr>
        <w:t xml:space="preserve"> </w:t>
      </w:r>
      <w:r w:rsidRPr="001C61AE">
        <w:rPr>
          <w:rFonts w:ascii="Arial" w:hAnsi="Arial" w:cs="Arial"/>
          <w:szCs w:val="28"/>
          <w:lang w:val="sq-AL" w:eastAsia="es-ES"/>
        </w:rPr>
        <w:t>Banka Gjermane për Zhvillim (KfW) ka ofruar financim koncesionar për infrastrukturë të energjisë së pastër, duke bashkëfinancuar një park diellor fotovoltaik prej 120 MW që do të ndihmojë në diversifikimin e përzierjes energjetike të Kosovës</w:t>
      </w:r>
      <w:r w:rsidR="00A36696" w:rsidRPr="001C61AE">
        <w:rPr>
          <w:rFonts w:ascii="Arial" w:hAnsi="Arial" w:cs="Arial"/>
          <w:szCs w:val="28"/>
          <w:vertAlign w:val="superscript"/>
          <w:lang w:val="sq-AL" w:eastAsia="es-ES"/>
        </w:rPr>
        <w:footnoteReference w:id="112"/>
      </w:r>
      <w:r w:rsidR="00A36696" w:rsidRPr="001C61AE">
        <w:rPr>
          <w:rFonts w:ascii="Arial" w:hAnsi="Arial" w:cs="Arial"/>
          <w:szCs w:val="28"/>
          <w:lang w:val="sq-AL" w:eastAsia="es-ES"/>
        </w:rPr>
        <w:t xml:space="preserve">. </w:t>
      </w:r>
      <w:r w:rsidRPr="001C61AE">
        <w:rPr>
          <w:rFonts w:ascii="Arial" w:hAnsi="Arial" w:cs="Arial"/>
          <w:szCs w:val="28"/>
          <w:lang w:val="sq-AL" w:eastAsia="es-ES"/>
        </w:rPr>
        <w:t>Këto angazhime bilaterale përforcojnë ndjeshëm veprimin klimatik të Kosovës, duke sjellë burime të vlefshme dhe përafrim me praktikat më të mira ndërkombëtare për zbatimin e strategjisë së vendit</w:t>
      </w:r>
      <w:r w:rsidR="00A36696" w:rsidRPr="001C61AE">
        <w:rPr>
          <w:rFonts w:ascii="Arial" w:hAnsi="Arial" w:cs="Arial"/>
          <w:szCs w:val="28"/>
          <w:lang w:val="sq-AL" w:eastAsia="es-ES"/>
        </w:rPr>
        <w:t>.</w:t>
      </w:r>
    </w:p>
    <w:p w14:paraId="62B3C69E" w14:textId="69CF8589" w:rsidR="00A36696" w:rsidRPr="001C61AE" w:rsidRDefault="002D220E" w:rsidP="002D220E">
      <w:pPr>
        <w:shd w:val="clear" w:color="auto" w:fill="215A5C"/>
        <w:tabs>
          <w:tab w:val="left" w:pos="2554"/>
        </w:tabs>
        <w:spacing w:before="0" w:line="256" w:lineRule="auto"/>
        <w:jc w:val="both"/>
        <w:rPr>
          <w:rFonts w:ascii="Arial" w:hAnsi="Arial" w:cs="Arial"/>
          <w:b/>
          <w:bCs/>
          <w:color w:val="FFFFFF" w:themeColor="background1"/>
          <w:sz w:val="20"/>
          <w:szCs w:val="24"/>
          <w:lang w:val="sq-AL"/>
        </w:rPr>
      </w:pPr>
      <w:r w:rsidRPr="001C61AE">
        <w:rPr>
          <w:rFonts w:ascii="Arial" w:hAnsi="Arial" w:cs="Arial"/>
          <w:b/>
          <w:bCs/>
          <w:color w:val="FFFFFF" w:themeColor="background1"/>
          <w:szCs w:val="28"/>
          <w:lang w:val="sq-AL"/>
        </w:rPr>
        <w:t>Burimet private</w:t>
      </w:r>
      <w:r w:rsidR="00A36696" w:rsidRPr="001C61AE">
        <w:rPr>
          <w:rFonts w:ascii="Arial" w:hAnsi="Arial" w:cs="Arial"/>
          <w:b/>
          <w:bCs/>
          <w:color w:val="FFFFFF" w:themeColor="background1"/>
          <w:sz w:val="20"/>
          <w:szCs w:val="24"/>
          <w:lang w:val="sq-AL"/>
        </w:rPr>
        <w:tab/>
      </w:r>
    </w:p>
    <w:p w14:paraId="51615D3D" w14:textId="77777777" w:rsidR="002D220E" w:rsidRPr="001C61AE" w:rsidRDefault="002D220E" w:rsidP="002D220E">
      <w:pPr>
        <w:spacing w:before="0" w:after="240"/>
        <w:jc w:val="both"/>
        <w:rPr>
          <w:rFonts w:ascii="Arial" w:hAnsi="Arial" w:cs="Arial"/>
          <w:lang w:val="sq-AL" w:eastAsia="es-ES"/>
        </w:rPr>
      </w:pPr>
      <w:r w:rsidRPr="001C61AE">
        <w:rPr>
          <w:rFonts w:ascii="Arial" w:hAnsi="Arial" w:cs="Arial"/>
          <w:lang w:val="sq-AL" w:eastAsia="es-ES"/>
        </w:rPr>
        <w:t>Krahas burimeve publike ndërkombëtare për financimin e klimës të paraqitura në seksionin paraprak, kjo nënseksion identifikon burimet kryesore të financimit privat të klimës—si në nivel ndërkombëtar, ashtu edhe vendor—që mbështesin financimin e iniciativave të lidhura me klimën në Kosovë.</w:t>
      </w:r>
    </w:p>
    <w:p w14:paraId="7C9D268A" w14:textId="0B412E89" w:rsidR="002D220E" w:rsidRPr="001C61AE" w:rsidRDefault="002D220E" w:rsidP="002D220E">
      <w:pPr>
        <w:spacing w:before="0" w:after="240"/>
        <w:jc w:val="both"/>
        <w:rPr>
          <w:rFonts w:ascii="Arial" w:hAnsi="Arial" w:cs="Arial"/>
          <w:lang w:val="sq-AL" w:eastAsia="es-ES"/>
        </w:rPr>
      </w:pPr>
      <w:r w:rsidRPr="001C61AE">
        <w:rPr>
          <w:rFonts w:ascii="Arial" w:hAnsi="Arial" w:cs="Arial"/>
          <w:lang w:val="sq-AL" w:eastAsia="es-ES"/>
        </w:rPr>
        <w:t>Sipas raportit “Global Landscape of Climate Finance 2024”</w:t>
      </w:r>
      <w:r w:rsidR="00A36696" w:rsidRPr="001C61AE">
        <w:rPr>
          <w:rFonts w:ascii="Arial" w:hAnsi="Arial" w:cs="Arial"/>
          <w:vertAlign w:val="superscript"/>
          <w:lang w:val="sq-AL" w:eastAsia="es-ES"/>
        </w:rPr>
        <w:footnoteReference w:id="113"/>
      </w:r>
      <w:r w:rsidR="00A36696" w:rsidRPr="001C61AE">
        <w:rPr>
          <w:rFonts w:ascii="Arial" w:hAnsi="Arial" w:cs="Arial"/>
          <w:lang w:val="sq-AL" w:eastAsia="es-ES"/>
        </w:rPr>
        <w:t xml:space="preserve">, </w:t>
      </w:r>
      <w:r w:rsidRPr="001C61AE">
        <w:rPr>
          <w:rFonts w:ascii="Arial" w:hAnsi="Arial" w:cs="Arial"/>
          <w:lang w:val="sq-AL" w:eastAsia="es-ES"/>
        </w:rPr>
        <w:t>aktorët e sektorit privat përbënin 49% të totalit të financimit për klimën në nivel global, duke siguruar një mesatare vjetore prej 625 miliardë dollarësh amerikanë gjatë periudhës 2021/2022—një rritje e ndjeshme nga 318 miliardë në 2019/2020</w:t>
      </w:r>
      <w:r w:rsidR="00E44A4F" w:rsidRPr="001C61AE">
        <w:rPr>
          <w:rFonts w:ascii="Arial" w:hAnsi="Arial" w:cs="Arial"/>
          <w:lang w:val="sq-AL" w:eastAsia="es-ES"/>
        </w:rPr>
        <w:t>.</w:t>
      </w:r>
      <w:r w:rsidR="00A36696" w:rsidRPr="001C61AE">
        <w:rPr>
          <w:rFonts w:ascii="Arial" w:hAnsi="Arial" w:cs="Arial"/>
          <w:vertAlign w:val="superscript"/>
          <w:lang w:val="sq-AL" w:eastAsia="es-ES"/>
        </w:rPr>
        <w:footnoteReference w:id="114"/>
      </w:r>
      <w:r w:rsidR="00A36696" w:rsidRPr="001C61AE">
        <w:rPr>
          <w:rFonts w:ascii="Arial" w:hAnsi="Arial" w:cs="Arial"/>
          <w:lang w:val="sq-AL" w:eastAsia="es-ES"/>
        </w:rPr>
        <w:t xml:space="preserve"> </w:t>
      </w:r>
      <w:r w:rsidRPr="001C61AE">
        <w:rPr>
          <w:rFonts w:ascii="Arial" w:hAnsi="Arial" w:cs="Arial"/>
          <w:lang w:val="sq-AL" w:eastAsia="es-ES"/>
        </w:rPr>
        <w:t>Nga kjo rritje, rreth 120 miliardë dollarë i atribuohen përmirësimit të disponueshmërisë së të dhënave në sektorët e ndërtesave, infrastrukturës dhe bujqësisë, pylltarisë dhe përdorimit të tokës (AFOLU). Pjesa tjetër prej 187 miliardë dollarësh buron nga rritja e flukseve financiare për sektorët e energjisë dhe transportit. Edhe pse shumica e këtij financimi është e përqendruar në ekonomitë me të ardhura të larta dhe ato në zhvillim, kjo nënvizon rëndësinë në rritje të investimeve private në veprimin global për klimën.</w:t>
      </w:r>
    </w:p>
    <w:p w14:paraId="4EAC3306" w14:textId="6F6D134E" w:rsidR="00A36696" w:rsidRPr="001C61AE" w:rsidRDefault="002D220E" w:rsidP="002D220E">
      <w:pPr>
        <w:spacing w:before="0" w:after="240"/>
        <w:jc w:val="both"/>
        <w:rPr>
          <w:rFonts w:ascii="Arial" w:hAnsi="Arial" w:cs="Arial"/>
          <w:lang w:val="sq-AL" w:eastAsia="es-ES"/>
        </w:rPr>
      </w:pPr>
      <w:r w:rsidRPr="001C61AE">
        <w:rPr>
          <w:rFonts w:ascii="Arial" w:hAnsi="Arial" w:cs="Arial"/>
          <w:lang w:val="sq-AL" w:eastAsia="es-ES"/>
        </w:rPr>
        <w:t>Sektori privat po luan një rol gjithnjë e më të rëndësishëm në financimin e klimës në Kosovë, edhe pse nis nga një bazë relativisht e kufizuar. Sektori bankar komercial, kryesisht në pronësi të huaj, dominon sistemin financiar vendor dhe ka filluar të integrojë qëndrueshmërinë në portofolët e huazimit. Për shembull, ProCredit Bank (e fokusuar te NMVM-të) raportoi se kreditë e saj të gjelbra përbënin gati 17% të portofolit të saj total deri në mars 2022, me synim tejkalimin e 20% deri në fund të atij viti</w:t>
      </w:r>
      <w:r w:rsidR="00E44A4F" w:rsidRPr="001C61AE">
        <w:rPr>
          <w:rFonts w:ascii="Arial" w:hAnsi="Arial" w:cs="Arial"/>
          <w:lang w:val="sq-AL" w:eastAsia="es-ES"/>
        </w:rPr>
        <w:t>.</w:t>
      </w:r>
      <w:r w:rsidR="00A36696" w:rsidRPr="001C61AE">
        <w:rPr>
          <w:rFonts w:ascii="Arial" w:hAnsi="Arial" w:cs="Arial"/>
          <w:vertAlign w:val="superscript"/>
          <w:lang w:val="sq-AL" w:eastAsia="es-ES"/>
        </w:rPr>
        <w:footnoteReference w:id="115"/>
      </w:r>
      <w:r w:rsidR="00A36696" w:rsidRPr="001C61AE">
        <w:rPr>
          <w:rFonts w:ascii="Arial" w:hAnsi="Arial" w:cs="Arial"/>
          <w:lang w:val="sq-AL" w:eastAsia="es-ES"/>
        </w:rPr>
        <w:t xml:space="preserve"> </w:t>
      </w:r>
      <w:r w:rsidRPr="001C61AE">
        <w:rPr>
          <w:rFonts w:ascii="Arial" w:hAnsi="Arial" w:cs="Arial"/>
          <w:lang w:val="sq-AL" w:eastAsia="es-ES"/>
        </w:rPr>
        <w:t>Rreth 80% e këtyre kredive të gjelbra janë ndarë për përmirësime të efiçiencës së energjisë në biznese dhe amvisëri, duke</w:t>
      </w:r>
      <w:r w:rsidR="00A35E95" w:rsidRPr="001C61AE">
        <w:rPr>
          <w:rFonts w:ascii="Arial" w:hAnsi="Arial" w:cs="Arial"/>
          <w:color w:val="FF0000"/>
          <w:lang w:val="sq-AL" w:eastAsia="es-ES"/>
        </w:rPr>
        <w:t xml:space="preserve"> </w:t>
      </w:r>
      <w:r w:rsidR="00FE755E" w:rsidRPr="001C61AE">
        <w:rPr>
          <w:rFonts w:ascii="Arial" w:hAnsi="Arial" w:cs="Arial"/>
          <w:lang w:val="sq-AL" w:eastAsia="es-ES"/>
        </w:rPr>
        <w:t xml:space="preserve">zvogëluar </w:t>
      </w:r>
      <w:r w:rsidRPr="001C61AE">
        <w:rPr>
          <w:rFonts w:ascii="Arial" w:hAnsi="Arial" w:cs="Arial"/>
          <w:lang w:val="sq-AL" w:eastAsia="es-ES"/>
        </w:rPr>
        <w:t>konsumin e energjisë elektrike dhe faturat e shërbimeve</w:t>
      </w:r>
      <w:r w:rsidR="00E44A4F" w:rsidRPr="001C61AE">
        <w:rPr>
          <w:rFonts w:ascii="Arial" w:hAnsi="Arial" w:cs="Arial"/>
          <w:lang w:val="sq-AL" w:eastAsia="es-ES"/>
        </w:rPr>
        <w:t>.</w:t>
      </w:r>
      <w:r w:rsidR="00A36696" w:rsidRPr="001C61AE">
        <w:rPr>
          <w:rFonts w:ascii="Arial" w:hAnsi="Arial" w:cs="Arial"/>
          <w:vertAlign w:val="superscript"/>
          <w:lang w:val="sq-AL" w:eastAsia="es-ES"/>
        </w:rPr>
        <w:footnoteReference w:id="116"/>
      </w:r>
      <w:r w:rsidR="00A36696" w:rsidRPr="001C61AE">
        <w:rPr>
          <w:rFonts w:ascii="Arial" w:hAnsi="Arial" w:cs="Arial"/>
          <w:lang w:val="sq-AL" w:eastAsia="es-ES"/>
        </w:rPr>
        <w:t xml:space="preserve"> </w:t>
      </w:r>
      <w:r w:rsidRPr="001C61AE">
        <w:rPr>
          <w:rFonts w:ascii="Arial" w:hAnsi="Arial" w:cs="Arial"/>
          <w:lang w:val="sq-AL" w:eastAsia="es-ES"/>
        </w:rPr>
        <w:t xml:space="preserve">Banka të tjera komerciale gjithashtu po e zgjerojnë përfshirjen e tyre në financimin e gjelbër me mbështetjen e institucioneve ndërkombëtare. Raiffeisen Bank Kosova, institucioni financiar më i madh në vend, kanalizon financime për projekte të qëndrueshme të NMVM-ve përmes një linje kredie me financim të përzier të ofruar nga BERZH dhe të </w:t>
      </w:r>
      <w:r w:rsidRPr="001C61AE">
        <w:rPr>
          <w:rFonts w:ascii="Arial" w:hAnsi="Arial" w:cs="Arial"/>
          <w:lang w:val="sq-AL" w:eastAsia="es-ES"/>
        </w:rPr>
        <w:lastRenderedPageBreak/>
        <w:t>mbështetur nga incentiva të Bashkimit Evropian</w:t>
      </w:r>
      <w:r w:rsidR="00E44A4F" w:rsidRPr="001C61AE">
        <w:rPr>
          <w:rFonts w:ascii="Arial" w:hAnsi="Arial" w:cs="Arial"/>
          <w:lang w:val="sq-AL" w:eastAsia="es-ES"/>
        </w:rPr>
        <w:t>.</w:t>
      </w:r>
      <w:r w:rsidR="00A36696" w:rsidRPr="001C61AE">
        <w:rPr>
          <w:rFonts w:ascii="Arial" w:hAnsi="Arial" w:cs="Arial"/>
          <w:vertAlign w:val="superscript"/>
          <w:lang w:val="sq-AL" w:eastAsia="es-ES"/>
        </w:rPr>
        <w:footnoteReference w:id="117"/>
      </w:r>
      <w:r w:rsidR="00A36696" w:rsidRPr="001C61AE">
        <w:rPr>
          <w:rFonts w:ascii="Arial" w:hAnsi="Arial" w:cs="Arial"/>
          <w:lang w:val="sq-AL" w:eastAsia="es-ES"/>
        </w:rPr>
        <w:t xml:space="preserve"> </w:t>
      </w:r>
      <w:r w:rsidRPr="001C61AE">
        <w:rPr>
          <w:rFonts w:ascii="Arial" w:hAnsi="Arial" w:cs="Arial"/>
          <w:lang w:val="sq-AL" w:eastAsia="es-ES"/>
        </w:rPr>
        <w:t>Nën këtë skemë, BERZH ka ndarë 5 milionë euro në kredi të gjelbra për NMVM-të vendore në kuadër të programit SME Go Green, të plotësuara me grante nga BE që subvencionojnë një pjesë të investimit (p.sh. deri në 15% të shumës së kredisë pas përfundimit të projekteve të energjisë së rinovueshme) për të nxitur efiçiencën e energjisë dhe iniciativat për energji të pastër</w:t>
      </w:r>
      <w:r w:rsidR="00E44A4F" w:rsidRPr="001C61AE">
        <w:rPr>
          <w:rFonts w:ascii="Arial" w:hAnsi="Arial" w:cs="Arial"/>
          <w:lang w:val="sq-AL" w:eastAsia="es-ES"/>
        </w:rPr>
        <w:t>.</w:t>
      </w:r>
      <w:r w:rsidR="00A36696" w:rsidRPr="001C61AE">
        <w:rPr>
          <w:rFonts w:ascii="Arial" w:hAnsi="Arial" w:cs="Arial"/>
          <w:vertAlign w:val="superscript"/>
          <w:lang w:val="sq-AL" w:eastAsia="es-ES"/>
        </w:rPr>
        <w:footnoteReference w:id="118"/>
      </w:r>
      <w:r w:rsidR="00A36696" w:rsidRPr="001C61AE">
        <w:rPr>
          <w:rFonts w:ascii="Arial" w:hAnsi="Arial" w:cs="Arial"/>
          <w:lang w:val="sq-AL" w:eastAsia="es-ES"/>
        </w:rPr>
        <w:t xml:space="preserve"> </w:t>
      </w:r>
      <w:r w:rsidRPr="001C61AE">
        <w:rPr>
          <w:rFonts w:ascii="Arial" w:hAnsi="Arial" w:cs="Arial"/>
          <w:lang w:val="sq-AL" w:eastAsia="es-ES"/>
        </w:rPr>
        <w:t>Gjithashtu, banka si BKT Kosova kanë marrë mbështetje nga fonde private për investime klimatike: në vitin 2022, Fondi Green for Growth (GGF) miratoi një kredi të nënrenditur prej 7.5 milionë dollarësh amerikanë për të forcuar kapitalin e BKT-së dhe për të zgjeruar portofolin e saj të kredive të gjelbra për kompani dhe amvisëri, me fokus në efiçiencën e burimeve, energjinë dhe energjinë e rinovueshme</w:t>
      </w:r>
      <w:r w:rsidR="00E44A4F" w:rsidRPr="001C61AE">
        <w:rPr>
          <w:rFonts w:ascii="Arial" w:hAnsi="Arial" w:cs="Arial"/>
          <w:lang w:val="sq-AL" w:eastAsia="es-ES"/>
        </w:rPr>
        <w:t>.</w:t>
      </w:r>
      <w:r w:rsidR="00A36696" w:rsidRPr="001C61AE">
        <w:rPr>
          <w:rFonts w:ascii="Arial" w:hAnsi="Arial" w:cs="Arial"/>
          <w:vertAlign w:val="superscript"/>
          <w:lang w:val="sq-AL" w:eastAsia="es-ES"/>
        </w:rPr>
        <w:footnoteReference w:id="119"/>
      </w:r>
      <w:r w:rsidR="00A36696" w:rsidRPr="001C61AE">
        <w:rPr>
          <w:rFonts w:ascii="Arial" w:hAnsi="Arial" w:cs="Arial"/>
          <w:lang w:val="sq-AL" w:eastAsia="es-ES"/>
        </w:rPr>
        <w:t xml:space="preserve"> </w:t>
      </w:r>
      <w:r w:rsidRPr="001C61AE">
        <w:rPr>
          <w:rFonts w:ascii="Arial" w:hAnsi="Arial" w:cs="Arial"/>
          <w:lang w:val="sq-AL" w:eastAsia="es-ES"/>
        </w:rPr>
        <w:t>Këto injeksione kapitali rrisin kapacitetin e sektorit bankar vendor për të financuar projekte klimatike afatgjata në të gjithë vendin</w:t>
      </w:r>
      <w:r w:rsidR="00A36696" w:rsidRPr="001C61AE">
        <w:rPr>
          <w:rFonts w:ascii="Arial" w:hAnsi="Arial" w:cs="Arial"/>
          <w:lang w:val="sq-AL" w:eastAsia="es-ES"/>
        </w:rPr>
        <w:t>.</w:t>
      </w:r>
    </w:p>
    <w:p w14:paraId="6DFFB5A2" w14:textId="4E9F3266" w:rsidR="00A36696" w:rsidRPr="001C61AE" w:rsidRDefault="002D220E" w:rsidP="002D220E">
      <w:pPr>
        <w:spacing w:before="0" w:after="0"/>
        <w:jc w:val="both"/>
        <w:rPr>
          <w:rFonts w:ascii="Arial" w:hAnsi="Arial" w:cs="Arial"/>
          <w:lang w:val="sq-AL"/>
        </w:rPr>
      </w:pPr>
      <w:r w:rsidRPr="001C61AE">
        <w:rPr>
          <w:rFonts w:ascii="Arial" w:hAnsi="Arial" w:cs="Arial"/>
          <w:lang w:val="sq-AL" w:eastAsia="es-ES"/>
        </w:rPr>
        <w:t xml:space="preserve">Korporatat janë gjithashtu një burim i rëndësishëm i financimit privat të klimës. Në nivel global, aktorët korporativë siguruan 192 miliardë dollarë amerikanë në 2021/2022, që përfaqësonin 31% të të gjitha flukseve private. Pjesa më e madhe e këtyre investimeve—91%—ishin të drejtuara drejt energjisë së rinovueshme dhe transportit me emetime të ulëta, me rreth 25% të dedikuara për ndërtesa me </w:t>
      </w:r>
      <w:r w:rsidR="00AF6C69" w:rsidRPr="001C61AE">
        <w:rPr>
          <w:rFonts w:ascii="Arial" w:hAnsi="Arial" w:cs="Arial"/>
          <w:lang w:val="sq-AL" w:eastAsia="es-ES"/>
        </w:rPr>
        <w:t>efiçiencë energjetike</w:t>
      </w:r>
      <w:r w:rsidRPr="001C61AE">
        <w:rPr>
          <w:rFonts w:ascii="Arial" w:hAnsi="Arial" w:cs="Arial"/>
          <w:lang w:val="sq-AL" w:eastAsia="es-ES"/>
        </w:rPr>
        <w:t xml:space="preserve"> dhe infrastrukturë të qëndrueshme</w:t>
      </w:r>
      <w:r w:rsidR="00E44A4F" w:rsidRPr="001C61AE">
        <w:rPr>
          <w:rFonts w:ascii="Arial" w:hAnsi="Arial" w:cs="Arial"/>
          <w:lang w:val="sq-AL" w:eastAsia="es-ES"/>
        </w:rPr>
        <w:t>.</w:t>
      </w:r>
      <w:r w:rsidR="00A36696" w:rsidRPr="001C61AE">
        <w:rPr>
          <w:rFonts w:ascii="Arial" w:hAnsi="Arial" w:cs="Arial"/>
          <w:vertAlign w:val="superscript"/>
          <w:lang w:val="sq-AL" w:eastAsia="es-ES"/>
        </w:rPr>
        <w:footnoteReference w:id="120"/>
      </w:r>
      <w:r w:rsidR="00A36696" w:rsidRPr="001C61AE" w:rsidDel="00E00925">
        <w:rPr>
          <w:rFonts w:ascii="Arial" w:hAnsi="Arial" w:cs="Arial"/>
          <w:lang w:val="sq-AL" w:eastAsia="es-ES"/>
        </w:rPr>
        <w:t xml:space="preserve"> </w:t>
      </w:r>
      <w:r w:rsidRPr="001C61AE">
        <w:rPr>
          <w:rFonts w:ascii="Arial" w:hAnsi="Arial" w:cs="Arial"/>
          <w:lang w:val="sq-AL" w:eastAsia="es-ES"/>
        </w:rPr>
        <w:t>Në Shqipëri, ndërsa investimet klimatike të drejtuara nga korporatat janë ende në fazat e hershme, disa kompani vendore në sektorët e ndërtimit, turizmit dhe energjisë kanë filluar të integrojnë konsiderata të qëndrueshmërisë në operacionet e tyre. Megjithatë, mbetet nevoja për të përmirësuar mjedisin mundësues—përmes stimujve rregullatorë, asistencës teknike dhe qasjes në instrumente financimi të gjelbër—për të nxitur përfshirjen më të madhe të sektorit privat në zbutjen e ndryshimeve klimatike dhe përshtatjen ndaj tyre. Sektori privat përfshin një grup shumë të larmishëm aktorësh joqeveritarë, si</w:t>
      </w:r>
      <w:r w:rsidR="00A36696" w:rsidRPr="001C61AE">
        <w:rPr>
          <w:rFonts w:ascii="Arial" w:hAnsi="Arial" w:cs="Arial"/>
          <w:lang w:val="sq-AL"/>
        </w:rPr>
        <w:t>:</w:t>
      </w:r>
    </w:p>
    <w:p w14:paraId="05E7ED02" w14:textId="6D4D09D6" w:rsidR="00A36696" w:rsidRPr="001C61AE" w:rsidRDefault="00A36696" w:rsidP="00A36696">
      <w:pPr>
        <w:spacing w:before="0" w:after="0" w:line="240" w:lineRule="auto"/>
        <w:jc w:val="right"/>
        <w:rPr>
          <w:rFonts w:ascii="Arial" w:eastAsia="SimSun" w:hAnsi="Arial" w:cs="Arial"/>
          <w:i/>
          <w:iCs/>
          <w:kern w:val="0"/>
          <w:sz w:val="20"/>
          <w:szCs w:val="20"/>
          <w:lang w:val="sq-AL"/>
          <w14:ligatures w14:val="none"/>
        </w:rPr>
      </w:pPr>
    </w:p>
    <w:p w14:paraId="312CF7BE" w14:textId="704153D6" w:rsidR="0097040B" w:rsidRPr="001C61AE" w:rsidRDefault="0097040B" w:rsidP="00C65386">
      <w:pPr>
        <w:pStyle w:val="Caption"/>
        <w:keepNext/>
        <w:rPr>
          <w:rFonts w:ascii="Arial" w:hAnsi="Arial" w:cs="Arial"/>
        </w:rPr>
      </w:pPr>
      <w:bookmarkStart w:id="118" w:name="_Toc211532735"/>
      <w:r w:rsidRPr="001C61AE">
        <w:rPr>
          <w:rFonts w:ascii="Arial" w:hAnsi="Arial" w:cs="Arial"/>
        </w:rPr>
        <w:t xml:space="preserve">Tabela </w:t>
      </w:r>
      <w:r w:rsidRPr="001C61AE">
        <w:rPr>
          <w:rFonts w:ascii="Arial" w:hAnsi="Arial" w:cs="Arial"/>
        </w:rPr>
        <w:fldChar w:fldCharType="begin"/>
      </w:r>
      <w:r w:rsidRPr="001C61AE">
        <w:rPr>
          <w:rFonts w:ascii="Arial" w:hAnsi="Arial" w:cs="Arial"/>
        </w:rPr>
        <w:instrText xml:space="preserve"> SEQ Tabela \* ARABIC </w:instrText>
      </w:r>
      <w:r w:rsidRPr="001C61AE">
        <w:rPr>
          <w:rFonts w:ascii="Arial" w:hAnsi="Arial" w:cs="Arial"/>
        </w:rPr>
        <w:fldChar w:fldCharType="separate"/>
      </w:r>
      <w:r w:rsidR="00C62DE9">
        <w:rPr>
          <w:rFonts w:ascii="Arial" w:hAnsi="Arial" w:cs="Arial"/>
          <w:noProof/>
        </w:rPr>
        <w:t>8</w:t>
      </w:r>
      <w:r w:rsidRPr="001C61AE">
        <w:rPr>
          <w:rFonts w:ascii="Arial" w:hAnsi="Arial" w:cs="Arial"/>
          <w:noProof/>
        </w:rPr>
        <w:fldChar w:fldCharType="end"/>
      </w:r>
      <w:r w:rsidRPr="001C61AE">
        <w:rPr>
          <w:rFonts w:ascii="Arial" w:hAnsi="Arial" w:cs="Arial"/>
        </w:rPr>
        <w:t>. Burimet private të financimit në Kosovë, tabela përmbledhëse</w:t>
      </w:r>
      <w:bookmarkEnd w:id="118"/>
    </w:p>
    <w:tbl>
      <w:tblPr>
        <w:tblStyle w:val="GridTable1Light-Accent51"/>
        <w:tblW w:w="5000" w:type="pct"/>
        <w:jc w:val="center"/>
        <w:tblBorders>
          <w:top w:val="none" w:sz="0" w:space="0" w:color="auto"/>
          <w:left w:val="none" w:sz="0" w:space="0" w:color="auto"/>
          <w:bottom w:val="none" w:sz="0" w:space="0" w:color="auto"/>
          <w:right w:val="none" w:sz="0" w:space="0" w:color="auto"/>
          <w:insideH w:val="single" w:sz="4" w:space="0" w:color="3EA9AC"/>
          <w:insideV w:val="single" w:sz="4" w:space="0" w:color="3EA9AC"/>
        </w:tblBorders>
        <w:tblLook w:val="0400" w:firstRow="0" w:lastRow="0" w:firstColumn="0" w:lastColumn="0" w:noHBand="0" w:noVBand="1"/>
      </w:tblPr>
      <w:tblGrid>
        <w:gridCol w:w="2378"/>
        <w:gridCol w:w="7828"/>
      </w:tblGrid>
      <w:tr w:rsidR="00A36696" w:rsidRPr="001C61AE" w14:paraId="5312F850" w14:textId="77777777" w:rsidTr="00A70686">
        <w:trPr>
          <w:trHeight w:val="24"/>
          <w:jc w:val="center"/>
        </w:trPr>
        <w:tc>
          <w:tcPr>
            <w:tcW w:w="1165" w:type="pct"/>
            <w:shd w:val="clear" w:color="auto" w:fill="215A5C"/>
            <w:vAlign w:val="center"/>
            <w:hideMark/>
          </w:tcPr>
          <w:p w14:paraId="2D7C2199" w14:textId="309B989E" w:rsidR="00A36696" w:rsidRPr="001C61AE" w:rsidRDefault="00017ED1" w:rsidP="00A36696">
            <w:pPr>
              <w:spacing w:before="0" w:after="160" w:line="240" w:lineRule="auto"/>
              <w:jc w:val="center"/>
              <w:rPr>
                <w:rFonts w:ascii="Arial" w:hAnsi="Arial" w:cs="Arial"/>
                <w:b/>
                <w:bCs/>
                <w:color w:val="FFFFFF" w:themeColor="background1"/>
                <w:sz w:val="18"/>
                <w:szCs w:val="18"/>
                <w:lang w:val="sq-AL"/>
              </w:rPr>
            </w:pPr>
            <w:r w:rsidRPr="001C61AE">
              <w:rPr>
                <w:rFonts w:ascii="Arial" w:hAnsi="Arial" w:cs="Arial"/>
                <w:b/>
                <w:bCs/>
                <w:color w:val="FFFFFF" w:themeColor="background1"/>
                <w:sz w:val="18"/>
                <w:szCs w:val="18"/>
                <w:lang w:val="sq-AL"/>
              </w:rPr>
              <w:t>Bankat komerciale</w:t>
            </w:r>
          </w:p>
        </w:tc>
        <w:tc>
          <w:tcPr>
            <w:tcW w:w="3835" w:type="pct"/>
            <w:noWrap/>
            <w:vAlign w:val="center"/>
            <w:hideMark/>
          </w:tcPr>
          <w:p w14:paraId="0E21A315" w14:textId="77777777" w:rsidR="00A36696" w:rsidRPr="001C61AE" w:rsidRDefault="00A36696" w:rsidP="00F36447">
            <w:pPr>
              <w:numPr>
                <w:ilvl w:val="0"/>
                <w:numId w:val="18"/>
              </w:numPr>
              <w:spacing w:before="0" w:line="240" w:lineRule="auto"/>
              <w:rPr>
                <w:rFonts w:ascii="Arial" w:eastAsia="SimSun" w:hAnsi="Arial" w:cs="Arial"/>
                <w:sz w:val="18"/>
                <w:szCs w:val="18"/>
                <w:lang w:val="sq-AL"/>
              </w:rPr>
            </w:pPr>
            <w:r w:rsidRPr="001C61AE">
              <w:rPr>
                <w:rFonts w:ascii="Arial" w:eastAsia="SimSun" w:hAnsi="Arial" w:cs="Arial"/>
                <w:sz w:val="18"/>
                <w:szCs w:val="18"/>
                <w:lang w:val="sq-AL"/>
              </w:rPr>
              <w:t>Raiffeisen Bank</w:t>
            </w:r>
          </w:p>
          <w:p w14:paraId="3B7A0E75" w14:textId="77777777" w:rsidR="00A36696" w:rsidRPr="001C61AE" w:rsidRDefault="00A36696" w:rsidP="00F36447">
            <w:pPr>
              <w:numPr>
                <w:ilvl w:val="0"/>
                <w:numId w:val="18"/>
              </w:numPr>
              <w:spacing w:before="0" w:line="240" w:lineRule="auto"/>
              <w:rPr>
                <w:rFonts w:ascii="Arial" w:eastAsia="SimSun" w:hAnsi="Arial" w:cs="Arial"/>
                <w:sz w:val="18"/>
                <w:szCs w:val="18"/>
                <w:lang w:val="sq-AL"/>
              </w:rPr>
            </w:pPr>
            <w:r w:rsidRPr="001C61AE">
              <w:rPr>
                <w:rFonts w:ascii="Arial" w:eastAsia="SimSun" w:hAnsi="Arial" w:cs="Arial"/>
                <w:sz w:val="18"/>
                <w:szCs w:val="18"/>
                <w:lang w:val="sq-AL"/>
              </w:rPr>
              <w:t>ProCredit Bank</w:t>
            </w:r>
          </w:p>
          <w:p w14:paraId="54897053" w14:textId="77777777" w:rsidR="00A36696" w:rsidRPr="001C61AE" w:rsidRDefault="00A36696" w:rsidP="00F36447">
            <w:pPr>
              <w:numPr>
                <w:ilvl w:val="0"/>
                <w:numId w:val="18"/>
              </w:numPr>
              <w:spacing w:before="0" w:line="240" w:lineRule="auto"/>
              <w:rPr>
                <w:rFonts w:ascii="Arial" w:eastAsia="SimSun" w:hAnsi="Arial" w:cs="Arial"/>
                <w:sz w:val="18"/>
                <w:szCs w:val="18"/>
                <w:lang w:val="sq-AL"/>
              </w:rPr>
            </w:pPr>
            <w:r w:rsidRPr="001C61AE">
              <w:rPr>
                <w:rFonts w:ascii="Arial" w:eastAsia="SimSun" w:hAnsi="Arial" w:cs="Arial"/>
                <w:sz w:val="18"/>
                <w:szCs w:val="18"/>
                <w:lang w:val="sq-AL"/>
              </w:rPr>
              <w:t>NLB Banka Prishtina</w:t>
            </w:r>
          </w:p>
          <w:p w14:paraId="37A7077B" w14:textId="77777777" w:rsidR="00A36696" w:rsidRPr="001C61AE" w:rsidRDefault="00A36696" w:rsidP="00F36447">
            <w:pPr>
              <w:numPr>
                <w:ilvl w:val="0"/>
                <w:numId w:val="18"/>
              </w:numPr>
              <w:spacing w:before="0" w:line="240" w:lineRule="auto"/>
              <w:rPr>
                <w:rFonts w:ascii="Arial" w:eastAsia="SimSun" w:hAnsi="Arial" w:cs="Arial"/>
                <w:sz w:val="18"/>
                <w:szCs w:val="18"/>
                <w:lang w:val="sq-AL"/>
              </w:rPr>
            </w:pPr>
            <w:r w:rsidRPr="001C61AE">
              <w:rPr>
                <w:rFonts w:ascii="Arial" w:eastAsia="SimSun" w:hAnsi="Arial" w:cs="Arial"/>
                <w:sz w:val="18"/>
                <w:szCs w:val="18"/>
                <w:lang w:val="sq-AL"/>
              </w:rPr>
              <w:t>Banka Kombëtare Tregtare (BKT)</w:t>
            </w:r>
          </w:p>
          <w:p w14:paraId="1DD6BFAB" w14:textId="77777777" w:rsidR="00A36696" w:rsidRPr="001C61AE" w:rsidRDefault="00A36696" w:rsidP="00F36447">
            <w:pPr>
              <w:numPr>
                <w:ilvl w:val="0"/>
                <w:numId w:val="18"/>
              </w:numPr>
              <w:spacing w:before="0" w:line="240" w:lineRule="auto"/>
              <w:rPr>
                <w:rFonts w:ascii="Arial" w:eastAsia="SimSun" w:hAnsi="Arial" w:cs="Arial"/>
                <w:sz w:val="18"/>
                <w:szCs w:val="18"/>
                <w:lang w:val="sq-AL"/>
              </w:rPr>
            </w:pPr>
            <w:r w:rsidRPr="001C61AE">
              <w:rPr>
                <w:rFonts w:ascii="Arial" w:eastAsia="SimSun" w:hAnsi="Arial" w:cs="Arial"/>
                <w:sz w:val="18"/>
                <w:szCs w:val="18"/>
                <w:lang w:val="sq-AL"/>
              </w:rPr>
              <w:t>Banka Ekonomike</w:t>
            </w:r>
          </w:p>
          <w:p w14:paraId="5283CF9F" w14:textId="77777777" w:rsidR="00A36696" w:rsidRPr="001C61AE" w:rsidRDefault="00A36696" w:rsidP="00F36447">
            <w:pPr>
              <w:numPr>
                <w:ilvl w:val="0"/>
                <w:numId w:val="18"/>
              </w:numPr>
              <w:spacing w:before="0" w:line="240" w:lineRule="auto"/>
              <w:rPr>
                <w:rFonts w:ascii="Arial" w:eastAsia="SimSun" w:hAnsi="Arial" w:cs="Arial"/>
                <w:sz w:val="18"/>
                <w:szCs w:val="18"/>
                <w:lang w:val="sq-AL"/>
              </w:rPr>
            </w:pPr>
            <w:r w:rsidRPr="001C61AE">
              <w:rPr>
                <w:rFonts w:ascii="Arial" w:eastAsia="SimSun" w:hAnsi="Arial" w:cs="Arial"/>
                <w:sz w:val="18"/>
                <w:szCs w:val="18"/>
                <w:lang w:val="sq-AL"/>
              </w:rPr>
              <w:t>Banka për Biznes</w:t>
            </w:r>
          </w:p>
          <w:p w14:paraId="25C0F210" w14:textId="77777777" w:rsidR="00A36696" w:rsidRPr="001C61AE" w:rsidRDefault="00A36696" w:rsidP="00F36447">
            <w:pPr>
              <w:numPr>
                <w:ilvl w:val="0"/>
                <w:numId w:val="18"/>
              </w:numPr>
              <w:spacing w:before="0" w:line="240" w:lineRule="auto"/>
              <w:rPr>
                <w:rFonts w:ascii="Arial" w:eastAsia="SimSun" w:hAnsi="Arial" w:cs="Arial"/>
                <w:sz w:val="18"/>
                <w:szCs w:val="18"/>
                <w:lang w:val="sq-AL"/>
              </w:rPr>
            </w:pPr>
            <w:r w:rsidRPr="001C61AE">
              <w:rPr>
                <w:rFonts w:ascii="Arial" w:eastAsia="SimSun" w:hAnsi="Arial" w:cs="Arial"/>
                <w:sz w:val="18"/>
                <w:szCs w:val="18"/>
                <w:lang w:val="sq-AL"/>
              </w:rPr>
              <w:t>TEB SH.A.</w:t>
            </w:r>
          </w:p>
          <w:p w14:paraId="7613077B" w14:textId="77777777" w:rsidR="00A36696" w:rsidRPr="001C61AE" w:rsidRDefault="00A36696" w:rsidP="00F36447">
            <w:pPr>
              <w:numPr>
                <w:ilvl w:val="0"/>
                <w:numId w:val="18"/>
              </w:numPr>
              <w:spacing w:before="0" w:line="240" w:lineRule="auto"/>
              <w:rPr>
                <w:rFonts w:ascii="Arial" w:eastAsia="SimSun" w:hAnsi="Arial" w:cs="Arial"/>
                <w:sz w:val="18"/>
                <w:szCs w:val="18"/>
                <w:lang w:val="sq-AL"/>
              </w:rPr>
            </w:pPr>
            <w:r w:rsidRPr="001C61AE">
              <w:rPr>
                <w:rFonts w:ascii="Arial" w:eastAsia="SimSun" w:hAnsi="Arial" w:cs="Arial"/>
                <w:sz w:val="18"/>
                <w:szCs w:val="18"/>
                <w:lang w:val="sq-AL"/>
              </w:rPr>
              <w:t>Türkiye İş Bankası</w:t>
            </w:r>
          </w:p>
        </w:tc>
      </w:tr>
      <w:tr w:rsidR="00A36696" w:rsidRPr="001C61AE" w14:paraId="62BDA1FB" w14:textId="77777777" w:rsidTr="00A70686">
        <w:trPr>
          <w:trHeight w:val="1587"/>
          <w:jc w:val="center"/>
        </w:trPr>
        <w:tc>
          <w:tcPr>
            <w:tcW w:w="1165" w:type="pct"/>
            <w:shd w:val="clear" w:color="auto" w:fill="215A5C"/>
            <w:vAlign w:val="center"/>
          </w:tcPr>
          <w:p w14:paraId="19CCEE01" w14:textId="1D4EEA43" w:rsidR="00A36696" w:rsidRPr="001C61AE" w:rsidRDefault="00017ED1" w:rsidP="00017ED1">
            <w:pPr>
              <w:spacing w:before="0" w:line="240" w:lineRule="auto"/>
              <w:jc w:val="center"/>
              <w:rPr>
                <w:rFonts w:ascii="Arial" w:hAnsi="Arial" w:cs="Arial"/>
                <w:b/>
                <w:bCs/>
                <w:color w:val="FFFFFF" w:themeColor="background1"/>
                <w:sz w:val="18"/>
                <w:szCs w:val="18"/>
                <w:lang w:val="sq-AL"/>
              </w:rPr>
            </w:pPr>
            <w:r w:rsidRPr="001C61AE">
              <w:rPr>
                <w:rFonts w:ascii="Arial" w:hAnsi="Arial" w:cs="Arial"/>
                <w:b/>
                <w:bCs/>
                <w:color w:val="FFFFFF" w:themeColor="background1"/>
                <w:sz w:val="18"/>
                <w:szCs w:val="18"/>
                <w:lang w:val="sq-AL"/>
              </w:rPr>
              <w:t>Institucionet e mikrofinancës dhe institucionet financiare jobankare (IFJ)</w:t>
            </w:r>
          </w:p>
        </w:tc>
        <w:tc>
          <w:tcPr>
            <w:tcW w:w="3835" w:type="pct"/>
            <w:noWrap/>
            <w:vAlign w:val="center"/>
          </w:tcPr>
          <w:p w14:paraId="65D36724" w14:textId="77777777" w:rsidR="00A36696" w:rsidRPr="001C61AE" w:rsidRDefault="00A36696" w:rsidP="00F36447">
            <w:pPr>
              <w:numPr>
                <w:ilvl w:val="0"/>
                <w:numId w:val="19"/>
              </w:numPr>
              <w:spacing w:before="0" w:line="240" w:lineRule="auto"/>
              <w:contextualSpacing/>
              <w:jc w:val="both"/>
              <w:rPr>
                <w:rFonts w:ascii="Arial" w:hAnsi="Arial" w:cs="Arial"/>
                <w:sz w:val="18"/>
                <w:szCs w:val="18"/>
                <w:lang w:val="sq-AL"/>
              </w:rPr>
            </w:pPr>
            <w:r w:rsidRPr="001C61AE">
              <w:rPr>
                <w:rFonts w:ascii="Arial" w:eastAsia="Times New Roman" w:hAnsi="Arial" w:cs="Arial"/>
                <w:sz w:val="18"/>
                <w:szCs w:val="18"/>
                <w:lang w:val="sq-AL" w:eastAsia="es-ES"/>
              </w:rPr>
              <w:t xml:space="preserve"> Kreditimi Rural i Kosovës (KRK)</w:t>
            </w:r>
            <w:r w:rsidRPr="001C61AE">
              <w:rPr>
                <w:rFonts w:ascii="Arial" w:eastAsia="Times New Roman" w:hAnsi="Arial" w:cs="Arial"/>
                <w:sz w:val="18"/>
                <w:szCs w:val="18"/>
                <w:vertAlign w:val="superscript"/>
                <w:lang w:val="sq-AL" w:eastAsia="es-ES"/>
              </w:rPr>
              <w:footnoteReference w:id="121"/>
            </w:r>
          </w:p>
          <w:p w14:paraId="7A28B48E" w14:textId="77777777" w:rsidR="00A36696" w:rsidRPr="001C61AE" w:rsidRDefault="00A36696" w:rsidP="00F36447">
            <w:pPr>
              <w:numPr>
                <w:ilvl w:val="0"/>
                <w:numId w:val="19"/>
              </w:numPr>
              <w:spacing w:before="0" w:line="240" w:lineRule="auto"/>
              <w:contextualSpacing/>
              <w:jc w:val="both"/>
              <w:rPr>
                <w:rFonts w:ascii="Arial" w:hAnsi="Arial" w:cs="Arial"/>
                <w:sz w:val="18"/>
                <w:szCs w:val="18"/>
                <w:lang w:val="sq-AL"/>
              </w:rPr>
            </w:pPr>
            <w:r w:rsidRPr="001C61AE">
              <w:rPr>
                <w:rFonts w:ascii="Arial" w:eastAsia="Times New Roman" w:hAnsi="Arial" w:cs="Arial"/>
                <w:sz w:val="18"/>
                <w:szCs w:val="18"/>
                <w:lang w:val="sq-AL" w:eastAsia="es-ES"/>
              </w:rPr>
              <w:t>FINCA Kosovo</w:t>
            </w:r>
          </w:p>
          <w:p w14:paraId="06A39BAF" w14:textId="77777777" w:rsidR="00A36696" w:rsidRPr="001C61AE" w:rsidRDefault="00A36696" w:rsidP="00F36447">
            <w:pPr>
              <w:numPr>
                <w:ilvl w:val="0"/>
                <w:numId w:val="19"/>
              </w:numPr>
              <w:spacing w:before="0" w:line="240" w:lineRule="auto"/>
              <w:contextualSpacing/>
              <w:jc w:val="both"/>
              <w:rPr>
                <w:rFonts w:ascii="Arial" w:hAnsi="Arial" w:cs="Arial"/>
                <w:sz w:val="18"/>
                <w:szCs w:val="18"/>
                <w:lang w:val="sq-AL"/>
              </w:rPr>
            </w:pPr>
            <w:r w:rsidRPr="001C61AE">
              <w:rPr>
                <w:rFonts w:ascii="Arial" w:eastAsia="Times New Roman" w:hAnsi="Arial" w:cs="Arial"/>
                <w:sz w:val="18"/>
                <w:szCs w:val="18"/>
                <w:lang w:val="sq-AL" w:eastAsia="es-ES"/>
              </w:rPr>
              <w:t>KosInvest</w:t>
            </w:r>
          </w:p>
          <w:p w14:paraId="4D9831DC" w14:textId="77777777" w:rsidR="00A36696" w:rsidRPr="001C61AE" w:rsidRDefault="00A36696" w:rsidP="00F36447">
            <w:pPr>
              <w:numPr>
                <w:ilvl w:val="0"/>
                <w:numId w:val="19"/>
              </w:numPr>
              <w:spacing w:before="0" w:line="240" w:lineRule="auto"/>
              <w:contextualSpacing/>
              <w:jc w:val="both"/>
              <w:rPr>
                <w:rFonts w:ascii="Arial" w:hAnsi="Arial" w:cs="Arial"/>
                <w:sz w:val="18"/>
                <w:szCs w:val="18"/>
                <w:lang w:val="sq-AL"/>
              </w:rPr>
            </w:pPr>
            <w:r w:rsidRPr="001C61AE">
              <w:rPr>
                <w:rFonts w:ascii="Arial" w:eastAsia="Times New Roman" w:hAnsi="Arial" w:cs="Arial"/>
                <w:sz w:val="18"/>
                <w:szCs w:val="18"/>
                <w:lang w:val="sq-AL" w:eastAsia="es-ES"/>
              </w:rPr>
              <w:t>luteCredit Kosovo</w:t>
            </w:r>
          </w:p>
        </w:tc>
      </w:tr>
    </w:tbl>
    <w:p w14:paraId="1FFC0AF4" w14:textId="77777777" w:rsidR="00A36696" w:rsidRPr="001C61AE" w:rsidRDefault="00A36696" w:rsidP="00A36696">
      <w:pPr>
        <w:spacing w:before="0" w:after="0" w:line="256" w:lineRule="auto"/>
        <w:jc w:val="both"/>
        <w:rPr>
          <w:rFonts w:ascii="Arial" w:hAnsi="Arial" w:cs="Arial"/>
          <w:sz w:val="20"/>
          <w:szCs w:val="24"/>
          <w:lang w:val="sq-AL"/>
        </w:rPr>
      </w:pPr>
    </w:p>
    <w:p w14:paraId="233CF448" w14:textId="1EFB0250" w:rsidR="00A36696" w:rsidRPr="001C61AE" w:rsidRDefault="002D220E" w:rsidP="002D220E">
      <w:pPr>
        <w:keepNext/>
        <w:shd w:val="clear" w:color="auto" w:fill="215A5C"/>
        <w:tabs>
          <w:tab w:val="left" w:pos="2554"/>
        </w:tabs>
        <w:spacing w:before="0" w:line="257" w:lineRule="auto"/>
        <w:jc w:val="both"/>
        <w:rPr>
          <w:rFonts w:ascii="Arial" w:hAnsi="Arial" w:cs="Arial"/>
          <w:b/>
          <w:bCs/>
          <w:color w:val="FFFFFF" w:themeColor="background1"/>
          <w:sz w:val="20"/>
          <w:szCs w:val="24"/>
          <w:lang w:val="sq-AL"/>
        </w:rPr>
      </w:pPr>
      <w:r w:rsidRPr="001C61AE">
        <w:rPr>
          <w:rFonts w:ascii="Arial" w:hAnsi="Arial" w:cs="Arial"/>
          <w:b/>
          <w:bCs/>
          <w:color w:val="FFFFFF" w:themeColor="background1"/>
          <w:szCs w:val="28"/>
          <w:lang w:val="sq-AL"/>
        </w:rPr>
        <w:t>Bankat Komerciale</w:t>
      </w:r>
      <w:r w:rsidR="00A36696" w:rsidRPr="001C61AE">
        <w:rPr>
          <w:rFonts w:ascii="Arial" w:hAnsi="Arial" w:cs="Arial"/>
          <w:b/>
          <w:bCs/>
          <w:color w:val="FFFFFF" w:themeColor="background1"/>
          <w:sz w:val="20"/>
          <w:szCs w:val="24"/>
          <w:lang w:val="sq-AL"/>
        </w:rPr>
        <w:tab/>
      </w:r>
    </w:p>
    <w:p w14:paraId="74742620" w14:textId="59AE6533" w:rsidR="00A36696" w:rsidRPr="001C61AE" w:rsidRDefault="002D220E" w:rsidP="002D220E">
      <w:pPr>
        <w:spacing w:before="160"/>
        <w:jc w:val="both"/>
        <w:rPr>
          <w:rFonts w:ascii="Arial" w:hAnsi="Arial" w:cs="Arial"/>
          <w:szCs w:val="28"/>
          <w:highlight w:val="yellow"/>
          <w:lang w:val="sq-AL" w:eastAsia="es-ES"/>
        </w:rPr>
      </w:pPr>
      <w:r w:rsidRPr="001C61AE">
        <w:rPr>
          <w:rFonts w:ascii="Arial" w:hAnsi="Arial" w:cs="Arial"/>
          <w:szCs w:val="28"/>
          <w:lang w:val="sq-AL" w:eastAsia="es-ES"/>
        </w:rPr>
        <w:t xml:space="preserve">Bankat komerciale në Kosovë—si Raiffeisen Bank, ProCredit Bank, NLB Banka Prishtina, Banka Kombëtare Tregtare (BKT), Banka Ekonomike, Banka për Biznes, TEB Sh.A., dhe Türkiye İş Bankası—po shfaqen gradualisht si aktorë relevantë në peizazhin e financimit klimatik në vend. Disa prej këtyre institucioneve, veçanërisht Raiffeisen, ProCredit dhe NLB, kanë bashkëpunuar me institucione financiare </w:t>
      </w:r>
      <w:r w:rsidRPr="001C61AE">
        <w:rPr>
          <w:rFonts w:ascii="Arial" w:hAnsi="Arial" w:cs="Arial"/>
          <w:szCs w:val="28"/>
          <w:lang w:val="sq-AL" w:eastAsia="es-ES"/>
        </w:rPr>
        <w:lastRenderedPageBreak/>
        <w:t>ndërkombëtare si Banka Evropiane për Rindërtim dhe Zhvillim (BERZH) dhe Korporata Ndërkombëtare Financiare (IFC) për të ofruar linja kredie të gjelbra dhe instrumente financimi që synojnë efiçiencën e energjisë, energjinë e rinovueshme dhe bujqësinë e qëndrueshme</w:t>
      </w:r>
      <w:r w:rsidR="00B62004" w:rsidRPr="001C61AE">
        <w:rPr>
          <w:rFonts w:ascii="Arial" w:hAnsi="Arial" w:cs="Arial"/>
          <w:szCs w:val="28"/>
          <w:lang w:val="sq-AL" w:eastAsia="es-ES"/>
        </w:rPr>
        <w:t>.</w:t>
      </w:r>
      <w:r w:rsidR="00A36696" w:rsidRPr="001C61AE">
        <w:rPr>
          <w:rFonts w:ascii="Arial" w:hAnsi="Arial" w:cs="Arial"/>
          <w:szCs w:val="28"/>
          <w:vertAlign w:val="superscript"/>
          <w:lang w:val="sq-AL" w:eastAsia="es-ES"/>
        </w:rPr>
        <w:footnoteReference w:id="122"/>
      </w:r>
      <w:r w:rsidR="00A36696" w:rsidRPr="001C61AE">
        <w:rPr>
          <w:rFonts w:ascii="Arial" w:hAnsi="Arial" w:cs="Arial"/>
          <w:szCs w:val="28"/>
          <w:lang w:val="sq-AL" w:eastAsia="es-ES"/>
        </w:rPr>
        <w:t xml:space="preserve"> </w:t>
      </w:r>
      <w:r w:rsidRPr="001C61AE">
        <w:rPr>
          <w:rFonts w:ascii="Arial" w:hAnsi="Arial" w:cs="Arial"/>
          <w:szCs w:val="28"/>
          <w:lang w:val="sq-AL" w:eastAsia="es-ES"/>
        </w:rPr>
        <w:t xml:space="preserve">Për shembull, ProCredit Bank dhe NLB kanë zbatuar linja kredie të mbështetura nga BERZH të dedikuara për financimin e sistemeve diellore në çati dhe pajisjeve me </w:t>
      </w:r>
      <w:r w:rsidR="00AF6C69" w:rsidRPr="001C61AE">
        <w:rPr>
          <w:rFonts w:ascii="Arial" w:hAnsi="Arial" w:cs="Arial"/>
          <w:szCs w:val="28"/>
          <w:lang w:val="sq-AL" w:eastAsia="es-ES"/>
        </w:rPr>
        <w:t>efiçiencë energjetike</w:t>
      </w:r>
      <w:r w:rsidRPr="001C61AE">
        <w:rPr>
          <w:rFonts w:ascii="Arial" w:hAnsi="Arial" w:cs="Arial"/>
          <w:szCs w:val="28"/>
          <w:lang w:val="sq-AL" w:eastAsia="es-ES"/>
        </w:rPr>
        <w:t xml:space="preserve"> për amvisëri dhe biznese të vogla</w:t>
      </w:r>
      <w:r w:rsidR="00B62004" w:rsidRPr="001C61AE">
        <w:rPr>
          <w:rFonts w:ascii="Arial" w:hAnsi="Arial" w:cs="Arial"/>
          <w:szCs w:val="28"/>
          <w:lang w:val="sq-AL" w:eastAsia="es-ES"/>
        </w:rPr>
        <w:t>.</w:t>
      </w:r>
      <w:r w:rsidR="00A36696" w:rsidRPr="001C61AE">
        <w:rPr>
          <w:rFonts w:ascii="Arial" w:hAnsi="Arial" w:cs="Arial"/>
          <w:szCs w:val="28"/>
          <w:vertAlign w:val="superscript"/>
          <w:lang w:val="sq-AL" w:eastAsia="es-ES"/>
        </w:rPr>
        <w:footnoteReference w:id="123"/>
      </w:r>
      <w:r w:rsidRPr="001C61AE">
        <w:rPr>
          <w:rFonts w:ascii="Arial" w:hAnsi="Arial" w:cs="Arial"/>
          <w:szCs w:val="28"/>
          <w:lang w:val="sq-AL" w:eastAsia="es-ES"/>
        </w:rPr>
        <w:t>Po ashtu, BKT, Banka për Biznes dhe TEB Sh.A. kanë marrë pjesë në iniciativa të mbështetura nga IFC për leasing dhe huadhënie në teknologji të pastra, shpesh të mbështetura nga instrumente për uljen e rrezikut, si garancitë apo asistenca teknike</w:t>
      </w:r>
      <w:r w:rsidR="005A1944" w:rsidRPr="001C61AE">
        <w:rPr>
          <w:rFonts w:ascii="Arial" w:hAnsi="Arial" w:cs="Arial"/>
          <w:szCs w:val="28"/>
          <w:lang w:val="sq-AL" w:eastAsia="es-ES"/>
        </w:rPr>
        <w:t>.</w:t>
      </w:r>
      <w:r w:rsidR="00A36696" w:rsidRPr="001C61AE">
        <w:rPr>
          <w:rFonts w:ascii="Arial" w:hAnsi="Arial" w:cs="Arial"/>
          <w:szCs w:val="28"/>
          <w:vertAlign w:val="superscript"/>
          <w:lang w:val="sq-AL" w:eastAsia="es-ES"/>
        </w:rPr>
        <w:footnoteReference w:id="124"/>
      </w:r>
      <w:r w:rsidR="00A36696" w:rsidRPr="001C61AE">
        <w:rPr>
          <w:rFonts w:ascii="Arial" w:hAnsi="Arial" w:cs="Arial"/>
          <w:szCs w:val="28"/>
          <w:lang w:val="sq-AL" w:eastAsia="es-ES"/>
        </w:rPr>
        <w:t xml:space="preserve"> </w:t>
      </w:r>
      <w:r w:rsidRPr="001C61AE">
        <w:rPr>
          <w:rFonts w:ascii="Arial" w:hAnsi="Arial" w:cs="Arial"/>
          <w:szCs w:val="28"/>
          <w:lang w:val="sq-AL" w:eastAsia="es-ES"/>
        </w:rPr>
        <w:t>Pavarësisht përfshirjes në rritje, portofoli i financimit të gjelbër nga bankat komerciale mbetet relativisht i kufizuar, për shkak të mungesës së stimujve rregullatorë, vetëdijes së ulët të klientëve dhe mungesës së kornizave standarde për huadhënie të gjelbër. Forcimi i udhëzimeve mbikëqyrëse dhe zgjerimi i raportimeve financiare lidhur me klimën mund të rrisin kapacitetin e këtyre institucioneve për të zgjeruar financimin klimatik në Kosovë</w:t>
      </w:r>
      <w:r w:rsidR="00EC177A" w:rsidRPr="001C61AE">
        <w:rPr>
          <w:rFonts w:ascii="Arial" w:hAnsi="Arial" w:cs="Arial"/>
          <w:szCs w:val="28"/>
          <w:lang w:val="sq-AL" w:eastAsia="es-ES"/>
        </w:rPr>
        <w:t>.</w:t>
      </w:r>
      <w:r w:rsidR="00A36696" w:rsidRPr="001C61AE">
        <w:rPr>
          <w:rFonts w:ascii="Arial" w:hAnsi="Arial" w:cs="Arial"/>
          <w:szCs w:val="28"/>
          <w:vertAlign w:val="superscript"/>
          <w:lang w:val="sq-AL" w:eastAsia="es-ES"/>
        </w:rPr>
        <w:footnoteReference w:id="125"/>
      </w:r>
    </w:p>
    <w:p w14:paraId="26E78DC4" w14:textId="64612E7D" w:rsidR="00A36696" w:rsidRPr="001C61AE" w:rsidRDefault="002D220E" w:rsidP="002D220E">
      <w:pPr>
        <w:shd w:val="clear" w:color="auto" w:fill="215A5C"/>
        <w:tabs>
          <w:tab w:val="left" w:pos="2554"/>
        </w:tabs>
        <w:spacing w:before="0" w:line="256" w:lineRule="auto"/>
        <w:jc w:val="both"/>
        <w:rPr>
          <w:rFonts w:ascii="Arial" w:hAnsi="Arial" w:cs="Arial"/>
          <w:b/>
          <w:bCs/>
          <w:color w:val="FFFFFF" w:themeColor="background1"/>
          <w:sz w:val="20"/>
          <w:szCs w:val="24"/>
          <w:lang w:val="sq-AL"/>
        </w:rPr>
      </w:pPr>
      <w:r w:rsidRPr="001C61AE">
        <w:rPr>
          <w:rFonts w:ascii="Arial" w:hAnsi="Arial" w:cs="Arial"/>
          <w:b/>
          <w:bCs/>
          <w:color w:val="FFFFFF" w:themeColor="background1"/>
          <w:szCs w:val="28"/>
          <w:lang w:val="sq-AL"/>
        </w:rPr>
        <w:t>Institucionet e Mikrofinancës dhe Institucionet Financiare Jo-Bankare (IFJB</w:t>
      </w:r>
      <w:r w:rsidR="00A36696" w:rsidRPr="001C61AE">
        <w:rPr>
          <w:rFonts w:ascii="Arial" w:hAnsi="Arial" w:cs="Arial"/>
          <w:b/>
          <w:bCs/>
          <w:color w:val="FFFFFF" w:themeColor="background1"/>
          <w:szCs w:val="28"/>
          <w:lang w:val="sq-AL"/>
        </w:rPr>
        <w:t>)</w:t>
      </w:r>
      <w:r w:rsidR="00A36696" w:rsidRPr="001C61AE">
        <w:rPr>
          <w:rFonts w:ascii="Arial" w:hAnsi="Arial" w:cs="Arial"/>
          <w:b/>
          <w:bCs/>
          <w:color w:val="FFFFFF" w:themeColor="background1"/>
          <w:sz w:val="20"/>
          <w:szCs w:val="24"/>
          <w:lang w:val="sq-AL"/>
        </w:rPr>
        <w:tab/>
      </w:r>
    </w:p>
    <w:p w14:paraId="1C3660A9" w14:textId="126D45C6" w:rsidR="00A36696" w:rsidRPr="001C61AE" w:rsidRDefault="002D220E" w:rsidP="009D1A17">
      <w:pPr>
        <w:spacing w:before="0" w:line="256" w:lineRule="auto"/>
        <w:jc w:val="both"/>
        <w:rPr>
          <w:rFonts w:ascii="Arial" w:hAnsi="Arial" w:cs="Arial"/>
          <w:szCs w:val="28"/>
          <w:lang w:val="sq-AL" w:eastAsia="es-ES"/>
        </w:rPr>
      </w:pPr>
      <w:r w:rsidRPr="001C61AE">
        <w:rPr>
          <w:rFonts w:ascii="Arial" w:hAnsi="Arial" w:cs="Arial"/>
          <w:szCs w:val="28"/>
          <w:lang w:val="sq-AL" w:eastAsia="es-ES"/>
        </w:rPr>
        <w:t>Institucionet e Mikrofinancës (IMF) dhe Institucionet Financiare Jo-Bankare (IFJB) në Kosovë luajnë një rol modest por në rritje për të zgjeruar qasjen në financim klimatik, veçanërisht te popullatat rurale, fermerët e vegjël dhe mikro-ndërmarrjet. Institucione si Kreditimi Rural i Kosovës (KRK</w:t>
      </w:r>
      <w:r w:rsidR="00A36696" w:rsidRPr="001C61AE">
        <w:rPr>
          <w:rFonts w:ascii="Arial" w:hAnsi="Arial" w:cs="Arial"/>
          <w:szCs w:val="28"/>
          <w:lang w:val="sq-AL" w:eastAsia="es-ES"/>
        </w:rPr>
        <w:t>)</w:t>
      </w:r>
      <w:r w:rsidR="00A36696" w:rsidRPr="001C61AE">
        <w:rPr>
          <w:rFonts w:ascii="Arial" w:hAnsi="Arial" w:cs="Arial"/>
          <w:szCs w:val="28"/>
          <w:vertAlign w:val="superscript"/>
          <w:lang w:val="sq-AL" w:eastAsia="es-ES"/>
        </w:rPr>
        <w:footnoteReference w:id="126"/>
      </w:r>
      <w:r w:rsidR="00A36696" w:rsidRPr="001C61AE">
        <w:rPr>
          <w:rFonts w:ascii="Arial" w:hAnsi="Arial" w:cs="Arial"/>
          <w:szCs w:val="28"/>
          <w:lang w:val="sq-AL" w:eastAsia="es-ES"/>
        </w:rPr>
        <w:t xml:space="preserve">, </w:t>
      </w:r>
      <w:r w:rsidR="009D1A17" w:rsidRPr="001C61AE">
        <w:rPr>
          <w:rFonts w:ascii="Arial" w:hAnsi="Arial" w:cs="Arial"/>
          <w:szCs w:val="28"/>
          <w:lang w:val="sq-AL" w:eastAsia="es-ES"/>
        </w:rPr>
        <w:t>FINCA Kosovo, KosInvest dhe IuteCredit Kosovo janë në pozitë të mirë për të promovuar veprim nga poshtë-lart në fushën e klimës, duke ofruar shërbime financiare të përshtatura për segmentet e nën-shërbyera të popullsisë. KRK dhe FINCA, për shembull, kanë pilotuar produkte kredie rurale që synojnë mbështetjen e investimeve bujqësore në shkallë të vogël, të cilat mund të përshtaten për të promovuar praktika reziliente ndaj klimës</w:t>
      </w:r>
      <w:r w:rsidR="00EC177A" w:rsidRPr="001C61AE">
        <w:rPr>
          <w:rFonts w:ascii="Arial" w:hAnsi="Arial" w:cs="Arial"/>
          <w:szCs w:val="28"/>
          <w:lang w:val="sq-AL" w:eastAsia="es-ES"/>
        </w:rPr>
        <w:t>.</w:t>
      </w:r>
      <w:r w:rsidR="00A36696" w:rsidRPr="001C61AE">
        <w:rPr>
          <w:rFonts w:ascii="Arial" w:hAnsi="Arial" w:cs="Arial"/>
          <w:szCs w:val="28"/>
          <w:vertAlign w:val="superscript"/>
          <w:lang w:val="sq-AL" w:eastAsia="es-ES"/>
        </w:rPr>
        <w:footnoteReference w:id="127"/>
      </w:r>
      <w:r w:rsidR="00A36696" w:rsidRPr="001C61AE">
        <w:rPr>
          <w:rFonts w:ascii="Arial" w:hAnsi="Arial" w:cs="Arial"/>
          <w:szCs w:val="28"/>
          <w:lang w:val="sq-AL" w:eastAsia="es-ES"/>
        </w:rPr>
        <w:t xml:space="preserve"> </w:t>
      </w:r>
      <w:r w:rsidR="009D1A17" w:rsidRPr="001C61AE">
        <w:rPr>
          <w:rFonts w:ascii="Arial" w:hAnsi="Arial" w:cs="Arial"/>
          <w:szCs w:val="28"/>
          <w:lang w:val="sq-AL" w:eastAsia="es-ES"/>
        </w:rPr>
        <w:t>Këto institucione gjithashtu kanë përfituar nga iniciativa të mbështetura nga donatorët, përfshirë programe për edukim financiar dhe fonde për zhvillim rural të bashkëfinancuara nga BE dhe GIZ</w:t>
      </w:r>
      <w:r w:rsidR="00A36696" w:rsidRPr="001C61AE">
        <w:rPr>
          <w:rFonts w:ascii="Arial" w:hAnsi="Arial" w:cs="Arial"/>
          <w:szCs w:val="28"/>
          <w:vertAlign w:val="superscript"/>
          <w:lang w:val="sq-AL" w:eastAsia="es-ES"/>
        </w:rPr>
        <w:footnoteReference w:id="128"/>
      </w:r>
      <w:r w:rsidR="00A36696" w:rsidRPr="001C61AE">
        <w:rPr>
          <w:rFonts w:ascii="Arial" w:hAnsi="Arial" w:cs="Arial"/>
          <w:szCs w:val="28"/>
          <w:lang w:val="sq-AL" w:eastAsia="es-ES"/>
        </w:rPr>
        <w:t xml:space="preserve">, </w:t>
      </w:r>
      <w:r w:rsidR="009D1A17" w:rsidRPr="001C61AE">
        <w:rPr>
          <w:rFonts w:ascii="Arial" w:hAnsi="Arial" w:cs="Arial"/>
          <w:szCs w:val="28"/>
          <w:lang w:val="sq-AL" w:eastAsia="es-ES"/>
        </w:rPr>
        <w:t>duke rritur shtrirjen dhe kapacitetin operativ në zonat e cenueshme. Pavarësisht kësaj, shkalla e huadhënies së gjelbër mbetet e kufizuar për shkak të barrierave strukturore si kostot e larta të financimit, kapaciteti i kufizuar teknik për të vlerësuar projekte të lidhura me klimën dhe mungesa e një taksonomie kombëtare të financave të gjelbra apo kornizave rregullatore mundësuese. Çlirimi i potencialit të plotë të IMF-ve dhe IFJB-ve në financimin klimatik do të kërkojë ndërtim të kapaciteteve të synuara, qasje në instrumente financimi të përzier dhe sinjale më të qarta politike për të inkurajuar zhvillimin e produkteve të mikrofinancës së gjelbër. Pjesëmarrja e zgjeruar e tyre është jetike për demokratizimin e financave për klimën dhe ndërtimin e qëndrueshmërisë të udhëhequr nga komunitetet në mbarë Kosovën</w:t>
      </w:r>
      <w:r w:rsidR="00A36696" w:rsidRPr="001C61AE">
        <w:rPr>
          <w:rFonts w:ascii="Arial" w:hAnsi="Arial" w:cs="Arial"/>
          <w:szCs w:val="28"/>
          <w:lang w:val="sq-AL" w:eastAsia="es-ES"/>
        </w:rPr>
        <w:t xml:space="preserve">. </w:t>
      </w:r>
    </w:p>
    <w:p w14:paraId="6D26FFAB" w14:textId="6A1946BB" w:rsidR="00A36696" w:rsidRPr="001C61AE" w:rsidRDefault="009D1A17" w:rsidP="009D1A17">
      <w:pPr>
        <w:shd w:val="clear" w:color="auto" w:fill="215A5C"/>
        <w:tabs>
          <w:tab w:val="left" w:pos="2554"/>
        </w:tabs>
        <w:spacing w:before="0" w:line="256" w:lineRule="auto"/>
        <w:jc w:val="both"/>
        <w:rPr>
          <w:rFonts w:ascii="Arial" w:hAnsi="Arial" w:cs="Arial"/>
          <w:b/>
          <w:bCs/>
          <w:color w:val="FFFFFF" w:themeColor="background1"/>
          <w:szCs w:val="28"/>
          <w:lang w:val="sq-AL"/>
        </w:rPr>
      </w:pPr>
      <w:r w:rsidRPr="001C61AE">
        <w:rPr>
          <w:rFonts w:ascii="Arial" w:hAnsi="Arial" w:cs="Arial"/>
          <w:b/>
          <w:bCs/>
          <w:color w:val="FFFFFF" w:themeColor="background1"/>
          <w:szCs w:val="28"/>
          <w:lang w:val="sq-AL"/>
        </w:rPr>
        <w:t>Instrumente të tjera</w:t>
      </w:r>
    </w:p>
    <w:p w14:paraId="0C2B3FE1" w14:textId="6B3915B6" w:rsidR="00A36696" w:rsidRPr="001C61AE" w:rsidRDefault="009D1A17" w:rsidP="009D1A17">
      <w:pPr>
        <w:spacing w:before="0" w:line="256" w:lineRule="auto"/>
        <w:jc w:val="both"/>
        <w:rPr>
          <w:rFonts w:ascii="Arial" w:hAnsi="Arial" w:cs="Arial"/>
          <w:lang w:val="sq-AL"/>
        </w:rPr>
      </w:pPr>
      <w:r w:rsidRPr="001C61AE">
        <w:rPr>
          <w:rFonts w:ascii="Arial" w:hAnsi="Arial" w:cs="Arial"/>
          <w:lang w:val="sq-AL"/>
        </w:rPr>
        <w:t>Kosova ka qasje në një gamë të instrumenteve financiare dhe fiskale për të mbështetur përshtatjen ndaj ndryshimeve klimatike, secili prej të cilëve ofron përparësi specifike për mobilizimin e burimeve dhe adresimin e cenueshmërive klimatike të vendit</w:t>
      </w:r>
      <w:r w:rsidR="00A36696" w:rsidRPr="001C61AE">
        <w:rPr>
          <w:rFonts w:ascii="Arial" w:hAnsi="Arial" w:cs="Arial"/>
          <w:lang w:val="sq-AL"/>
        </w:rPr>
        <w:t>.</w:t>
      </w:r>
    </w:p>
    <w:p w14:paraId="723E5ED8" w14:textId="051A7428" w:rsidR="00A36696" w:rsidRPr="001C61AE" w:rsidRDefault="009D1A17" w:rsidP="00F36447">
      <w:pPr>
        <w:numPr>
          <w:ilvl w:val="0"/>
          <w:numId w:val="20"/>
        </w:numPr>
        <w:spacing w:before="0" w:line="259" w:lineRule="auto"/>
        <w:jc w:val="both"/>
        <w:rPr>
          <w:rFonts w:ascii="Arial" w:hAnsi="Arial" w:cs="Arial"/>
          <w:b/>
          <w:bCs/>
          <w:u w:val="single"/>
          <w:lang w:val="sq-AL"/>
        </w:rPr>
      </w:pPr>
      <w:r w:rsidRPr="001C61AE">
        <w:rPr>
          <w:rFonts w:ascii="Arial" w:hAnsi="Arial" w:cs="Arial"/>
          <w:b/>
          <w:bCs/>
          <w:u w:val="single"/>
          <w:lang w:val="sq-AL"/>
        </w:rPr>
        <w:t xml:space="preserve">Obligacionet Klimatike dhe Financimi i Gjelbër: </w:t>
      </w:r>
      <w:r w:rsidRPr="001C61AE">
        <w:rPr>
          <w:rFonts w:ascii="Arial" w:hAnsi="Arial" w:cs="Arial"/>
          <w:lang w:val="sq-AL"/>
        </w:rPr>
        <w:t xml:space="preserve">Obligacionet klimatike janë instrumente të borxhit të dedikuara për financimin e projekteve të lidhura me klimën, ndërsa financimi i gjelbër në mënyrë më të gjerë përfshin investime që mbështesin qëndrueshmërinë mjedisore. Kosova ende nuk ka emetuar një obligacion sovran të gjelbër, por tregu global i obligacioneve të gjelbra—me mbi 2 trilionë USD në emetime kumulative deri në fund të vitit 2022—përfaqëson një mundësi premtuese për financimin e infrastrukturës së qëndrueshme. Serbia, për shembull, demonstroi realizueshmërinë e këtij qasemi duke emetuar një obligacion të gjelbër sovran në vitin 2021. Kosova mund të ndjekë një rrugë të ngjashme duke shfrytëzuar mbështetjen nga </w:t>
      </w:r>
      <w:r w:rsidRPr="001C61AE">
        <w:rPr>
          <w:rFonts w:ascii="Arial" w:hAnsi="Arial" w:cs="Arial"/>
          <w:lang w:val="sq-AL"/>
        </w:rPr>
        <w:lastRenderedPageBreak/>
        <w:t>partnerët ndërkombëtarë (p.sh. bankat evropiane të zhvillimit) për të zhvilluar kornizën rregullative dhe kushtet e tregut për emetimin e ardhshëm të obligacioneve të gjelbra</w:t>
      </w:r>
      <w:r w:rsidR="00575A7C" w:rsidRPr="001C61AE">
        <w:rPr>
          <w:rFonts w:ascii="Arial" w:hAnsi="Arial" w:cs="Arial"/>
          <w:lang w:val="sq-AL"/>
        </w:rPr>
        <w:t>.</w:t>
      </w:r>
      <w:r w:rsidR="00A36696" w:rsidRPr="001C61AE">
        <w:rPr>
          <w:rFonts w:ascii="Arial" w:hAnsi="Arial" w:cs="Arial"/>
          <w:vertAlign w:val="superscript"/>
          <w:lang w:val="sq-AL"/>
        </w:rPr>
        <w:footnoteReference w:id="129"/>
      </w:r>
    </w:p>
    <w:p w14:paraId="0FFCAEC9" w14:textId="62E6D0FC" w:rsidR="000A4333" w:rsidRPr="001C61AE" w:rsidRDefault="009D1A17" w:rsidP="00D66245">
      <w:pPr>
        <w:numPr>
          <w:ilvl w:val="0"/>
          <w:numId w:val="20"/>
        </w:numPr>
        <w:spacing w:before="0" w:line="259" w:lineRule="auto"/>
        <w:jc w:val="both"/>
        <w:rPr>
          <w:rFonts w:ascii="Arial" w:hAnsi="Arial" w:cs="Arial"/>
          <w:b/>
          <w:bCs/>
          <w:u w:val="single"/>
          <w:lang w:val="sq-AL"/>
        </w:rPr>
      </w:pPr>
      <w:r w:rsidRPr="001C61AE">
        <w:rPr>
          <w:rFonts w:ascii="Arial" w:hAnsi="Arial" w:cs="Arial"/>
          <w:b/>
          <w:bCs/>
          <w:u w:val="single"/>
          <w:lang w:val="sq-AL"/>
        </w:rPr>
        <w:t xml:space="preserve">Shkëmbimet e Borxhit për Natyrën (Debt-for-Nature Swaps): </w:t>
      </w:r>
      <w:r w:rsidRPr="001C61AE">
        <w:rPr>
          <w:rFonts w:ascii="Arial" w:hAnsi="Arial" w:cs="Arial"/>
          <w:lang w:val="sq-AL"/>
        </w:rPr>
        <w:t>Këto shkëmbime inovative ulin borxhin e një vendi në këmbim të angazhimeve për të investuar në ruajtjen e mjedisit apo forcimin e qëndrueshmërisë klimatike. Kosova ende nuk ka zbatuar ndonjë marrëveshje të tillë, megjithatë raste të suksesshme në vende të tjera (p.sh. marrëveshjet e fundit në Belize dhe Seychelles) tregojnë se këto mekanizma mund të mbrojnë biodiversitetin ndërsa përmirësojnë qëndrueshmërinë fiskale. Duke marrë parasysh kapitalin natyror të pasur të Kosovës — përfshirë parqet kombëtare malore si Sharri dhe Bjeshkët e Nemuna — ky instrument ofron potencial të madh për të financuar zgjidhje të bazuara në natyrë dhe për të forcuar qëndrueshmërinë ndaj ndryshimeve klimatike</w:t>
      </w:r>
      <w:r w:rsidR="00575A7C" w:rsidRPr="001C61AE">
        <w:rPr>
          <w:rFonts w:ascii="Arial" w:hAnsi="Arial" w:cs="Arial"/>
          <w:lang w:val="sq-AL"/>
        </w:rPr>
        <w:t>.</w:t>
      </w:r>
      <w:r w:rsidR="00A36696" w:rsidRPr="001C61AE">
        <w:rPr>
          <w:rFonts w:ascii="Arial" w:hAnsi="Arial" w:cs="Arial"/>
          <w:vertAlign w:val="superscript"/>
          <w:lang w:val="sq-AL"/>
        </w:rPr>
        <w:footnoteReference w:id="130"/>
      </w:r>
    </w:p>
    <w:p w14:paraId="179764CA" w14:textId="4BEC4510" w:rsidR="00A36696" w:rsidRPr="001C61AE" w:rsidRDefault="009D1A17" w:rsidP="00F36447">
      <w:pPr>
        <w:numPr>
          <w:ilvl w:val="0"/>
          <w:numId w:val="20"/>
        </w:numPr>
        <w:spacing w:before="0" w:line="259" w:lineRule="auto"/>
        <w:jc w:val="both"/>
        <w:rPr>
          <w:rFonts w:ascii="Arial" w:hAnsi="Arial" w:cs="Arial"/>
          <w:b/>
          <w:bCs/>
          <w:u w:val="single"/>
          <w:lang w:val="sq-AL"/>
        </w:rPr>
      </w:pPr>
      <w:r w:rsidRPr="001C61AE">
        <w:rPr>
          <w:rFonts w:ascii="Arial" w:hAnsi="Arial" w:cs="Arial"/>
          <w:b/>
          <w:bCs/>
          <w:u w:val="single"/>
          <w:lang w:val="sq-AL"/>
        </w:rPr>
        <w:t xml:space="preserve">Financimi i Përzier (Blended Finance): </w:t>
      </w:r>
      <w:r w:rsidRPr="001C61AE">
        <w:rPr>
          <w:rFonts w:ascii="Arial" w:hAnsi="Arial" w:cs="Arial"/>
          <w:lang w:val="sq-AL"/>
        </w:rPr>
        <w:t>Financimi i përzier kombinojnë fonde publike, private dhe filantropike për të ulur rrezikun e investimeve dhe për të tërhequr kapital privat për projekte klimatike. Globalisht, kjo qasje ka mobilizuar mbi 160 miliardë USD përmes qindra transaksioneve që nga viti 2010. Në vitin 2023, Kosova u bë vendi i parë evropian që përfitoi nga Instrumenti i Qëndrueshmërisë dhe Reziliencës i FMN-së, duke siguruar rreth 78 milionë € në financim të përballueshëm për të mbështetur përpjekjet për zbutjen dhe përshtatjen ndaj klimës. Ky financim pritet të zgjerojë hapësirën fiskale dhe të nxisë investime shtesë private në energjinë e gjelbër. Shembuj të tillë tregojnë se si financimi i përzier mund të përdorë fonde publike modeste për të mobilizuar më shumë kapital privat për qëndrueshmërinë klimatike</w:t>
      </w:r>
      <w:r w:rsidR="00575A7C" w:rsidRPr="001C61AE">
        <w:rPr>
          <w:rFonts w:ascii="Arial" w:hAnsi="Arial" w:cs="Arial"/>
          <w:lang w:val="sq-AL"/>
        </w:rPr>
        <w:t>.</w:t>
      </w:r>
      <w:r w:rsidR="00A36696" w:rsidRPr="001C61AE">
        <w:rPr>
          <w:rFonts w:ascii="Arial" w:hAnsi="Arial" w:cs="Arial"/>
          <w:vertAlign w:val="superscript"/>
          <w:lang w:val="sq-AL"/>
        </w:rPr>
        <w:footnoteReference w:id="131"/>
      </w:r>
      <w:r w:rsidR="00A36696" w:rsidRPr="001C61AE">
        <w:rPr>
          <w:rFonts w:ascii="Arial" w:hAnsi="Arial" w:cs="Arial"/>
          <w:lang w:val="sq-AL"/>
        </w:rPr>
        <w:t xml:space="preserve"> </w:t>
      </w:r>
    </w:p>
    <w:p w14:paraId="260247B1" w14:textId="4959E411" w:rsidR="00A36696" w:rsidRPr="001C61AE" w:rsidRDefault="009D1A17" w:rsidP="00F36447">
      <w:pPr>
        <w:numPr>
          <w:ilvl w:val="0"/>
          <w:numId w:val="20"/>
        </w:numPr>
        <w:spacing w:before="0" w:line="259" w:lineRule="auto"/>
        <w:jc w:val="both"/>
        <w:rPr>
          <w:rFonts w:ascii="Arial" w:hAnsi="Arial" w:cs="Arial"/>
          <w:b/>
          <w:bCs/>
          <w:u w:val="single"/>
          <w:lang w:val="sq-AL"/>
        </w:rPr>
      </w:pPr>
      <w:r w:rsidRPr="001C61AE">
        <w:rPr>
          <w:rFonts w:ascii="Arial" w:hAnsi="Arial" w:cs="Arial"/>
          <w:b/>
          <w:bCs/>
          <w:u w:val="single"/>
          <w:lang w:val="sq-AL"/>
        </w:rPr>
        <w:t xml:space="preserve">Instrumentet Fiskale: </w:t>
      </w:r>
      <w:r w:rsidRPr="001C61AE">
        <w:rPr>
          <w:rFonts w:ascii="Arial" w:hAnsi="Arial" w:cs="Arial"/>
          <w:lang w:val="sq-AL"/>
        </w:rPr>
        <w:t xml:space="preserve">Mjetet fiskale si taksat mbi karbonin, tarifat mjedisore dhe subvencionet e gjelbra janë thelbësore për të adresuar sfidat klimatike. Që nga viti 2024, Kosova ende nuk ka zbatuar një taksë karboni, megjithatë </w:t>
      </w:r>
      <w:r w:rsidR="00BE39C7" w:rsidRPr="001C61AE">
        <w:rPr>
          <w:rFonts w:ascii="Arial" w:hAnsi="Arial" w:cs="Arial"/>
          <w:lang w:val="sq-AL"/>
        </w:rPr>
        <w:t>Strategjia</w:t>
      </w:r>
      <w:r w:rsidRPr="001C61AE">
        <w:rPr>
          <w:rFonts w:ascii="Arial" w:hAnsi="Arial" w:cs="Arial"/>
          <w:lang w:val="sq-AL"/>
        </w:rPr>
        <w:t xml:space="preserve"> e Energjisë parashikon krijimin e një sistemi për çmimin e karbonit deri në vitin 2025 si pjesë e angazhimeve të saj në kuadër të Agjendës së Gjelbër. Zbatimi i një takse të tillë apo tarifash të ngjashme do të ndihmonte në zbutjen e emetimeve të gazeve serrë dhe do të gjeneronte të ardhura të brendshme për programet klimatike, duke e përafruar politikën e Kosovës me standardet klimatike të BE-së dhe duke krijuar hapësirë fiskale për iniciativat për përshtatje dhe zbutje</w:t>
      </w:r>
      <w:r w:rsidR="00284CAD" w:rsidRPr="001C61AE">
        <w:rPr>
          <w:rFonts w:ascii="Arial" w:hAnsi="Arial" w:cs="Arial"/>
          <w:lang w:val="sq-AL"/>
        </w:rPr>
        <w:t>.</w:t>
      </w:r>
      <w:r w:rsidR="00A36696" w:rsidRPr="001C61AE">
        <w:rPr>
          <w:rFonts w:ascii="Arial" w:hAnsi="Arial" w:cs="Arial"/>
          <w:vertAlign w:val="superscript"/>
          <w:lang w:val="sq-AL"/>
        </w:rPr>
        <w:footnoteReference w:id="132"/>
      </w:r>
    </w:p>
    <w:p w14:paraId="241C204E" w14:textId="76D20A1F" w:rsidR="00A36696" w:rsidRPr="001C61AE" w:rsidRDefault="00284CAD" w:rsidP="00C65386">
      <w:pPr>
        <w:numPr>
          <w:ilvl w:val="0"/>
          <w:numId w:val="20"/>
        </w:numPr>
        <w:spacing w:before="0" w:line="259" w:lineRule="auto"/>
        <w:jc w:val="both"/>
        <w:rPr>
          <w:rFonts w:ascii="Arial" w:hAnsi="Arial" w:cs="Arial"/>
          <w:b/>
          <w:bCs/>
          <w:sz w:val="24"/>
          <w:szCs w:val="24"/>
          <w:lang w:val="sq-AL"/>
        </w:rPr>
        <w:sectPr w:rsidR="00A36696" w:rsidRPr="001C61AE" w:rsidSect="007A06E7">
          <w:footerReference w:type="default" r:id="rId62"/>
          <w:pgSz w:w="11906" w:h="16838"/>
          <w:pgMar w:top="851" w:right="849" w:bottom="851" w:left="851" w:header="709" w:footer="709" w:gutter="0"/>
          <w:pgNumType w:start="0"/>
          <w:cols w:space="708"/>
          <w:titlePg/>
          <w:docGrid w:linePitch="360"/>
        </w:sectPr>
      </w:pPr>
      <w:r w:rsidRPr="001C61AE">
        <w:rPr>
          <w:rFonts w:ascii="Arial" w:hAnsi="Arial" w:cs="Arial"/>
          <w:b/>
          <w:bCs/>
          <w:u w:val="single"/>
          <w:lang w:val="sq-AL"/>
        </w:rPr>
        <w:t>Pa</w:t>
      </w:r>
      <w:r w:rsidR="009D1A17" w:rsidRPr="001C61AE">
        <w:rPr>
          <w:rFonts w:ascii="Arial" w:hAnsi="Arial" w:cs="Arial"/>
          <w:b/>
          <w:bCs/>
          <w:u w:val="single"/>
          <w:lang w:val="sq-AL"/>
        </w:rPr>
        <w:t xml:space="preserve">rtneritetet Publiko-Private (PPP): </w:t>
      </w:r>
      <w:r w:rsidR="009D1A17" w:rsidRPr="001C61AE">
        <w:rPr>
          <w:rFonts w:ascii="Arial" w:hAnsi="Arial" w:cs="Arial"/>
          <w:lang w:val="sq-AL"/>
        </w:rPr>
        <w:t>PPP-të lehtësojnë investimet e sektorit privat në infrastrukturën publike dhe mund të zbatohen për projekte të lidhura me klimën. Përvoja e Kosovës me PPP-të mbetet e kufizuar—aktualisht ka vetëm pesë projekte aktive me një vlerë totale rreth 142 milionë USD (rreth 1.37% e PBB-së)—duke treguar një hapësirë të konsiderueshme për zgjerim. Ekziston potencial i qartë në sektorë si energjia e rinovueshme, ku PPP-të mund të ndihmojnë në diversifikimin e përzierjes energjetike të Kosovës dhe përmirësimin e qëndrueshmërisë. Një shembull rajonal që nënvizon potencialin e PPP-ve për klimën është marrëveshja trilaterale ndërmjet Shqipërisë, Italisë dhe Emirateve të Bashkuara Arabe (me vlerë rreth 1.07 miliardë USD) për zhvillimin e infrastrukturës së madhe diellore dhe të erës në Shqipëri dhe transmetimin e pjesës së energjisë së pastër drejt Italisë përmes një kablloje nënujore. Edhe pse PPP-të nuk janë instrumente financiare në vetvete, ato janë mekanizma ndër-sektorialë që mobilizojnë kapitalin dhe ekspertizën e sektorit privat nga burime të ndryshme për të përparuar objektivat e përshtatjes dhe zbutjes ndaj ndryshimeve klimatike</w:t>
      </w:r>
      <w:r w:rsidRPr="001C61AE">
        <w:rPr>
          <w:rFonts w:ascii="Arial" w:hAnsi="Arial" w:cs="Arial"/>
          <w:lang w:val="sq-AL"/>
        </w:rPr>
        <w:t>.</w:t>
      </w:r>
      <w:r w:rsidR="00A36696" w:rsidRPr="001C61AE">
        <w:rPr>
          <w:rFonts w:ascii="Arial" w:hAnsi="Arial" w:cs="Arial"/>
          <w:vertAlign w:val="superscript"/>
          <w:lang w:val="sq-AL"/>
        </w:rPr>
        <w:footnoteReference w:id="133"/>
      </w:r>
    </w:p>
    <w:p w14:paraId="4ED97BD8" w14:textId="353201EC" w:rsidR="00834CBE" w:rsidRPr="003E7289" w:rsidRDefault="00834CBE" w:rsidP="00C65386">
      <w:pPr>
        <w:pStyle w:val="Heading1"/>
        <w:rPr>
          <w:rFonts w:ascii="Arial" w:hAnsi="Arial" w:cs="Arial"/>
          <w:lang w:val="sq-AL"/>
        </w:rPr>
      </w:pPr>
      <w:bookmarkStart w:id="119" w:name="_Annex_I"/>
      <w:bookmarkStart w:id="120" w:name="_Annex_I:_Water"/>
      <w:bookmarkStart w:id="121" w:name="_Toc211532725"/>
      <w:bookmarkEnd w:id="119"/>
      <w:bookmarkEnd w:id="120"/>
      <w:r w:rsidRPr="003E7289">
        <w:rPr>
          <w:rFonts w:ascii="Arial" w:hAnsi="Arial" w:cs="Arial"/>
          <w:lang w:val="sq-AL"/>
        </w:rPr>
        <w:lastRenderedPageBreak/>
        <w:t>Shtojca I: Plani i veprimit për menaxhimin e resurseve ujore</w:t>
      </w:r>
      <w:r w:rsidR="00D36D55" w:rsidRPr="003E7289">
        <w:rPr>
          <w:rFonts w:ascii="Arial" w:hAnsi="Arial" w:cs="Arial"/>
          <w:lang w:val="sq-AL"/>
        </w:rPr>
        <w:t xml:space="preserve"> </w:t>
      </w:r>
      <w:r w:rsidR="00D36D55" w:rsidRPr="003E7289">
        <w:rPr>
          <w:rFonts w:ascii="Arial" w:hAnsi="Arial" w:cs="Arial"/>
          <w:lang w:val="sq-AL"/>
        </w:rPr>
        <w:br/>
      </w:r>
      <w:r w:rsidR="00D36D55" w:rsidRPr="00FD42BB">
        <w:rPr>
          <w:rFonts w:ascii="Arial" w:hAnsi="Arial" w:cs="Arial"/>
          <w:i/>
          <w:iCs/>
          <w:color w:val="auto"/>
          <w:sz w:val="20"/>
          <w:szCs w:val="20"/>
          <w:lang w:val="sq-AL"/>
        </w:rPr>
        <w:t>VËREJTE -Analiza Financiare nuk është përfundimtare</w:t>
      </w:r>
      <w:bookmarkEnd w:id="121"/>
      <w:r w:rsidR="00BC4A8C" w:rsidRPr="00FD42BB">
        <w:rPr>
          <w:rFonts w:ascii="Arial" w:hAnsi="Arial" w:cs="Arial"/>
          <w:i/>
          <w:iCs/>
          <w:color w:val="auto"/>
          <w:sz w:val="20"/>
          <w:szCs w:val="20"/>
          <w:lang w:val="sq-AL"/>
        </w:rPr>
        <w:t xml:space="preserve"> </w:t>
      </w:r>
    </w:p>
    <w:p w14:paraId="1595B2D1" w14:textId="012B2662" w:rsidR="0097040B" w:rsidRPr="003E7289" w:rsidRDefault="0097040B" w:rsidP="00C65386">
      <w:pPr>
        <w:pStyle w:val="Caption"/>
        <w:keepNext/>
        <w:rPr>
          <w:rFonts w:ascii="Arial" w:hAnsi="Arial" w:cs="Arial"/>
        </w:rPr>
      </w:pPr>
      <w:bookmarkStart w:id="122" w:name="_Toc211532736"/>
      <w:r w:rsidRPr="003E7289">
        <w:rPr>
          <w:rFonts w:ascii="Arial" w:hAnsi="Arial" w:cs="Arial"/>
        </w:rPr>
        <w:t xml:space="preserve">Tabela </w:t>
      </w:r>
      <w:r w:rsidRPr="003E7289">
        <w:rPr>
          <w:rFonts w:ascii="Arial" w:hAnsi="Arial" w:cs="Arial"/>
        </w:rPr>
        <w:fldChar w:fldCharType="begin"/>
      </w:r>
      <w:r w:rsidRPr="003E7289">
        <w:rPr>
          <w:rFonts w:ascii="Arial" w:hAnsi="Arial" w:cs="Arial"/>
        </w:rPr>
        <w:instrText xml:space="preserve"> SEQ Tabela \* ARABIC </w:instrText>
      </w:r>
      <w:r w:rsidRPr="003E7289">
        <w:rPr>
          <w:rFonts w:ascii="Arial" w:hAnsi="Arial" w:cs="Arial"/>
        </w:rPr>
        <w:fldChar w:fldCharType="separate"/>
      </w:r>
      <w:r w:rsidR="00C62DE9">
        <w:rPr>
          <w:rFonts w:ascii="Arial" w:hAnsi="Arial" w:cs="Arial"/>
          <w:noProof/>
        </w:rPr>
        <w:t>9</w:t>
      </w:r>
      <w:r w:rsidRPr="003E7289">
        <w:rPr>
          <w:rFonts w:ascii="Arial" w:hAnsi="Arial" w:cs="Arial"/>
          <w:noProof/>
        </w:rPr>
        <w:fldChar w:fldCharType="end"/>
      </w:r>
      <w:r w:rsidRPr="003E7289">
        <w:rPr>
          <w:rFonts w:ascii="Arial" w:hAnsi="Arial" w:cs="Arial"/>
        </w:rPr>
        <w:t>. Plani i Veprimit për Sektorin e Burimeve Ujor. Burimi: MMPHI, 2025.</w:t>
      </w:r>
      <w:bookmarkEnd w:id="122"/>
    </w:p>
    <w:tbl>
      <w:tblPr>
        <w:tblStyle w:val="TableGrid"/>
        <w:tblW w:w="5026" w:type="pct"/>
        <w:tblBorders>
          <w:top w:val="single" w:sz="4" w:space="0" w:color="0F4761"/>
          <w:left w:val="single" w:sz="4" w:space="0" w:color="0F4761"/>
          <w:bottom w:val="single" w:sz="4" w:space="0" w:color="0F4761"/>
          <w:right w:val="single" w:sz="4" w:space="0" w:color="0F4761"/>
          <w:insideH w:val="single" w:sz="4" w:space="0" w:color="0F4761"/>
          <w:insideV w:val="single" w:sz="4" w:space="0" w:color="0F4761"/>
        </w:tblBorders>
        <w:tblLook w:val="04A0" w:firstRow="1" w:lastRow="0" w:firstColumn="1" w:lastColumn="0" w:noHBand="0" w:noVBand="1"/>
      </w:tblPr>
      <w:tblGrid>
        <w:gridCol w:w="585"/>
        <w:gridCol w:w="83"/>
        <w:gridCol w:w="1051"/>
        <w:gridCol w:w="154"/>
        <w:gridCol w:w="326"/>
        <w:gridCol w:w="307"/>
        <w:gridCol w:w="437"/>
        <w:gridCol w:w="100"/>
        <w:gridCol w:w="566"/>
        <w:gridCol w:w="324"/>
        <w:gridCol w:w="705"/>
        <w:gridCol w:w="107"/>
        <w:gridCol w:w="92"/>
        <w:gridCol w:w="862"/>
        <w:gridCol w:w="165"/>
        <w:gridCol w:w="219"/>
        <w:gridCol w:w="937"/>
        <w:gridCol w:w="129"/>
        <w:gridCol w:w="1054"/>
        <w:gridCol w:w="146"/>
        <w:gridCol w:w="3316"/>
        <w:gridCol w:w="11503"/>
        <w:gridCol w:w="6467"/>
        <w:gridCol w:w="1132"/>
        <w:gridCol w:w="903"/>
      </w:tblGrid>
      <w:tr w:rsidR="004807C9" w:rsidRPr="003E7289" w14:paraId="3A0B9B0E" w14:textId="77777777" w:rsidTr="00C65386">
        <w:trPr>
          <w:cantSplit/>
          <w:trHeight w:val="20"/>
        </w:trPr>
        <w:tc>
          <w:tcPr>
            <w:tcW w:w="250" w:type="pct"/>
            <w:shd w:val="clear" w:color="auto" w:fill="22635D"/>
            <w:vAlign w:val="center"/>
          </w:tcPr>
          <w:p w14:paraId="50E5FE4B" w14:textId="45386D65" w:rsidR="006B13EF" w:rsidRPr="003E7289" w:rsidRDefault="006B13EF" w:rsidP="00A70686">
            <w:pPr>
              <w:autoSpaceDE w:val="0"/>
              <w:autoSpaceDN w:val="0"/>
              <w:adjustRightInd w:val="0"/>
              <w:spacing w:before="0" w:line="240" w:lineRule="auto"/>
              <w:jc w:val="center"/>
              <w:rPr>
                <w:rFonts w:ascii="Arial" w:eastAsia="Aptos" w:hAnsi="Arial" w:cs="Arial"/>
                <w:b/>
                <w:bCs/>
                <w:color w:val="FFFFFF"/>
                <w:sz w:val="20"/>
                <w:szCs w:val="20"/>
                <w:lang w:val="sq-AL" w:eastAsia="en-US"/>
              </w:rPr>
            </w:pPr>
            <w:r w:rsidRPr="003E7289">
              <w:rPr>
                <w:rFonts w:ascii="Arial" w:eastAsia="Aptos" w:hAnsi="Arial" w:cs="Arial"/>
                <w:b/>
                <w:bCs/>
                <w:color w:val="FFFFFF"/>
                <w:sz w:val="20"/>
                <w:szCs w:val="20"/>
                <w:lang w:val="sq-AL"/>
              </w:rPr>
              <w:t>N</w:t>
            </w:r>
            <w:r w:rsidR="00834CBE" w:rsidRPr="003E7289">
              <w:rPr>
                <w:rFonts w:ascii="Arial" w:eastAsia="Aptos" w:hAnsi="Arial" w:cs="Arial"/>
                <w:b/>
                <w:bCs/>
                <w:color w:val="FFFFFF"/>
                <w:sz w:val="20"/>
                <w:szCs w:val="20"/>
                <w:lang w:val="sq-AL"/>
              </w:rPr>
              <w:t>r</w:t>
            </w:r>
            <w:r w:rsidRPr="003E7289">
              <w:rPr>
                <w:rFonts w:ascii="Arial" w:eastAsia="Aptos" w:hAnsi="Arial" w:cs="Arial"/>
                <w:b/>
                <w:bCs/>
                <w:color w:val="FFFFFF"/>
                <w:sz w:val="20"/>
                <w:szCs w:val="20"/>
                <w:lang w:val="sq-AL"/>
              </w:rPr>
              <w:t>.</w:t>
            </w:r>
          </w:p>
        </w:tc>
        <w:tc>
          <w:tcPr>
            <w:tcW w:w="676" w:type="pct"/>
            <w:gridSpan w:val="4"/>
            <w:shd w:val="clear" w:color="auto" w:fill="22635D"/>
            <w:vAlign w:val="center"/>
          </w:tcPr>
          <w:p w14:paraId="225972F7" w14:textId="6BBACAED" w:rsidR="006B13EF" w:rsidRPr="003E7289" w:rsidRDefault="006267BD" w:rsidP="00A70686">
            <w:pPr>
              <w:autoSpaceDE w:val="0"/>
              <w:autoSpaceDN w:val="0"/>
              <w:adjustRightInd w:val="0"/>
              <w:spacing w:before="0" w:line="240" w:lineRule="auto"/>
              <w:jc w:val="center"/>
              <w:rPr>
                <w:rFonts w:ascii="Arial" w:eastAsia="Aptos" w:hAnsi="Arial" w:cs="Arial"/>
                <w:b/>
                <w:bCs/>
                <w:color w:val="FFFFFF"/>
                <w:sz w:val="20"/>
                <w:szCs w:val="20"/>
                <w:lang w:val="sq-AL" w:eastAsia="en-US"/>
              </w:rPr>
            </w:pPr>
            <w:r w:rsidRPr="003E7289">
              <w:rPr>
                <w:rFonts w:ascii="Arial" w:eastAsia="Aptos" w:hAnsi="Arial" w:cs="Arial"/>
                <w:b/>
                <w:bCs/>
                <w:color w:val="FFFFFF"/>
                <w:sz w:val="20"/>
                <w:szCs w:val="20"/>
                <w:lang w:val="sq-AL"/>
              </w:rPr>
              <w:t xml:space="preserve">Objektivat </w:t>
            </w:r>
            <w:r w:rsidR="00834CBE" w:rsidRPr="003E7289">
              <w:rPr>
                <w:rFonts w:ascii="Arial" w:eastAsia="Aptos" w:hAnsi="Arial" w:cs="Arial"/>
                <w:b/>
                <w:bCs/>
                <w:color w:val="FFFFFF"/>
                <w:sz w:val="20"/>
                <w:szCs w:val="20"/>
                <w:lang w:val="sq-AL"/>
              </w:rPr>
              <w:t xml:space="preserve">strategjik dhe </w:t>
            </w:r>
            <w:r w:rsidRPr="003E7289">
              <w:rPr>
                <w:rFonts w:ascii="Arial" w:eastAsia="Aptos" w:hAnsi="Arial" w:cs="Arial"/>
                <w:b/>
                <w:bCs/>
                <w:color w:val="FFFFFF"/>
                <w:sz w:val="20"/>
                <w:szCs w:val="20"/>
                <w:lang w:val="sq-AL"/>
              </w:rPr>
              <w:t>specifikë</w:t>
            </w:r>
            <w:r w:rsidR="006B13EF" w:rsidRPr="003E7289">
              <w:rPr>
                <w:rFonts w:ascii="Arial" w:eastAsia="Aptos" w:hAnsi="Arial" w:cs="Arial"/>
                <w:b/>
                <w:bCs/>
                <w:color w:val="FFFFFF"/>
                <w:sz w:val="20"/>
                <w:szCs w:val="20"/>
                <w:lang w:val="sq-AL"/>
              </w:rPr>
              <w:t>,</w:t>
            </w:r>
            <w:r w:rsidR="00834CBE" w:rsidRPr="003E7289">
              <w:rPr>
                <w:rFonts w:ascii="Arial" w:hAnsi="Arial" w:cs="Arial"/>
                <w:lang w:val="sq-AL"/>
              </w:rPr>
              <w:t xml:space="preserve"> </w:t>
            </w:r>
            <w:r w:rsidR="00834CBE" w:rsidRPr="003E7289">
              <w:rPr>
                <w:rFonts w:ascii="Arial" w:eastAsia="Aptos" w:hAnsi="Arial" w:cs="Arial"/>
                <w:b/>
                <w:bCs/>
                <w:color w:val="FFFFFF"/>
                <w:sz w:val="20"/>
                <w:szCs w:val="20"/>
                <w:lang w:val="sq-AL"/>
              </w:rPr>
              <w:t>treguesit, prioritetet kryesore të përshtatjes dhe veprime</w:t>
            </w:r>
          </w:p>
        </w:tc>
        <w:tc>
          <w:tcPr>
            <w:tcW w:w="540" w:type="pct"/>
            <w:gridSpan w:val="4"/>
            <w:shd w:val="clear" w:color="auto" w:fill="22635D"/>
            <w:vAlign w:val="center"/>
          </w:tcPr>
          <w:p w14:paraId="5C9C40E6" w14:textId="1D051B98" w:rsidR="006B13EF" w:rsidRPr="003E7289" w:rsidRDefault="00C63DE6" w:rsidP="00C63DE6">
            <w:pPr>
              <w:autoSpaceDE w:val="0"/>
              <w:autoSpaceDN w:val="0"/>
              <w:adjustRightInd w:val="0"/>
              <w:spacing w:before="0" w:line="240" w:lineRule="auto"/>
              <w:jc w:val="center"/>
              <w:rPr>
                <w:rFonts w:ascii="Arial" w:eastAsia="Aptos" w:hAnsi="Arial" w:cs="Arial"/>
                <w:b/>
                <w:bCs/>
                <w:color w:val="FFFFFF"/>
                <w:sz w:val="20"/>
                <w:szCs w:val="20"/>
                <w:lang w:val="sq-AL" w:eastAsia="en-US"/>
              </w:rPr>
            </w:pPr>
            <w:r w:rsidRPr="003E7289">
              <w:rPr>
                <w:rFonts w:ascii="Arial" w:eastAsia="Aptos" w:hAnsi="Arial" w:cs="Arial"/>
                <w:b/>
                <w:bCs/>
                <w:color w:val="FFFFFF"/>
                <w:sz w:val="20"/>
                <w:szCs w:val="20"/>
                <w:lang w:val="sq-AL"/>
              </w:rPr>
              <w:t>Gjendja fillestare</w:t>
            </w:r>
          </w:p>
        </w:tc>
        <w:tc>
          <w:tcPr>
            <w:tcW w:w="1374" w:type="pct"/>
            <w:gridSpan w:val="8"/>
            <w:shd w:val="clear" w:color="auto" w:fill="22635D"/>
            <w:vAlign w:val="center"/>
          </w:tcPr>
          <w:p w14:paraId="31452BC3" w14:textId="70A218D4" w:rsidR="00D617FD" w:rsidRPr="003E7289" w:rsidRDefault="00D617FD" w:rsidP="00D617FD">
            <w:pPr>
              <w:autoSpaceDE w:val="0"/>
              <w:autoSpaceDN w:val="0"/>
              <w:adjustRightInd w:val="0"/>
              <w:spacing w:before="0" w:line="240" w:lineRule="auto"/>
              <w:jc w:val="center"/>
              <w:rPr>
                <w:rFonts w:ascii="Arial" w:eastAsia="Aptos" w:hAnsi="Arial" w:cs="Arial"/>
                <w:b/>
                <w:bCs/>
                <w:color w:val="FFFFFF"/>
                <w:sz w:val="20"/>
                <w:szCs w:val="20"/>
                <w:lang w:val="sq-AL"/>
              </w:rPr>
            </w:pPr>
          </w:p>
          <w:p w14:paraId="45AC9C7A" w14:textId="77777777" w:rsidR="00D617FD" w:rsidRPr="003E7289" w:rsidRDefault="00D617FD" w:rsidP="00D617FD">
            <w:pPr>
              <w:autoSpaceDE w:val="0"/>
              <w:autoSpaceDN w:val="0"/>
              <w:adjustRightInd w:val="0"/>
              <w:spacing w:before="0" w:line="240" w:lineRule="auto"/>
              <w:jc w:val="center"/>
              <w:rPr>
                <w:rFonts w:ascii="Arial" w:eastAsia="Aptos" w:hAnsi="Arial" w:cs="Arial"/>
                <w:b/>
                <w:bCs/>
                <w:color w:val="FFFFFF"/>
                <w:sz w:val="20"/>
                <w:szCs w:val="20"/>
                <w:lang w:val="sq-AL"/>
              </w:rPr>
            </w:pPr>
            <w:r w:rsidRPr="003E7289">
              <w:rPr>
                <w:rFonts w:ascii="Arial" w:eastAsia="Aptos" w:hAnsi="Arial" w:cs="Arial"/>
                <w:b/>
                <w:bCs/>
                <w:color w:val="FFFFFF"/>
                <w:sz w:val="20"/>
                <w:szCs w:val="20"/>
                <w:lang w:val="sq-AL"/>
              </w:rPr>
              <w:t>Objektivi i përkohshëm [2030]</w:t>
            </w:r>
          </w:p>
          <w:p w14:paraId="7172A938" w14:textId="0089606F" w:rsidR="006B13EF" w:rsidRPr="003E7289" w:rsidRDefault="006B13EF" w:rsidP="00A70686">
            <w:pPr>
              <w:autoSpaceDE w:val="0"/>
              <w:autoSpaceDN w:val="0"/>
              <w:adjustRightInd w:val="0"/>
              <w:spacing w:before="0" w:line="240" w:lineRule="auto"/>
              <w:jc w:val="center"/>
              <w:rPr>
                <w:rFonts w:ascii="Arial" w:eastAsia="Aptos" w:hAnsi="Arial" w:cs="Arial"/>
                <w:b/>
                <w:bCs/>
                <w:color w:val="FFFFFF"/>
                <w:sz w:val="20"/>
                <w:szCs w:val="20"/>
                <w:lang w:val="sq-AL" w:eastAsia="en-US"/>
              </w:rPr>
            </w:pPr>
          </w:p>
        </w:tc>
        <w:tc>
          <w:tcPr>
            <w:tcW w:w="546" w:type="pct"/>
            <w:gridSpan w:val="3"/>
            <w:shd w:val="clear" w:color="auto" w:fill="22635D"/>
            <w:vAlign w:val="center"/>
          </w:tcPr>
          <w:p w14:paraId="56D2B83D" w14:textId="032D1124" w:rsidR="006B13EF" w:rsidRPr="003E7289" w:rsidRDefault="00D617FD" w:rsidP="00A70686">
            <w:pPr>
              <w:autoSpaceDE w:val="0"/>
              <w:autoSpaceDN w:val="0"/>
              <w:adjustRightInd w:val="0"/>
              <w:spacing w:before="0" w:line="240" w:lineRule="auto"/>
              <w:jc w:val="center"/>
              <w:rPr>
                <w:rFonts w:ascii="Arial" w:eastAsia="Aptos" w:hAnsi="Arial" w:cs="Arial"/>
                <w:b/>
                <w:bCs/>
                <w:color w:val="FFFFFF"/>
                <w:sz w:val="20"/>
                <w:szCs w:val="20"/>
                <w:lang w:val="sq-AL" w:eastAsia="en-US"/>
              </w:rPr>
            </w:pPr>
            <w:r w:rsidRPr="003E7289">
              <w:rPr>
                <w:rFonts w:ascii="Arial" w:eastAsia="Aptos" w:hAnsi="Arial" w:cs="Arial"/>
                <w:b/>
                <w:bCs/>
                <w:color w:val="FFFFFF"/>
                <w:sz w:val="20"/>
                <w:szCs w:val="20"/>
                <w:lang w:val="sq-AL"/>
              </w:rPr>
              <w:t>Objektivi i vitit të fundit [2040]</w:t>
            </w:r>
          </w:p>
        </w:tc>
        <w:tc>
          <w:tcPr>
            <w:tcW w:w="1589" w:type="pct"/>
            <w:gridSpan w:val="5"/>
            <w:shd w:val="clear" w:color="auto" w:fill="22635D"/>
            <w:vAlign w:val="center"/>
          </w:tcPr>
          <w:p w14:paraId="6CF2CF67" w14:textId="11D42BBF" w:rsidR="006B13EF" w:rsidRPr="003E7289" w:rsidRDefault="00D617FD" w:rsidP="00A70686">
            <w:pPr>
              <w:autoSpaceDE w:val="0"/>
              <w:autoSpaceDN w:val="0"/>
              <w:adjustRightInd w:val="0"/>
              <w:spacing w:before="0" w:line="240" w:lineRule="auto"/>
              <w:jc w:val="center"/>
              <w:rPr>
                <w:rFonts w:ascii="Arial" w:eastAsia="Aptos" w:hAnsi="Arial" w:cs="Arial"/>
                <w:b/>
                <w:bCs/>
                <w:color w:val="FFFFFF"/>
                <w:sz w:val="20"/>
                <w:szCs w:val="20"/>
                <w:lang w:val="sq-AL" w:eastAsia="en-US"/>
              </w:rPr>
            </w:pPr>
            <w:r w:rsidRPr="003E7289">
              <w:rPr>
                <w:rFonts w:ascii="Arial" w:eastAsia="Aptos" w:hAnsi="Arial" w:cs="Arial"/>
                <w:b/>
                <w:bCs/>
                <w:color w:val="FFFFFF"/>
                <w:sz w:val="20"/>
                <w:szCs w:val="20"/>
                <w:lang w:val="sq-AL"/>
              </w:rPr>
              <w:t>Rezultati</w:t>
            </w:r>
          </w:p>
        </w:tc>
      </w:tr>
      <w:tr w:rsidR="00666AA0" w:rsidRPr="003E7289" w14:paraId="6DE5977F" w14:textId="77777777" w:rsidTr="00C65386">
        <w:trPr>
          <w:cantSplit/>
          <w:trHeight w:val="20"/>
        </w:trPr>
        <w:tc>
          <w:tcPr>
            <w:tcW w:w="4974" w:type="pct"/>
            <w:gridSpan w:val="25"/>
            <w:shd w:val="clear" w:color="auto" w:fill="ACE2DD"/>
            <w:vAlign w:val="center"/>
          </w:tcPr>
          <w:p w14:paraId="6A482CA5" w14:textId="48D8CF18" w:rsidR="006B13EF" w:rsidRPr="003E7289" w:rsidRDefault="00D617FD" w:rsidP="00A70686">
            <w:pPr>
              <w:spacing w:before="0" w:line="240" w:lineRule="auto"/>
              <w:rPr>
                <w:rFonts w:ascii="Arial" w:eastAsia="Aptos" w:hAnsi="Arial" w:cs="Arial"/>
                <w:sz w:val="20"/>
                <w:szCs w:val="20"/>
                <w:highlight w:val="yellow"/>
                <w:lang w:val="sq-AL" w:eastAsia="en-US"/>
              </w:rPr>
            </w:pPr>
            <w:r w:rsidRPr="003E7289">
              <w:rPr>
                <w:rFonts w:ascii="Arial" w:eastAsia="Aptos" w:hAnsi="Arial" w:cs="Arial"/>
                <w:b/>
                <w:bCs/>
                <w:sz w:val="20"/>
                <w:szCs w:val="20"/>
                <w:lang w:val="sq-AL"/>
              </w:rPr>
              <w:t>Objektivi strategjik</w:t>
            </w:r>
            <w:r w:rsidR="006B13EF" w:rsidRPr="003E7289">
              <w:rPr>
                <w:rFonts w:ascii="Arial" w:eastAsia="Aptos" w:hAnsi="Arial" w:cs="Arial"/>
                <w:b/>
                <w:bCs/>
                <w:sz w:val="20"/>
                <w:szCs w:val="20"/>
                <w:lang w:val="sq-AL"/>
              </w:rPr>
              <w:t xml:space="preserve"> I:</w:t>
            </w:r>
            <w:r w:rsidR="006B13EF" w:rsidRPr="003E7289">
              <w:rPr>
                <w:rFonts w:ascii="Arial" w:eastAsia="Aptos" w:hAnsi="Arial" w:cs="Arial"/>
                <w:sz w:val="20"/>
                <w:szCs w:val="20"/>
                <w:lang w:val="sq-AL"/>
              </w:rPr>
              <w:t xml:space="preserve"> </w:t>
            </w:r>
            <w:r w:rsidR="00C63DE6" w:rsidRPr="003E7289">
              <w:rPr>
                <w:rFonts w:ascii="Arial" w:eastAsia="Aptos" w:hAnsi="Arial" w:cs="Arial"/>
                <w:sz w:val="20"/>
                <w:szCs w:val="20"/>
                <w:lang w:val="sq-AL"/>
              </w:rPr>
              <w:t>Forcimi i sigurisë së ujit përmes menaxhimit të qëndrueshëm të burimeve, infrastrukturës reziliente ndaj klimës dhe qeverisjes përshtatëse, duke siguruar sasi të mjaftueshme të ujit cilësor dhe të pastër për të përmbushur nevojat e të gjithë sektorëve dhe ekosistemeve.</w:t>
            </w:r>
          </w:p>
        </w:tc>
      </w:tr>
      <w:tr w:rsidR="004807C9" w:rsidRPr="003E7289" w14:paraId="0AF2BA35" w14:textId="77777777" w:rsidTr="00C65386">
        <w:trPr>
          <w:cantSplit/>
          <w:trHeight w:val="20"/>
        </w:trPr>
        <w:tc>
          <w:tcPr>
            <w:tcW w:w="926" w:type="pct"/>
            <w:gridSpan w:val="5"/>
            <w:vAlign w:val="center"/>
          </w:tcPr>
          <w:p w14:paraId="1BF1D003" w14:textId="61037A03" w:rsidR="006B13EF" w:rsidRPr="003E7289" w:rsidRDefault="00C63DE6" w:rsidP="004807C9">
            <w:pPr>
              <w:spacing w:before="0" w:line="240" w:lineRule="auto"/>
              <w:rPr>
                <w:rFonts w:ascii="Arial" w:eastAsia="Aptos" w:hAnsi="Arial" w:cs="Arial"/>
                <w:b/>
                <w:bCs/>
                <w:sz w:val="20"/>
                <w:szCs w:val="20"/>
                <w:lang w:val="sq-AL" w:eastAsia="en-US"/>
              </w:rPr>
            </w:pPr>
            <w:r w:rsidRPr="003E7289">
              <w:rPr>
                <w:rFonts w:ascii="Arial" w:eastAsia="Aptos" w:hAnsi="Arial" w:cs="Arial"/>
                <w:b/>
                <w:bCs/>
                <w:sz w:val="20"/>
                <w:szCs w:val="20"/>
                <w:lang w:val="sq-AL"/>
              </w:rPr>
              <w:t>Përqindja e Objektivave Specifikë të prioritarizuara nën Objektivin Strategjik I që janë plotësisht të zbatuara ose të operacionalizuara</w:t>
            </w:r>
          </w:p>
        </w:tc>
        <w:tc>
          <w:tcPr>
            <w:tcW w:w="540" w:type="pct"/>
            <w:gridSpan w:val="4"/>
            <w:vAlign w:val="center"/>
          </w:tcPr>
          <w:p w14:paraId="26C5B3B8" w14:textId="77777777" w:rsidR="006B13EF" w:rsidRPr="003E7289" w:rsidRDefault="006B13EF" w:rsidP="00A70686">
            <w:pPr>
              <w:spacing w:before="0" w:line="240" w:lineRule="auto"/>
              <w:jc w:val="center"/>
              <w:rPr>
                <w:rFonts w:ascii="Arial" w:eastAsia="Aptos" w:hAnsi="Arial" w:cs="Arial"/>
                <w:bCs/>
                <w:sz w:val="20"/>
                <w:szCs w:val="20"/>
                <w:lang w:val="sq-AL" w:eastAsia="en-US"/>
              </w:rPr>
            </w:pPr>
            <w:r w:rsidRPr="003E7289">
              <w:rPr>
                <w:rFonts w:ascii="Arial" w:eastAsia="Aptos" w:hAnsi="Arial" w:cs="Arial"/>
                <w:bCs/>
                <w:sz w:val="20"/>
                <w:szCs w:val="20"/>
                <w:lang w:val="sq-AL"/>
              </w:rPr>
              <w:t>0%</w:t>
            </w:r>
          </w:p>
        </w:tc>
        <w:tc>
          <w:tcPr>
            <w:tcW w:w="1374" w:type="pct"/>
            <w:gridSpan w:val="8"/>
            <w:vAlign w:val="center"/>
          </w:tcPr>
          <w:p w14:paraId="098C6F44" w14:textId="77777777" w:rsidR="006B13EF" w:rsidRPr="003E7289" w:rsidRDefault="006B13EF" w:rsidP="00A70686">
            <w:pPr>
              <w:spacing w:before="0" w:line="240" w:lineRule="auto"/>
              <w:jc w:val="center"/>
              <w:rPr>
                <w:rFonts w:ascii="Arial" w:eastAsia="Aptos" w:hAnsi="Arial" w:cs="Arial"/>
                <w:bCs/>
                <w:sz w:val="20"/>
                <w:szCs w:val="20"/>
                <w:lang w:val="sq-AL" w:eastAsia="en-US"/>
              </w:rPr>
            </w:pPr>
            <w:r w:rsidRPr="003E7289">
              <w:rPr>
                <w:rFonts w:ascii="Arial" w:eastAsia="Aptos" w:hAnsi="Arial" w:cs="Arial"/>
                <w:bCs/>
                <w:sz w:val="20"/>
                <w:szCs w:val="20"/>
                <w:lang w:val="sq-AL"/>
              </w:rPr>
              <w:t>30%</w:t>
            </w:r>
          </w:p>
        </w:tc>
        <w:tc>
          <w:tcPr>
            <w:tcW w:w="546" w:type="pct"/>
            <w:gridSpan w:val="3"/>
            <w:vAlign w:val="center"/>
          </w:tcPr>
          <w:p w14:paraId="6B9539E0" w14:textId="77777777" w:rsidR="006B13EF" w:rsidRPr="003E7289" w:rsidRDefault="006B13EF" w:rsidP="00A70686">
            <w:pPr>
              <w:spacing w:before="0" w:line="240" w:lineRule="auto"/>
              <w:jc w:val="center"/>
              <w:rPr>
                <w:rFonts w:ascii="Arial" w:eastAsia="Aptos" w:hAnsi="Arial" w:cs="Arial"/>
                <w:bCs/>
                <w:sz w:val="20"/>
                <w:szCs w:val="20"/>
                <w:lang w:val="sq-AL" w:eastAsia="en-US"/>
              </w:rPr>
            </w:pPr>
            <w:r w:rsidRPr="003E7289">
              <w:rPr>
                <w:rFonts w:ascii="Arial" w:eastAsia="Aptos" w:hAnsi="Arial" w:cs="Arial"/>
                <w:bCs/>
                <w:sz w:val="20"/>
                <w:szCs w:val="20"/>
                <w:lang w:val="sq-AL"/>
              </w:rPr>
              <w:t>100%</w:t>
            </w:r>
          </w:p>
        </w:tc>
        <w:tc>
          <w:tcPr>
            <w:tcW w:w="1589" w:type="pct"/>
            <w:gridSpan w:val="5"/>
            <w:vAlign w:val="center"/>
          </w:tcPr>
          <w:p w14:paraId="56DA2CBA" w14:textId="638BA114" w:rsidR="006B13EF" w:rsidRPr="003E7289" w:rsidRDefault="00C63DE6" w:rsidP="004807C9">
            <w:pPr>
              <w:spacing w:before="0" w:line="240" w:lineRule="auto"/>
              <w:rPr>
                <w:rFonts w:ascii="Arial" w:eastAsia="Aptos" w:hAnsi="Arial" w:cs="Arial"/>
                <w:bCs/>
                <w:sz w:val="20"/>
                <w:szCs w:val="20"/>
                <w:lang w:val="sq-AL" w:eastAsia="en-US"/>
              </w:rPr>
            </w:pPr>
            <w:r w:rsidRPr="003E7289">
              <w:rPr>
                <w:rFonts w:ascii="Arial" w:eastAsia="Aptos" w:hAnsi="Arial" w:cs="Arial"/>
                <w:sz w:val="20"/>
                <w:szCs w:val="20"/>
                <w:lang w:val="sq-AL"/>
              </w:rPr>
              <w:t>Forcimi i sigurisë së ujit përmes menaxhimit të qëndrueshëm të burimeve, infrastrukturës reziliente ndaj klimës dhe qeverisjes përshtatëse, duke siguruar sasi të mjaftueshme të ujit cilësor dhe të pastër për të përmbushur nevojat e të gjithë sektorëve dhe ekosistemeve.</w:t>
            </w:r>
          </w:p>
        </w:tc>
      </w:tr>
      <w:tr w:rsidR="00666AA0" w:rsidRPr="003E7289" w14:paraId="1644FA52" w14:textId="77777777" w:rsidTr="00C65386">
        <w:trPr>
          <w:cantSplit/>
          <w:trHeight w:val="20"/>
        </w:trPr>
        <w:tc>
          <w:tcPr>
            <w:tcW w:w="4974" w:type="pct"/>
            <w:gridSpan w:val="25"/>
            <w:shd w:val="clear" w:color="auto" w:fill="0F4761"/>
            <w:vAlign w:val="center"/>
          </w:tcPr>
          <w:p w14:paraId="1CDE468B" w14:textId="6070AEE0" w:rsidR="006B13EF" w:rsidRPr="003E7289" w:rsidRDefault="0040465B" w:rsidP="00A70686">
            <w:pPr>
              <w:spacing w:before="0" w:line="240" w:lineRule="auto"/>
              <w:jc w:val="center"/>
              <w:rPr>
                <w:rFonts w:ascii="Arial" w:eastAsia="Aptos" w:hAnsi="Arial" w:cs="Arial"/>
                <w:b/>
                <w:bCs/>
                <w:color w:val="FFFFFF"/>
                <w:sz w:val="20"/>
                <w:szCs w:val="20"/>
                <w:lang w:val="sq-AL" w:eastAsia="en-US"/>
              </w:rPr>
            </w:pPr>
            <w:r w:rsidRPr="003E7289">
              <w:rPr>
                <w:rFonts w:ascii="Arial" w:eastAsia="Aptos" w:hAnsi="Arial" w:cs="Arial"/>
                <w:b/>
                <w:bCs/>
                <w:color w:val="FFFFFF"/>
                <w:sz w:val="20"/>
                <w:szCs w:val="20"/>
                <w:lang w:val="sq-AL"/>
              </w:rPr>
              <w:t>Prioriteti kyç për përshtatje</w:t>
            </w:r>
            <w:r w:rsidR="006B13EF" w:rsidRPr="003E7289">
              <w:rPr>
                <w:rFonts w:ascii="Arial" w:eastAsia="Aptos" w:hAnsi="Arial" w:cs="Arial"/>
                <w:b/>
                <w:bCs/>
                <w:color w:val="FFFFFF"/>
                <w:sz w:val="20"/>
                <w:szCs w:val="20"/>
                <w:lang w:val="sq-AL"/>
              </w:rPr>
              <w:t>:</w:t>
            </w:r>
            <w:r w:rsidR="00E0225B" w:rsidRPr="003E7289">
              <w:rPr>
                <w:rFonts w:ascii="Arial" w:hAnsi="Arial" w:cs="Arial"/>
              </w:rPr>
              <w:t xml:space="preserve"> </w:t>
            </w:r>
            <w:r w:rsidR="00E0225B" w:rsidRPr="003E7289">
              <w:rPr>
                <w:rFonts w:ascii="Arial" w:eastAsia="Aptos" w:hAnsi="Arial" w:cs="Arial"/>
                <w:b/>
                <w:bCs/>
                <w:color w:val="FFFFFF"/>
                <w:sz w:val="20"/>
                <w:szCs w:val="20"/>
                <w:lang w:val="sq-AL"/>
              </w:rPr>
              <w:t>Infrastrukturë ujore e qëndrueshme ndaj ndryshimit të klimës</w:t>
            </w:r>
          </w:p>
        </w:tc>
      </w:tr>
      <w:tr w:rsidR="00666AA0" w:rsidRPr="003E7289" w14:paraId="4D35BD4C" w14:textId="77777777" w:rsidTr="00C65386">
        <w:trPr>
          <w:cantSplit/>
          <w:trHeight w:val="20"/>
        </w:trPr>
        <w:tc>
          <w:tcPr>
            <w:tcW w:w="250" w:type="pct"/>
            <w:shd w:val="clear" w:color="auto" w:fill="84CCEC"/>
            <w:vAlign w:val="center"/>
          </w:tcPr>
          <w:p w14:paraId="6F43DBA0" w14:textId="77777777" w:rsidR="006B13EF" w:rsidRPr="003E7289" w:rsidRDefault="006B13EF" w:rsidP="00A70686">
            <w:pPr>
              <w:spacing w:before="0" w:line="240" w:lineRule="auto"/>
              <w:jc w:val="center"/>
              <w:rPr>
                <w:rFonts w:ascii="Arial" w:eastAsia="Aptos" w:hAnsi="Arial" w:cs="Arial"/>
                <w:b/>
                <w:bCs/>
                <w:sz w:val="20"/>
                <w:szCs w:val="20"/>
                <w:highlight w:val="green"/>
                <w:lang w:val="sq-AL" w:eastAsia="en-US"/>
              </w:rPr>
            </w:pPr>
            <w:r w:rsidRPr="003E7289">
              <w:rPr>
                <w:rFonts w:ascii="Arial" w:eastAsia="Aptos" w:hAnsi="Arial" w:cs="Arial"/>
                <w:b/>
                <w:bCs/>
                <w:sz w:val="20"/>
                <w:szCs w:val="20"/>
                <w:lang w:val="sq-AL"/>
              </w:rPr>
              <w:t>I.1</w:t>
            </w:r>
          </w:p>
        </w:tc>
        <w:tc>
          <w:tcPr>
            <w:tcW w:w="4724" w:type="pct"/>
            <w:gridSpan w:val="24"/>
            <w:shd w:val="clear" w:color="auto" w:fill="84CCEC"/>
            <w:vAlign w:val="center"/>
          </w:tcPr>
          <w:p w14:paraId="194D800A" w14:textId="6E9A4E5B" w:rsidR="006B13EF" w:rsidRPr="003E7289" w:rsidRDefault="00C63DE6" w:rsidP="00A70686">
            <w:pPr>
              <w:spacing w:before="0" w:line="240" w:lineRule="auto"/>
              <w:jc w:val="center"/>
              <w:rPr>
                <w:rFonts w:ascii="Arial" w:eastAsia="Aptos" w:hAnsi="Arial" w:cs="Arial"/>
                <w:b/>
                <w:bCs/>
                <w:sz w:val="20"/>
                <w:szCs w:val="20"/>
                <w:highlight w:val="green"/>
                <w:lang w:val="sq-AL" w:eastAsia="en-US"/>
              </w:rPr>
            </w:pPr>
            <w:r w:rsidRPr="003E7289">
              <w:rPr>
                <w:rFonts w:ascii="Arial" w:eastAsia="Aptos" w:hAnsi="Arial" w:cs="Arial"/>
                <w:b/>
                <w:bCs/>
                <w:sz w:val="20"/>
                <w:szCs w:val="20"/>
                <w:lang w:val="sq-AL"/>
              </w:rPr>
              <w:t>Përmirësimi i infrastrukturës për ruajtjen e ujit.</w:t>
            </w:r>
          </w:p>
        </w:tc>
      </w:tr>
      <w:tr w:rsidR="004807C9" w:rsidRPr="003E7289" w14:paraId="182D3ADC" w14:textId="77777777" w:rsidTr="00C65386">
        <w:trPr>
          <w:cantSplit/>
          <w:trHeight w:val="20"/>
        </w:trPr>
        <w:tc>
          <w:tcPr>
            <w:tcW w:w="926" w:type="pct"/>
            <w:gridSpan w:val="5"/>
            <w:vAlign w:val="center"/>
          </w:tcPr>
          <w:p w14:paraId="21ABF942" w14:textId="0DBC539B" w:rsidR="006B13EF" w:rsidRPr="003E7289" w:rsidRDefault="00C63DE6" w:rsidP="00C63DE6">
            <w:pPr>
              <w:spacing w:before="0" w:line="240" w:lineRule="auto"/>
              <w:jc w:val="center"/>
              <w:rPr>
                <w:rFonts w:ascii="Arial" w:eastAsia="Aptos" w:hAnsi="Arial" w:cs="Arial"/>
                <w:i/>
                <w:iCs/>
                <w:sz w:val="20"/>
                <w:szCs w:val="20"/>
                <w:highlight w:val="green"/>
                <w:lang w:val="sq-AL" w:eastAsia="en-US"/>
              </w:rPr>
            </w:pPr>
            <w:r w:rsidRPr="003E7289">
              <w:rPr>
                <w:rFonts w:ascii="Arial" w:eastAsia="Aptos" w:hAnsi="Arial" w:cs="Arial"/>
                <w:b/>
                <w:bCs/>
                <w:sz w:val="20"/>
                <w:szCs w:val="20"/>
                <w:lang w:val="sq-AL"/>
              </w:rPr>
              <w:t>Numri i digave të ndërtuara dhe në funksion</w:t>
            </w:r>
          </w:p>
        </w:tc>
        <w:tc>
          <w:tcPr>
            <w:tcW w:w="540" w:type="pct"/>
            <w:gridSpan w:val="4"/>
            <w:vAlign w:val="center"/>
          </w:tcPr>
          <w:p w14:paraId="5D861AFD" w14:textId="22145A5F" w:rsidR="006B13EF" w:rsidRPr="003E7289" w:rsidRDefault="00C63DE6" w:rsidP="00C63DE6">
            <w:pPr>
              <w:spacing w:before="0" w:line="240" w:lineRule="auto"/>
              <w:rPr>
                <w:rFonts w:ascii="Arial" w:eastAsia="Aptos" w:hAnsi="Arial" w:cs="Arial"/>
                <w:sz w:val="20"/>
                <w:szCs w:val="20"/>
                <w:lang w:val="sq-AL" w:eastAsia="en-US"/>
              </w:rPr>
            </w:pPr>
            <w:r w:rsidRPr="003E7289">
              <w:rPr>
                <w:rFonts w:ascii="Arial" w:eastAsia="Aptos" w:hAnsi="Arial" w:cs="Arial"/>
                <w:sz w:val="20"/>
                <w:szCs w:val="20"/>
                <w:lang w:val="sq-AL"/>
              </w:rPr>
              <w:t>Studimet e fizibilitetit dhe projektet paraprake të përfunduara.</w:t>
            </w:r>
          </w:p>
        </w:tc>
        <w:tc>
          <w:tcPr>
            <w:tcW w:w="1374" w:type="pct"/>
            <w:gridSpan w:val="8"/>
            <w:vAlign w:val="center"/>
          </w:tcPr>
          <w:p w14:paraId="7CC636B8" w14:textId="783EE05F" w:rsidR="006B13EF" w:rsidRPr="003E7289" w:rsidRDefault="00C63DE6" w:rsidP="00C63DE6">
            <w:pPr>
              <w:spacing w:before="0" w:line="240" w:lineRule="auto"/>
              <w:rPr>
                <w:rFonts w:ascii="Arial" w:eastAsia="Aptos" w:hAnsi="Arial" w:cs="Arial"/>
                <w:sz w:val="20"/>
                <w:szCs w:val="20"/>
                <w:lang w:val="sq-AL" w:eastAsia="en-US"/>
              </w:rPr>
            </w:pPr>
            <w:r w:rsidRPr="003E7289">
              <w:rPr>
                <w:rFonts w:ascii="Arial" w:eastAsia="Aptos" w:hAnsi="Arial" w:cs="Arial"/>
                <w:sz w:val="20"/>
                <w:szCs w:val="20"/>
                <w:lang w:val="sq-AL"/>
              </w:rPr>
              <w:t>Hetimet në terren, Vlerësimet e Ndikimit në Mjedis (VNM) dhe fillimi i hartimit të projektit të detajuar.</w:t>
            </w:r>
          </w:p>
        </w:tc>
        <w:tc>
          <w:tcPr>
            <w:tcW w:w="546" w:type="pct"/>
            <w:gridSpan w:val="3"/>
            <w:vAlign w:val="center"/>
          </w:tcPr>
          <w:p w14:paraId="5B2E36BD" w14:textId="5C286DBF" w:rsidR="006B13EF" w:rsidRPr="003E7289" w:rsidRDefault="00C63DE6" w:rsidP="00C63DE6">
            <w:pPr>
              <w:spacing w:before="0" w:line="240" w:lineRule="auto"/>
              <w:rPr>
                <w:rFonts w:ascii="Arial" w:eastAsia="Aptos" w:hAnsi="Arial" w:cs="Arial"/>
                <w:sz w:val="20"/>
                <w:szCs w:val="20"/>
                <w:lang w:val="sq-AL" w:eastAsia="en-US"/>
              </w:rPr>
            </w:pPr>
            <w:r w:rsidRPr="003E7289">
              <w:rPr>
                <w:rFonts w:ascii="Arial" w:eastAsia="Aptos" w:hAnsi="Arial" w:cs="Arial"/>
                <w:sz w:val="20"/>
                <w:szCs w:val="20"/>
                <w:lang w:val="sq-AL"/>
              </w:rPr>
              <w:t>Fillimi i projektit të detajuar dhe dokumentacionit të tenderimit.</w:t>
            </w:r>
          </w:p>
        </w:tc>
        <w:tc>
          <w:tcPr>
            <w:tcW w:w="1589" w:type="pct"/>
            <w:gridSpan w:val="5"/>
            <w:vAlign w:val="center"/>
          </w:tcPr>
          <w:p w14:paraId="16F6E148" w14:textId="260681DB" w:rsidR="006B13EF" w:rsidRPr="003E7289" w:rsidRDefault="00C63DE6" w:rsidP="00C63DE6">
            <w:pPr>
              <w:spacing w:before="0" w:line="240" w:lineRule="auto"/>
              <w:rPr>
                <w:rFonts w:ascii="Arial" w:eastAsia="Aptos" w:hAnsi="Arial" w:cs="Arial"/>
                <w:sz w:val="20"/>
                <w:szCs w:val="20"/>
                <w:lang w:val="sq-AL" w:eastAsia="en-US"/>
              </w:rPr>
            </w:pPr>
            <w:r w:rsidRPr="003E7289">
              <w:rPr>
                <w:rFonts w:ascii="Arial" w:eastAsia="Aptos" w:hAnsi="Arial" w:cs="Arial"/>
                <w:sz w:val="20"/>
                <w:szCs w:val="20"/>
                <w:lang w:val="sq-AL"/>
              </w:rPr>
              <w:t>Pesë (5) diga të reja të ndërtuara dhe në funksion me kapacitet të përgjithshëm prej rreth 56.4 milionë m³.</w:t>
            </w:r>
          </w:p>
        </w:tc>
      </w:tr>
      <w:tr w:rsidR="00C65386" w:rsidRPr="003E7289" w14:paraId="5659DB7B" w14:textId="77777777" w:rsidTr="00C65386">
        <w:trPr>
          <w:cantSplit/>
          <w:trHeight w:val="20"/>
        </w:trPr>
        <w:tc>
          <w:tcPr>
            <w:tcW w:w="250" w:type="pct"/>
            <w:vMerge w:val="restart"/>
            <w:shd w:val="clear" w:color="auto" w:fill="C6E7F6"/>
            <w:vAlign w:val="center"/>
          </w:tcPr>
          <w:p w14:paraId="1A37CA23"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Nr.</w:t>
            </w:r>
          </w:p>
        </w:tc>
        <w:tc>
          <w:tcPr>
            <w:tcW w:w="676" w:type="pct"/>
            <w:gridSpan w:val="4"/>
            <w:vMerge w:val="restart"/>
            <w:shd w:val="clear" w:color="auto" w:fill="C6E7F6"/>
            <w:vAlign w:val="center"/>
          </w:tcPr>
          <w:p w14:paraId="69526DBD" w14:textId="73700EC4" w:rsidR="006B13EF" w:rsidRPr="003E7289" w:rsidRDefault="000D1635" w:rsidP="00A70686">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Veprimi</w:t>
            </w:r>
          </w:p>
        </w:tc>
        <w:tc>
          <w:tcPr>
            <w:tcW w:w="540" w:type="pct"/>
            <w:gridSpan w:val="4"/>
            <w:vMerge w:val="restart"/>
            <w:shd w:val="clear" w:color="auto" w:fill="C6E7F6"/>
            <w:vAlign w:val="center"/>
          </w:tcPr>
          <w:p w14:paraId="1A48E160" w14:textId="52DB5274" w:rsidR="006B13EF" w:rsidRPr="003E7289" w:rsidRDefault="000D1635"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Afati I fundit</w:t>
            </w:r>
          </w:p>
        </w:tc>
        <w:tc>
          <w:tcPr>
            <w:tcW w:w="1374" w:type="pct"/>
            <w:gridSpan w:val="8"/>
            <w:shd w:val="clear" w:color="auto" w:fill="C6E7F6"/>
            <w:vAlign w:val="center"/>
          </w:tcPr>
          <w:p w14:paraId="78FAE10F" w14:textId="44E32139"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w:t>
            </w:r>
            <w:r w:rsidR="000D1635" w:rsidRPr="003E7289">
              <w:rPr>
                <w:rFonts w:ascii="Arial" w:eastAsia="Aptos" w:hAnsi="Arial" w:cs="Arial"/>
                <w:b/>
                <w:bCs/>
                <w:sz w:val="20"/>
                <w:szCs w:val="20"/>
                <w:lang w:val="sq-AL"/>
              </w:rPr>
              <w:t>xheti</w:t>
            </w:r>
          </w:p>
        </w:tc>
        <w:tc>
          <w:tcPr>
            <w:tcW w:w="546" w:type="pct"/>
            <w:gridSpan w:val="3"/>
            <w:vMerge w:val="restart"/>
            <w:shd w:val="clear" w:color="auto" w:fill="C6E7F6"/>
            <w:vAlign w:val="center"/>
          </w:tcPr>
          <w:p w14:paraId="4B98FDB3" w14:textId="010FCA8A" w:rsidR="006B13EF"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Burimi i financimit</w:t>
            </w:r>
          </w:p>
        </w:tc>
        <w:tc>
          <w:tcPr>
            <w:tcW w:w="681" w:type="pct"/>
            <w:gridSpan w:val="3"/>
            <w:vMerge w:val="restart"/>
            <w:shd w:val="clear" w:color="auto" w:fill="C6E7F6"/>
            <w:vAlign w:val="center"/>
          </w:tcPr>
          <w:p w14:paraId="4749A29B" w14:textId="5FB92ABB" w:rsidR="006B13EF"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Institucionet përgjegjëse dhe partnere</w:t>
            </w:r>
          </w:p>
        </w:tc>
        <w:tc>
          <w:tcPr>
            <w:tcW w:w="514" w:type="pct"/>
            <w:vMerge w:val="restart"/>
            <w:shd w:val="clear" w:color="auto" w:fill="C6E7F6"/>
            <w:vAlign w:val="center"/>
          </w:tcPr>
          <w:p w14:paraId="6EEFE155" w14:textId="1A567E8E" w:rsidR="006B13EF"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Rezultati i pritur</w:t>
            </w:r>
          </w:p>
        </w:tc>
        <w:tc>
          <w:tcPr>
            <w:tcW w:w="394" w:type="pct"/>
            <w:vMerge w:val="restart"/>
            <w:shd w:val="clear" w:color="auto" w:fill="C6E7F6"/>
            <w:vAlign w:val="center"/>
          </w:tcPr>
          <w:p w14:paraId="03A46F98" w14:textId="438A55C4" w:rsidR="006B13EF"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Dokumenti strategjik referues</w:t>
            </w:r>
          </w:p>
        </w:tc>
      </w:tr>
      <w:tr w:rsidR="00C65386" w:rsidRPr="003E7289" w14:paraId="33F7D69C" w14:textId="77777777" w:rsidTr="00C65386">
        <w:trPr>
          <w:cantSplit/>
          <w:trHeight w:val="20"/>
        </w:trPr>
        <w:tc>
          <w:tcPr>
            <w:tcW w:w="250" w:type="pct"/>
            <w:vMerge/>
            <w:vAlign w:val="center"/>
          </w:tcPr>
          <w:p w14:paraId="5045DF8A" w14:textId="77777777" w:rsidR="006B13EF" w:rsidRPr="003E7289" w:rsidRDefault="006B13EF" w:rsidP="00A70686">
            <w:pPr>
              <w:spacing w:before="0" w:line="240" w:lineRule="auto"/>
              <w:jc w:val="center"/>
              <w:rPr>
                <w:rFonts w:ascii="Arial" w:eastAsia="Aptos" w:hAnsi="Arial" w:cs="Arial"/>
                <w:sz w:val="20"/>
                <w:szCs w:val="20"/>
                <w:lang w:val="sq-AL" w:eastAsia="en-US"/>
              </w:rPr>
            </w:pPr>
          </w:p>
        </w:tc>
        <w:tc>
          <w:tcPr>
            <w:tcW w:w="676" w:type="pct"/>
            <w:gridSpan w:val="4"/>
            <w:vMerge/>
            <w:vAlign w:val="center"/>
          </w:tcPr>
          <w:p w14:paraId="239D9384"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p>
        </w:tc>
        <w:tc>
          <w:tcPr>
            <w:tcW w:w="540" w:type="pct"/>
            <w:gridSpan w:val="4"/>
            <w:vMerge/>
            <w:vAlign w:val="center"/>
          </w:tcPr>
          <w:p w14:paraId="6F30F562"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p>
        </w:tc>
        <w:tc>
          <w:tcPr>
            <w:tcW w:w="445" w:type="pct"/>
            <w:gridSpan w:val="3"/>
            <w:tcBorders>
              <w:bottom w:val="single" w:sz="4" w:space="0" w:color="auto"/>
            </w:tcBorders>
            <w:shd w:val="clear" w:color="auto" w:fill="C6E7F6"/>
            <w:vAlign w:val="center"/>
          </w:tcPr>
          <w:p w14:paraId="4442A6EA"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2026</w:t>
            </w:r>
          </w:p>
        </w:tc>
        <w:tc>
          <w:tcPr>
            <w:tcW w:w="381" w:type="pct"/>
            <w:gridSpan w:val="2"/>
            <w:tcBorders>
              <w:bottom w:val="single" w:sz="4" w:space="0" w:color="auto"/>
            </w:tcBorders>
            <w:shd w:val="clear" w:color="auto" w:fill="C6E7F6"/>
            <w:vAlign w:val="center"/>
          </w:tcPr>
          <w:p w14:paraId="4C0A31A7"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2027</w:t>
            </w:r>
          </w:p>
        </w:tc>
        <w:tc>
          <w:tcPr>
            <w:tcW w:w="548" w:type="pct"/>
            <w:gridSpan w:val="3"/>
            <w:tcBorders>
              <w:bottom w:val="single" w:sz="4" w:space="0" w:color="auto"/>
            </w:tcBorders>
            <w:shd w:val="clear" w:color="auto" w:fill="C6E7F6"/>
            <w:vAlign w:val="center"/>
          </w:tcPr>
          <w:p w14:paraId="3E1FBAEB"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2028</w:t>
            </w:r>
          </w:p>
        </w:tc>
        <w:tc>
          <w:tcPr>
            <w:tcW w:w="546" w:type="pct"/>
            <w:gridSpan w:val="3"/>
            <w:vMerge/>
            <w:vAlign w:val="center"/>
          </w:tcPr>
          <w:p w14:paraId="6252AEBF"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p>
        </w:tc>
        <w:tc>
          <w:tcPr>
            <w:tcW w:w="681" w:type="pct"/>
            <w:gridSpan w:val="3"/>
            <w:vMerge/>
            <w:vAlign w:val="center"/>
          </w:tcPr>
          <w:p w14:paraId="1906CC60"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p>
        </w:tc>
        <w:tc>
          <w:tcPr>
            <w:tcW w:w="514" w:type="pct"/>
            <w:vMerge/>
            <w:vAlign w:val="center"/>
          </w:tcPr>
          <w:p w14:paraId="34DB436F"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p>
        </w:tc>
        <w:tc>
          <w:tcPr>
            <w:tcW w:w="394" w:type="pct"/>
            <w:vMerge/>
            <w:vAlign w:val="center"/>
          </w:tcPr>
          <w:p w14:paraId="5AB6DAE1"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p>
        </w:tc>
      </w:tr>
      <w:tr w:rsidR="004807C9" w:rsidRPr="003E7289" w14:paraId="7F2D81BA" w14:textId="77777777" w:rsidTr="00C65386">
        <w:trPr>
          <w:cantSplit/>
          <w:trHeight w:val="20"/>
        </w:trPr>
        <w:tc>
          <w:tcPr>
            <w:tcW w:w="250" w:type="pct"/>
            <w:vAlign w:val="center"/>
          </w:tcPr>
          <w:p w14:paraId="45F0F597"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I.1.1.</w:t>
            </w:r>
          </w:p>
        </w:tc>
        <w:tc>
          <w:tcPr>
            <w:tcW w:w="676" w:type="pct"/>
            <w:gridSpan w:val="4"/>
            <w:vAlign w:val="center"/>
          </w:tcPr>
          <w:p w14:paraId="480A704E" w14:textId="5DF1BDE9" w:rsidR="006B13EF" w:rsidRPr="003E7289" w:rsidRDefault="00C63DE6" w:rsidP="00C63DE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Hartimi dhe ndërtimi i digës Desivojcë (</w:t>
            </w:r>
            <w:r w:rsidR="00004057" w:rsidRPr="003E7289">
              <w:rPr>
                <w:rFonts w:ascii="Arial" w:eastAsia="Aptos" w:hAnsi="Arial" w:cs="Arial"/>
                <w:b/>
                <w:bCs/>
                <w:sz w:val="20"/>
                <w:szCs w:val="20"/>
                <w:lang w:val="sq-AL"/>
              </w:rPr>
              <w:t xml:space="preserve">5.9 </w:t>
            </w:r>
            <w:r w:rsidRPr="003E7289">
              <w:rPr>
                <w:rFonts w:ascii="Arial" w:eastAsia="Aptos" w:hAnsi="Arial" w:cs="Arial"/>
                <w:b/>
                <w:bCs/>
                <w:sz w:val="20"/>
                <w:szCs w:val="20"/>
                <w:lang w:val="sq-AL"/>
              </w:rPr>
              <w:t>Mm³)</w:t>
            </w:r>
          </w:p>
        </w:tc>
        <w:tc>
          <w:tcPr>
            <w:tcW w:w="540" w:type="pct"/>
            <w:gridSpan w:val="4"/>
            <w:tcBorders>
              <w:right w:val="single" w:sz="4" w:space="0" w:color="auto"/>
            </w:tcBorders>
            <w:vAlign w:val="center"/>
          </w:tcPr>
          <w:p w14:paraId="538340FE"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sz w:val="20"/>
                <w:szCs w:val="20"/>
                <w:lang w:val="sq-AL"/>
              </w:rPr>
              <w:t>2040</w:t>
            </w:r>
          </w:p>
        </w:tc>
        <w:tc>
          <w:tcPr>
            <w:tcW w:w="445" w:type="pct"/>
            <w:gridSpan w:val="3"/>
            <w:tcBorders>
              <w:top w:val="single" w:sz="4" w:space="0" w:color="auto"/>
              <w:left w:val="single" w:sz="4" w:space="0" w:color="auto"/>
              <w:bottom w:val="single" w:sz="4" w:space="0" w:color="auto"/>
              <w:right w:val="single" w:sz="4" w:space="0" w:color="auto"/>
            </w:tcBorders>
            <w:vAlign w:val="center"/>
          </w:tcPr>
          <w:p w14:paraId="6D613640"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color w:val="000000"/>
                <w:sz w:val="20"/>
                <w:szCs w:val="20"/>
                <w:lang w:val="sq-AL"/>
              </w:rPr>
              <w:t>2.1  mil €</w:t>
            </w:r>
          </w:p>
        </w:tc>
        <w:tc>
          <w:tcPr>
            <w:tcW w:w="381" w:type="pct"/>
            <w:gridSpan w:val="2"/>
            <w:tcBorders>
              <w:top w:val="single" w:sz="4" w:space="0" w:color="auto"/>
              <w:left w:val="single" w:sz="4" w:space="0" w:color="auto"/>
              <w:bottom w:val="single" w:sz="4" w:space="0" w:color="auto"/>
              <w:right w:val="single" w:sz="4" w:space="0" w:color="auto"/>
            </w:tcBorders>
            <w:vAlign w:val="center"/>
          </w:tcPr>
          <w:p w14:paraId="456B1742"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color w:val="000000"/>
                <w:sz w:val="20"/>
                <w:szCs w:val="20"/>
                <w:lang w:val="sq-AL"/>
              </w:rPr>
              <w:t>-</w:t>
            </w:r>
          </w:p>
        </w:tc>
        <w:tc>
          <w:tcPr>
            <w:tcW w:w="548" w:type="pct"/>
            <w:gridSpan w:val="3"/>
            <w:tcBorders>
              <w:top w:val="single" w:sz="4" w:space="0" w:color="auto"/>
              <w:left w:val="single" w:sz="4" w:space="0" w:color="auto"/>
              <w:bottom w:val="single" w:sz="4" w:space="0" w:color="auto"/>
              <w:right w:val="single" w:sz="4" w:space="0" w:color="auto"/>
            </w:tcBorders>
            <w:vAlign w:val="center"/>
          </w:tcPr>
          <w:p w14:paraId="386808EE"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color w:val="000000"/>
                <w:sz w:val="20"/>
                <w:szCs w:val="20"/>
                <w:lang w:val="sq-AL"/>
              </w:rPr>
              <w:t>-</w:t>
            </w:r>
          </w:p>
        </w:tc>
        <w:tc>
          <w:tcPr>
            <w:tcW w:w="546" w:type="pct"/>
            <w:gridSpan w:val="3"/>
            <w:tcBorders>
              <w:left w:val="single" w:sz="4" w:space="0" w:color="auto"/>
            </w:tcBorders>
            <w:vAlign w:val="center"/>
          </w:tcPr>
          <w:p w14:paraId="0A2B7705" w14:textId="306C681D" w:rsidR="006B13EF" w:rsidRPr="003E7289" w:rsidRDefault="00C63DE6" w:rsidP="00C63DE6">
            <w:pPr>
              <w:spacing w:before="0" w:line="240" w:lineRule="auto"/>
              <w:jc w:val="center"/>
              <w:rPr>
                <w:rFonts w:ascii="Arial" w:eastAsia="Aptos" w:hAnsi="Arial" w:cs="Arial"/>
                <w:color w:val="000000" w:themeColor="text1"/>
                <w:sz w:val="20"/>
                <w:szCs w:val="20"/>
                <w:lang w:val="sq-AL" w:eastAsia="en-US"/>
              </w:rPr>
            </w:pPr>
            <w:r w:rsidRPr="003E7289">
              <w:rPr>
                <w:rFonts w:ascii="Arial" w:eastAsia="Aptos" w:hAnsi="Arial" w:cs="Arial"/>
                <w:color w:val="000000" w:themeColor="text1"/>
                <w:sz w:val="20"/>
                <w:szCs w:val="20"/>
                <w:lang w:val="sq-AL"/>
              </w:rPr>
              <w:t>Programi FLOWS (huazim nga BB, grant nga WBIF)</w:t>
            </w:r>
          </w:p>
        </w:tc>
        <w:tc>
          <w:tcPr>
            <w:tcW w:w="681" w:type="pct"/>
            <w:gridSpan w:val="3"/>
            <w:vAlign w:val="center"/>
          </w:tcPr>
          <w:p w14:paraId="4081A527" w14:textId="77777777" w:rsidR="006B13EF" w:rsidRPr="003E7289" w:rsidRDefault="006B13EF" w:rsidP="00A70686">
            <w:pPr>
              <w:spacing w:before="0" w:line="240" w:lineRule="auto"/>
              <w:jc w:val="center"/>
              <w:rPr>
                <w:rFonts w:ascii="Arial" w:eastAsia="Aptos" w:hAnsi="Arial" w:cs="Arial"/>
                <w:b/>
                <w:bCs/>
                <w:color w:val="EE0000"/>
                <w:sz w:val="20"/>
                <w:szCs w:val="20"/>
                <w:lang w:val="sq-AL" w:eastAsia="en-US"/>
              </w:rPr>
            </w:pPr>
          </w:p>
          <w:p w14:paraId="02530255" w14:textId="6F9C9C7F" w:rsidR="006B13EF" w:rsidRPr="003E7289" w:rsidRDefault="00C63DE6" w:rsidP="00C63DE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sz w:val="20"/>
                <w:szCs w:val="20"/>
                <w:lang w:val="sq-AL"/>
              </w:rPr>
              <w:t>MMPHI (përfshirë AMMK), Hidromorava, Kompania Rajonale e Ujit, Komuna e Kamenicës, MFLT</w:t>
            </w:r>
          </w:p>
        </w:tc>
        <w:tc>
          <w:tcPr>
            <w:tcW w:w="514" w:type="pct"/>
            <w:vAlign w:val="center"/>
          </w:tcPr>
          <w:p w14:paraId="458D23E9" w14:textId="227E93B9" w:rsidR="006B13EF" w:rsidRPr="003E7289" w:rsidRDefault="00C63DE6" w:rsidP="00C63DE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sz w:val="20"/>
                <w:szCs w:val="20"/>
                <w:lang w:val="sq-AL"/>
              </w:rPr>
              <w:t>Diga e Desivojcës e ndërtuar dhe funksionale</w:t>
            </w:r>
          </w:p>
        </w:tc>
        <w:tc>
          <w:tcPr>
            <w:tcW w:w="394" w:type="pct"/>
            <w:vAlign w:val="center"/>
          </w:tcPr>
          <w:p w14:paraId="52A781DB" w14:textId="1E0F7B1F" w:rsidR="006B13EF" w:rsidRPr="003E7289" w:rsidRDefault="00BE39C7" w:rsidP="00C63DE6">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Strategjia</w:t>
            </w:r>
            <w:r w:rsidR="00C63DE6" w:rsidRPr="003E7289">
              <w:rPr>
                <w:rFonts w:ascii="Arial" w:eastAsia="Aptos" w:hAnsi="Arial" w:cs="Arial"/>
                <w:sz w:val="20"/>
                <w:szCs w:val="20"/>
                <w:lang w:val="sq-AL"/>
              </w:rPr>
              <w:t xml:space="preserve"> Kombëtare e Ujit 2017–2035</w:t>
            </w:r>
          </w:p>
        </w:tc>
      </w:tr>
      <w:tr w:rsidR="004807C9" w:rsidRPr="003E7289" w14:paraId="29FE48C3" w14:textId="77777777" w:rsidTr="00C65386">
        <w:trPr>
          <w:cantSplit/>
          <w:trHeight w:val="20"/>
        </w:trPr>
        <w:tc>
          <w:tcPr>
            <w:tcW w:w="250" w:type="pct"/>
            <w:vAlign w:val="center"/>
          </w:tcPr>
          <w:p w14:paraId="0FD6AE3D" w14:textId="77777777" w:rsidR="00316254" w:rsidRPr="003E7289" w:rsidRDefault="00316254" w:rsidP="00316254">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I.1.2.</w:t>
            </w:r>
          </w:p>
        </w:tc>
        <w:tc>
          <w:tcPr>
            <w:tcW w:w="676" w:type="pct"/>
            <w:gridSpan w:val="4"/>
            <w:vAlign w:val="center"/>
          </w:tcPr>
          <w:p w14:paraId="39E722C4" w14:textId="781F8F70" w:rsidR="00316254" w:rsidRPr="003E7289" w:rsidRDefault="00C63DE6" w:rsidP="00C63DE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Hartimi dhe ndërtimi i digës Firajë (7 Mm³)</w:t>
            </w:r>
          </w:p>
        </w:tc>
        <w:tc>
          <w:tcPr>
            <w:tcW w:w="540" w:type="pct"/>
            <w:gridSpan w:val="4"/>
            <w:vAlign w:val="center"/>
          </w:tcPr>
          <w:p w14:paraId="732D936A" w14:textId="77777777" w:rsidR="00316254" w:rsidRPr="003E7289" w:rsidRDefault="00316254" w:rsidP="00316254">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sz w:val="20"/>
                <w:szCs w:val="20"/>
                <w:lang w:val="sq-AL"/>
              </w:rPr>
              <w:t>2040</w:t>
            </w:r>
          </w:p>
        </w:tc>
        <w:tc>
          <w:tcPr>
            <w:tcW w:w="445" w:type="pct"/>
            <w:gridSpan w:val="3"/>
            <w:tcBorders>
              <w:top w:val="single" w:sz="4" w:space="0" w:color="auto"/>
              <w:left w:val="single" w:sz="4" w:space="0" w:color="auto"/>
              <w:bottom w:val="single" w:sz="4" w:space="0" w:color="auto"/>
              <w:right w:val="single" w:sz="4" w:space="0" w:color="auto"/>
            </w:tcBorders>
            <w:vAlign w:val="center"/>
          </w:tcPr>
          <w:p w14:paraId="367D3E06" w14:textId="2CC6EB91" w:rsidR="00316254" w:rsidRPr="003E7289" w:rsidRDefault="00316254" w:rsidP="00316254">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color w:val="000000"/>
                <w:sz w:val="20"/>
                <w:szCs w:val="20"/>
                <w:lang w:val="sq-AL"/>
              </w:rPr>
              <w:t>36.9 mil €</w:t>
            </w:r>
          </w:p>
        </w:tc>
        <w:tc>
          <w:tcPr>
            <w:tcW w:w="381" w:type="pct"/>
            <w:gridSpan w:val="2"/>
            <w:tcBorders>
              <w:top w:val="single" w:sz="4" w:space="0" w:color="auto"/>
              <w:left w:val="single" w:sz="4" w:space="0" w:color="auto"/>
              <w:bottom w:val="single" w:sz="4" w:space="0" w:color="auto"/>
              <w:right w:val="single" w:sz="4" w:space="0" w:color="auto"/>
            </w:tcBorders>
            <w:vAlign w:val="center"/>
          </w:tcPr>
          <w:p w14:paraId="7DC13109" w14:textId="6647E281" w:rsidR="00316254" w:rsidRPr="003E7289" w:rsidRDefault="00316254" w:rsidP="00316254">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color w:val="000000"/>
                <w:sz w:val="20"/>
                <w:szCs w:val="20"/>
                <w:lang w:val="sq-AL"/>
              </w:rPr>
              <w:t>36.9 mil €</w:t>
            </w:r>
          </w:p>
        </w:tc>
        <w:tc>
          <w:tcPr>
            <w:tcW w:w="548" w:type="pct"/>
            <w:gridSpan w:val="3"/>
            <w:tcBorders>
              <w:top w:val="single" w:sz="4" w:space="0" w:color="auto"/>
              <w:left w:val="single" w:sz="4" w:space="0" w:color="auto"/>
              <w:bottom w:val="single" w:sz="4" w:space="0" w:color="auto"/>
              <w:right w:val="single" w:sz="4" w:space="0" w:color="auto"/>
            </w:tcBorders>
            <w:vAlign w:val="center"/>
          </w:tcPr>
          <w:p w14:paraId="778323B2" w14:textId="6EC95DFB" w:rsidR="00316254" w:rsidRPr="003E7289" w:rsidRDefault="00316254" w:rsidP="00316254">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color w:val="000000"/>
                <w:sz w:val="20"/>
                <w:szCs w:val="20"/>
                <w:lang w:val="sq-AL"/>
              </w:rPr>
              <w:t>36.9 mil €</w:t>
            </w:r>
          </w:p>
        </w:tc>
        <w:tc>
          <w:tcPr>
            <w:tcW w:w="546" w:type="pct"/>
            <w:gridSpan w:val="3"/>
            <w:vAlign w:val="center"/>
          </w:tcPr>
          <w:p w14:paraId="7CFD668F" w14:textId="76FCCF03" w:rsidR="00316254" w:rsidRPr="003E7289" w:rsidRDefault="00C63DE6" w:rsidP="00C63DE6">
            <w:pPr>
              <w:spacing w:before="0" w:line="240" w:lineRule="auto"/>
              <w:jc w:val="center"/>
              <w:rPr>
                <w:rFonts w:ascii="Arial" w:eastAsia="Aptos" w:hAnsi="Arial" w:cs="Arial"/>
                <w:color w:val="000000" w:themeColor="text1"/>
                <w:sz w:val="20"/>
                <w:szCs w:val="20"/>
                <w:lang w:val="sq-AL" w:eastAsia="en-US"/>
              </w:rPr>
            </w:pPr>
            <w:r w:rsidRPr="003E7289">
              <w:rPr>
                <w:rFonts w:ascii="Arial" w:eastAsia="Aptos" w:hAnsi="Arial" w:cs="Arial"/>
                <w:color w:val="000000" w:themeColor="text1"/>
                <w:sz w:val="20"/>
                <w:szCs w:val="20"/>
                <w:lang w:val="sq-AL"/>
              </w:rPr>
              <w:t>Grant nga WBIF, huazim nga BERZH</w:t>
            </w:r>
          </w:p>
        </w:tc>
        <w:tc>
          <w:tcPr>
            <w:tcW w:w="681" w:type="pct"/>
            <w:gridSpan w:val="3"/>
            <w:vAlign w:val="center"/>
          </w:tcPr>
          <w:p w14:paraId="5A242FFF" w14:textId="0F35D3DB" w:rsidR="00316254" w:rsidRPr="003E7289" w:rsidRDefault="00C63DE6" w:rsidP="00C63DE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sz w:val="20"/>
                <w:szCs w:val="20"/>
                <w:lang w:val="sq-AL"/>
              </w:rPr>
              <w:t>MMPHI (përfshirë AMMK), Bifurkacioni, Prishtina dhe Hidromorava, Kompanitë Rajonale të Ujit, Komunat përkatëse, MFLT</w:t>
            </w:r>
          </w:p>
        </w:tc>
        <w:tc>
          <w:tcPr>
            <w:tcW w:w="514" w:type="pct"/>
            <w:vAlign w:val="center"/>
          </w:tcPr>
          <w:p w14:paraId="39522C51" w14:textId="5999BEA9" w:rsidR="00316254" w:rsidRPr="003E7289" w:rsidRDefault="00C63DE6" w:rsidP="00C63DE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hAnsi="Arial" w:cs="Arial"/>
                <w:sz w:val="20"/>
                <w:szCs w:val="20"/>
                <w:lang w:val="sq-AL"/>
              </w:rPr>
              <w:t>Diga e Firajës e ndërtuar dhe funksionale</w:t>
            </w:r>
          </w:p>
        </w:tc>
        <w:tc>
          <w:tcPr>
            <w:tcW w:w="394" w:type="pct"/>
            <w:vAlign w:val="center"/>
          </w:tcPr>
          <w:p w14:paraId="207B01BC" w14:textId="52F3282E" w:rsidR="00316254" w:rsidRPr="003E7289" w:rsidRDefault="00BE39C7" w:rsidP="00C63DE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sz w:val="20"/>
                <w:szCs w:val="20"/>
                <w:lang w:val="sq-AL"/>
              </w:rPr>
              <w:t>Strategjia</w:t>
            </w:r>
            <w:r w:rsidR="00C63DE6" w:rsidRPr="003E7289">
              <w:rPr>
                <w:rFonts w:ascii="Arial" w:eastAsia="Aptos" w:hAnsi="Arial" w:cs="Arial"/>
                <w:sz w:val="20"/>
                <w:szCs w:val="20"/>
                <w:lang w:val="sq-AL"/>
              </w:rPr>
              <w:t xml:space="preserve"> Kombëtare e Ujit 2017–2035</w:t>
            </w:r>
          </w:p>
        </w:tc>
      </w:tr>
      <w:tr w:rsidR="004807C9" w:rsidRPr="003E7289" w14:paraId="3C16C0BB" w14:textId="77777777" w:rsidTr="00C65386">
        <w:trPr>
          <w:cantSplit/>
          <w:trHeight w:val="20"/>
        </w:trPr>
        <w:tc>
          <w:tcPr>
            <w:tcW w:w="250" w:type="pct"/>
            <w:vAlign w:val="center"/>
          </w:tcPr>
          <w:p w14:paraId="1B3A34E9"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I.1.3.</w:t>
            </w:r>
          </w:p>
        </w:tc>
        <w:tc>
          <w:tcPr>
            <w:tcW w:w="676" w:type="pct"/>
            <w:gridSpan w:val="4"/>
            <w:vAlign w:val="center"/>
          </w:tcPr>
          <w:p w14:paraId="230CA0D8" w14:textId="55595755" w:rsidR="006B13EF" w:rsidRPr="003E7289" w:rsidRDefault="00C63DE6" w:rsidP="00C63DE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Hartimi dhe ndërtimi i digës Pollatë (</w:t>
            </w:r>
            <w:r w:rsidR="00004057" w:rsidRPr="003E7289">
              <w:rPr>
                <w:rFonts w:ascii="Arial" w:eastAsia="Aptos" w:hAnsi="Arial" w:cs="Arial"/>
                <w:b/>
                <w:bCs/>
                <w:sz w:val="20"/>
                <w:szCs w:val="20"/>
                <w:lang w:val="sq-AL"/>
              </w:rPr>
              <w:t xml:space="preserve">30 </w:t>
            </w:r>
            <w:r w:rsidRPr="003E7289">
              <w:rPr>
                <w:rFonts w:ascii="Arial" w:eastAsia="Aptos" w:hAnsi="Arial" w:cs="Arial"/>
                <w:b/>
                <w:bCs/>
                <w:sz w:val="20"/>
                <w:szCs w:val="20"/>
                <w:lang w:val="sq-AL"/>
              </w:rPr>
              <w:t>Mm³)</w:t>
            </w:r>
          </w:p>
        </w:tc>
        <w:tc>
          <w:tcPr>
            <w:tcW w:w="540" w:type="pct"/>
            <w:gridSpan w:val="4"/>
            <w:vAlign w:val="center"/>
          </w:tcPr>
          <w:p w14:paraId="36833BE9"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sz w:val="20"/>
                <w:szCs w:val="20"/>
                <w:lang w:val="sq-AL"/>
              </w:rPr>
              <w:t>2040</w:t>
            </w:r>
          </w:p>
        </w:tc>
        <w:tc>
          <w:tcPr>
            <w:tcW w:w="445" w:type="pct"/>
            <w:gridSpan w:val="3"/>
            <w:tcBorders>
              <w:top w:val="single" w:sz="4" w:space="0" w:color="auto"/>
              <w:left w:val="single" w:sz="4" w:space="0" w:color="auto"/>
              <w:bottom w:val="single" w:sz="4" w:space="0" w:color="auto"/>
              <w:right w:val="single" w:sz="4" w:space="0" w:color="auto"/>
            </w:tcBorders>
            <w:vAlign w:val="center"/>
          </w:tcPr>
          <w:p w14:paraId="639E3162"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color w:val="000000"/>
                <w:sz w:val="20"/>
                <w:szCs w:val="20"/>
                <w:lang w:val="sq-AL"/>
              </w:rPr>
              <w:t>0.4 mil €</w:t>
            </w:r>
          </w:p>
        </w:tc>
        <w:tc>
          <w:tcPr>
            <w:tcW w:w="381" w:type="pct"/>
            <w:gridSpan w:val="2"/>
            <w:tcBorders>
              <w:top w:val="single" w:sz="4" w:space="0" w:color="auto"/>
              <w:left w:val="single" w:sz="4" w:space="0" w:color="auto"/>
              <w:bottom w:val="single" w:sz="4" w:space="0" w:color="auto"/>
              <w:right w:val="single" w:sz="4" w:space="0" w:color="auto"/>
            </w:tcBorders>
            <w:vAlign w:val="center"/>
          </w:tcPr>
          <w:p w14:paraId="46D97157"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color w:val="000000"/>
                <w:sz w:val="20"/>
                <w:szCs w:val="20"/>
                <w:lang w:val="sq-AL"/>
              </w:rPr>
              <w:t>0.8 mil €</w:t>
            </w:r>
          </w:p>
        </w:tc>
        <w:tc>
          <w:tcPr>
            <w:tcW w:w="548" w:type="pct"/>
            <w:gridSpan w:val="3"/>
            <w:tcBorders>
              <w:top w:val="single" w:sz="4" w:space="0" w:color="auto"/>
              <w:left w:val="single" w:sz="4" w:space="0" w:color="auto"/>
              <w:bottom w:val="single" w:sz="4" w:space="0" w:color="auto"/>
              <w:right w:val="single" w:sz="4" w:space="0" w:color="auto"/>
            </w:tcBorders>
            <w:vAlign w:val="center"/>
          </w:tcPr>
          <w:p w14:paraId="1EDDF04C"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color w:val="000000"/>
                <w:sz w:val="20"/>
                <w:szCs w:val="20"/>
                <w:lang w:val="sq-AL"/>
              </w:rPr>
              <w:t>0.8 mil €</w:t>
            </w:r>
          </w:p>
        </w:tc>
        <w:tc>
          <w:tcPr>
            <w:tcW w:w="546" w:type="pct"/>
            <w:gridSpan w:val="3"/>
            <w:vAlign w:val="center"/>
          </w:tcPr>
          <w:p w14:paraId="43585758" w14:textId="7F9C2F20" w:rsidR="006B13EF" w:rsidRPr="003E7289" w:rsidRDefault="00C63DE6" w:rsidP="00C63DE6">
            <w:pPr>
              <w:spacing w:before="0" w:line="240" w:lineRule="auto"/>
              <w:jc w:val="center"/>
              <w:rPr>
                <w:rFonts w:ascii="Arial" w:eastAsia="Aptos" w:hAnsi="Arial" w:cs="Arial"/>
                <w:color w:val="000000" w:themeColor="text1"/>
                <w:sz w:val="20"/>
                <w:szCs w:val="20"/>
                <w:lang w:val="sq-AL" w:eastAsia="en-US"/>
              </w:rPr>
            </w:pPr>
            <w:r w:rsidRPr="003E7289">
              <w:rPr>
                <w:rFonts w:ascii="Arial" w:eastAsia="Aptos" w:hAnsi="Arial" w:cs="Arial"/>
                <w:color w:val="000000" w:themeColor="text1"/>
                <w:sz w:val="20"/>
                <w:szCs w:val="20"/>
                <w:lang w:val="sq-AL"/>
              </w:rPr>
              <w:t>Qeveria e Kosovës (QK)</w:t>
            </w:r>
          </w:p>
        </w:tc>
        <w:tc>
          <w:tcPr>
            <w:tcW w:w="681" w:type="pct"/>
            <w:gridSpan w:val="3"/>
          </w:tcPr>
          <w:p w14:paraId="2F1BAC9A" w14:textId="07470BBB" w:rsidR="006B13EF" w:rsidRPr="003E7289" w:rsidRDefault="00C63DE6" w:rsidP="00C63DE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sz w:val="20"/>
                <w:szCs w:val="20"/>
                <w:lang w:val="sq-AL"/>
              </w:rPr>
              <w:t>MMPHI (përfshirë AMMK), Kompania Rajonale e Ujit Prishtina, Komuna e Podujevës, MFLT</w:t>
            </w:r>
          </w:p>
        </w:tc>
        <w:tc>
          <w:tcPr>
            <w:tcW w:w="514" w:type="pct"/>
            <w:vAlign w:val="center"/>
          </w:tcPr>
          <w:p w14:paraId="53B95D6C" w14:textId="1536A5E8" w:rsidR="006B13EF" w:rsidRPr="003E7289" w:rsidRDefault="00C63DE6" w:rsidP="00C63DE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hAnsi="Arial" w:cs="Arial"/>
                <w:sz w:val="20"/>
                <w:szCs w:val="20"/>
                <w:lang w:val="sq-AL"/>
              </w:rPr>
              <w:t>Diga e Pollatës e ndërtuar dhe funksionale</w:t>
            </w:r>
          </w:p>
        </w:tc>
        <w:tc>
          <w:tcPr>
            <w:tcW w:w="394" w:type="pct"/>
            <w:vAlign w:val="center"/>
          </w:tcPr>
          <w:p w14:paraId="0941CB09" w14:textId="5F7843ED" w:rsidR="006B13EF" w:rsidRPr="003E7289" w:rsidRDefault="00BE39C7" w:rsidP="00C63DE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sz w:val="20"/>
                <w:szCs w:val="20"/>
                <w:lang w:val="sq-AL"/>
              </w:rPr>
              <w:t>Strategjia</w:t>
            </w:r>
            <w:r w:rsidR="00C63DE6" w:rsidRPr="003E7289">
              <w:rPr>
                <w:rFonts w:ascii="Arial" w:eastAsia="Aptos" w:hAnsi="Arial" w:cs="Arial"/>
                <w:sz w:val="20"/>
                <w:szCs w:val="20"/>
                <w:lang w:val="sq-AL"/>
              </w:rPr>
              <w:t xml:space="preserve"> Kombëtare e Ujit 2017–2035</w:t>
            </w:r>
          </w:p>
        </w:tc>
      </w:tr>
      <w:tr w:rsidR="004807C9" w:rsidRPr="003E7289" w14:paraId="68096185" w14:textId="77777777" w:rsidTr="00C65386">
        <w:trPr>
          <w:cantSplit/>
          <w:trHeight w:val="20"/>
        </w:trPr>
        <w:tc>
          <w:tcPr>
            <w:tcW w:w="250" w:type="pct"/>
            <w:vAlign w:val="center"/>
          </w:tcPr>
          <w:p w14:paraId="4FECA312"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I.1.4.</w:t>
            </w:r>
          </w:p>
        </w:tc>
        <w:tc>
          <w:tcPr>
            <w:tcW w:w="676" w:type="pct"/>
            <w:gridSpan w:val="4"/>
            <w:vAlign w:val="center"/>
          </w:tcPr>
          <w:p w14:paraId="4438BAE9" w14:textId="23D2B217" w:rsidR="006B13EF" w:rsidRPr="003E7289" w:rsidRDefault="00C63DE6" w:rsidP="00C63DE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Hartimi dhe ndërtimi i digës Kuçicë (18.</w:t>
            </w:r>
            <w:r w:rsidR="00004057" w:rsidRPr="003E7289">
              <w:rPr>
                <w:rFonts w:ascii="Arial" w:eastAsia="Aptos" w:hAnsi="Arial" w:cs="Arial"/>
                <w:b/>
                <w:bCs/>
                <w:sz w:val="20"/>
                <w:szCs w:val="20"/>
                <w:lang w:val="sq-AL"/>
              </w:rPr>
              <w:t xml:space="preserve">5 </w:t>
            </w:r>
            <w:r w:rsidRPr="003E7289">
              <w:rPr>
                <w:rFonts w:ascii="Arial" w:eastAsia="Aptos" w:hAnsi="Arial" w:cs="Arial"/>
                <w:b/>
                <w:bCs/>
                <w:sz w:val="20"/>
                <w:szCs w:val="20"/>
                <w:lang w:val="sq-AL"/>
              </w:rPr>
              <w:t>Mm³)</w:t>
            </w:r>
          </w:p>
        </w:tc>
        <w:tc>
          <w:tcPr>
            <w:tcW w:w="540" w:type="pct"/>
            <w:gridSpan w:val="4"/>
            <w:vAlign w:val="center"/>
          </w:tcPr>
          <w:p w14:paraId="4F676086"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sz w:val="20"/>
                <w:szCs w:val="20"/>
                <w:lang w:val="sq-AL"/>
              </w:rPr>
              <w:t>2040</w:t>
            </w:r>
          </w:p>
        </w:tc>
        <w:tc>
          <w:tcPr>
            <w:tcW w:w="445" w:type="pct"/>
            <w:gridSpan w:val="3"/>
            <w:tcBorders>
              <w:top w:val="single" w:sz="4" w:space="0" w:color="auto"/>
              <w:left w:val="single" w:sz="4" w:space="0" w:color="auto"/>
              <w:bottom w:val="single" w:sz="4" w:space="0" w:color="auto"/>
              <w:right w:val="single" w:sz="4" w:space="0" w:color="auto"/>
            </w:tcBorders>
            <w:vAlign w:val="center"/>
          </w:tcPr>
          <w:p w14:paraId="4BEED363"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color w:val="000000"/>
                <w:sz w:val="20"/>
                <w:szCs w:val="20"/>
                <w:lang w:val="sq-AL"/>
              </w:rPr>
              <w:t>0.6 mil €</w:t>
            </w:r>
          </w:p>
        </w:tc>
        <w:tc>
          <w:tcPr>
            <w:tcW w:w="381" w:type="pct"/>
            <w:gridSpan w:val="2"/>
            <w:tcBorders>
              <w:top w:val="single" w:sz="4" w:space="0" w:color="auto"/>
              <w:left w:val="single" w:sz="4" w:space="0" w:color="auto"/>
              <w:bottom w:val="single" w:sz="4" w:space="0" w:color="auto"/>
              <w:right w:val="single" w:sz="4" w:space="0" w:color="auto"/>
            </w:tcBorders>
            <w:vAlign w:val="center"/>
          </w:tcPr>
          <w:p w14:paraId="24306D96"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color w:val="000000"/>
                <w:sz w:val="20"/>
                <w:szCs w:val="20"/>
                <w:lang w:val="sq-AL"/>
              </w:rPr>
              <w:t>1.3 mil €</w:t>
            </w:r>
          </w:p>
        </w:tc>
        <w:tc>
          <w:tcPr>
            <w:tcW w:w="548" w:type="pct"/>
            <w:gridSpan w:val="3"/>
            <w:tcBorders>
              <w:top w:val="single" w:sz="4" w:space="0" w:color="auto"/>
              <w:left w:val="single" w:sz="4" w:space="0" w:color="auto"/>
              <w:bottom w:val="single" w:sz="4" w:space="0" w:color="auto"/>
              <w:right w:val="single" w:sz="4" w:space="0" w:color="auto"/>
            </w:tcBorders>
            <w:vAlign w:val="center"/>
          </w:tcPr>
          <w:p w14:paraId="70E8C731"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color w:val="000000"/>
                <w:sz w:val="20"/>
                <w:szCs w:val="20"/>
                <w:lang w:val="sq-AL"/>
              </w:rPr>
              <w:t>1.3 mil €</w:t>
            </w:r>
          </w:p>
        </w:tc>
        <w:tc>
          <w:tcPr>
            <w:tcW w:w="546" w:type="pct"/>
            <w:gridSpan w:val="3"/>
            <w:vAlign w:val="center"/>
          </w:tcPr>
          <w:p w14:paraId="2D2E8961" w14:textId="52311B39" w:rsidR="006B13EF" w:rsidRPr="003E7289" w:rsidRDefault="00C63DE6" w:rsidP="00A70686">
            <w:pPr>
              <w:spacing w:before="0" w:line="240" w:lineRule="auto"/>
              <w:jc w:val="center"/>
              <w:rPr>
                <w:rFonts w:ascii="Arial" w:eastAsia="Aptos" w:hAnsi="Arial" w:cs="Arial"/>
                <w:color w:val="000000" w:themeColor="text1"/>
                <w:sz w:val="20"/>
                <w:szCs w:val="20"/>
                <w:lang w:val="sq-AL" w:eastAsia="en-US"/>
              </w:rPr>
            </w:pPr>
            <w:r w:rsidRPr="003E7289">
              <w:rPr>
                <w:rFonts w:ascii="Arial" w:eastAsia="Aptos" w:hAnsi="Arial" w:cs="Arial"/>
                <w:color w:val="000000" w:themeColor="text1"/>
                <w:sz w:val="20"/>
                <w:szCs w:val="20"/>
                <w:lang w:val="sq-AL"/>
              </w:rPr>
              <w:t>Qeveria e Kosovës (QK)</w:t>
            </w:r>
          </w:p>
        </w:tc>
        <w:tc>
          <w:tcPr>
            <w:tcW w:w="681" w:type="pct"/>
            <w:gridSpan w:val="3"/>
          </w:tcPr>
          <w:p w14:paraId="6D591B56" w14:textId="6B5A171C" w:rsidR="006B13EF" w:rsidRPr="003E7289" w:rsidRDefault="00C63DE6" w:rsidP="00C63DE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sz w:val="20"/>
                <w:szCs w:val="20"/>
                <w:lang w:val="sq-AL"/>
              </w:rPr>
              <w:t>MMPHI (përfshirë AMMK), Kompania Rajonale e Ujit, Komuna përkatëse, MFLT</w:t>
            </w:r>
          </w:p>
        </w:tc>
        <w:tc>
          <w:tcPr>
            <w:tcW w:w="514" w:type="pct"/>
            <w:vAlign w:val="center"/>
          </w:tcPr>
          <w:p w14:paraId="0E7AAEED" w14:textId="4ACD05B3" w:rsidR="006B13EF" w:rsidRPr="003E7289" w:rsidRDefault="00C63DE6" w:rsidP="00C63DE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hAnsi="Arial" w:cs="Arial"/>
                <w:sz w:val="20"/>
                <w:szCs w:val="20"/>
                <w:lang w:val="sq-AL"/>
              </w:rPr>
              <w:t>Diga e Kuçicës e ndërtuar dhe funksionale</w:t>
            </w:r>
            <w:r w:rsidR="006B13EF" w:rsidRPr="003E7289">
              <w:rPr>
                <w:rFonts w:ascii="Arial" w:hAnsi="Arial" w:cs="Arial"/>
                <w:sz w:val="20"/>
                <w:szCs w:val="20"/>
                <w:lang w:val="sq-AL"/>
              </w:rPr>
              <w:t>.</w:t>
            </w:r>
          </w:p>
        </w:tc>
        <w:tc>
          <w:tcPr>
            <w:tcW w:w="394" w:type="pct"/>
            <w:vAlign w:val="center"/>
          </w:tcPr>
          <w:p w14:paraId="1395772B" w14:textId="6506F1C6" w:rsidR="006B13EF" w:rsidRPr="003E7289" w:rsidRDefault="00BE39C7" w:rsidP="00C63DE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sz w:val="20"/>
                <w:szCs w:val="20"/>
                <w:lang w:val="sq-AL"/>
              </w:rPr>
              <w:t>Strategjia</w:t>
            </w:r>
            <w:r w:rsidR="00C63DE6" w:rsidRPr="003E7289">
              <w:rPr>
                <w:rFonts w:ascii="Arial" w:eastAsia="Aptos" w:hAnsi="Arial" w:cs="Arial"/>
                <w:sz w:val="20"/>
                <w:szCs w:val="20"/>
                <w:lang w:val="sq-AL"/>
              </w:rPr>
              <w:t xml:space="preserve"> Kombëtare e Ujit 2017–2035</w:t>
            </w:r>
          </w:p>
        </w:tc>
      </w:tr>
      <w:tr w:rsidR="004807C9" w:rsidRPr="003E7289" w14:paraId="54161B45" w14:textId="77777777" w:rsidTr="00C65386">
        <w:trPr>
          <w:cantSplit/>
          <w:trHeight w:val="20"/>
        </w:trPr>
        <w:tc>
          <w:tcPr>
            <w:tcW w:w="250" w:type="pct"/>
            <w:vAlign w:val="center"/>
          </w:tcPr>
          <w:p w14:paraId="4AEF0E4C"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I.1.5.</w:t>
            </w:r>
          </w:p>
        </w:tc>
        <w:tc>
          <w:tcPr>
            <w:tcW w:w="676" w:type="pct"/>
            <w:gridSpan w:val="4"/>
            <w:vAlign w:val="center"/>
          </w:tcPr>
          <w:p w14:paraId="5004516D" w14:textId="015886D6" w:rsidR="006B13EF" w:rsidRPr="003E7289" w:rsidRDefault="00C63DE6" w:rsidP="00C63DE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Hartimi dhe ndërtimi i digës Dragaqinë (12.2 Mm³)</w:t>
            </w:r>
          </w:p>
        </w:tc>
        <w:tc>
          <w:tcPr>
            <w:tcW w:w="540" w:type="pct"/>
            <w:gridSpan w:val="4"/>
            <w:vAlign w:val="center"/>
          </w:tcPr>
          <w:p w14:paraId="50B497F1"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sz w:val="20"/>
                <w:szCs w:val="20"/>
                <w:lang w:val="sq-AL"/>
              </w:rPr>
              <w:t>2040</w:t>
            </w:r>
          </w:p>
        </w:tc>
        <w:tc>
          <w:tcPr>
            <w:tcW w:w="445" w:type="pct"/>
            <w:gridSpan w:val="3"/>
            <w:tcBorders>
              <w:top w:val="single" w:sz="4" w:space="0" w:color="auto"/>
              <w:left w:val="single" w:sz="4" w:space="0" w:color="auto"/>
              <w:bottom w:val="single" w:sz="4" w:space="0" w:color="auto"/>
              <w:right w:val="single" w:sz="4" w:space="0" w:color="auto"/>
            </w:tcBorders>
            <w:vAlign w:val="center"/>
          </w:tcPr>
          <w:p w14:paraId="3B35CE1F"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color w:val="000000"/>
                <w:sz w:val="20"/>
                <w:szCs w:val="20"/>
                <w:lang w:val="sq-AL"/>
              </w:rPr>
              <w:t>0.4 mil €</w:t>
            </w:r>
          </w:p>
        </w:tc>
        <w:tc>
          <w:tcPr>
            <w:tcW w:w="381" w:type="pct"/>
            <w:gridSpan w:val="2"/>
            <w:tcBorders>
              <w:top w:val="single" w:sz="4" w:space="0" w:color="auto"/>
              <w:left w:val="single" w:sz="4" w:space="0" w:color="auto"/>
              <w:bottom w:val="single" w:sz="4" w:space="0" w:color="auto"/>
              <w:right w:val="single" w:sz="4" w:space="0" w:color="auto"/>
            </w:tcBorders>
            <w:vAlign w:val="center"/>
          </w:tcPr>
          <w:p w14:paraId="1A313F60"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color w:val="000000"/>
                <w:sz w:val="20"/>
                <w:szCs w:val="20"/>
                <w:lang w:val="sq-AL"/>
              </w:rPr>
              <w:t>0.9 mil €</w:t>
            </w:r>
          </w:p>
        </w:tc>
        <w:tc>
          <w:tcPr>
            <w:tcW w:w="548" w:type="pct"/>
            <w:gridSpan w:val="3"/>
            <w:tcBorders>
              <w:top w:val="single" w:sz="4" w:space="0" w:color="auto"/>
              <w:left w:val="single" w:sz="4" w:space="0" w:color="auto"/>
              <w:bottom w:val="single" w:sz="4" w:space="0" w:color="auto"/>
              <w:right w:val="single" w:sz="4" w:space="0" w:color="auto"/>
            </w:tcBorders>
            <w:vAlign w:val="center"/>
          </w:tcPr>
          <w:p w14:paraId="6E58FD9F"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color w:val="000000"/>
                <w:sz w:val="20"/>
                <w:szCs w:val="20"/>
                <w:lang w:val="sq-AL"/>
              </w:rPr>
              <w:t>0.9 mil €</w:t>
            </w:r>
          </w:p>
        </w:tc>
        <w:tc>
          <w:tcPr>
            <w:tcW w:w="546" w:type="pct"/>
            <w:gridSpan w:val="3"/>
            <w:vAlign w:val="center"/>
          </w:tcPr>
          <w:p w14:paraId="67069BFE" w14:textId="0C8FDB4B" w:rsidR="006B13EF" w:rsidRPr="003E7289" w:rsidRDefault="00C63DE6" w:rsidP="00A70686">
            <w:pPr>
              <w:spacing w:before="0" w:line="240" w:lineRule="auto"/>
              <w:jc w:val="center"/>
              <w:rPr>
                <w:rFonts w:ascii="Arial" w:eastAsia="Aptos" w:hAnsi="Arial" w:cs="Arial"/>
                <w:color w:val="EE0000"/>
                <w:sz w:val="20"/>
                <w:szCs w:val="20"/>
                <w:highlight w:val="yellow"/>
                <w:lang w:val="sq-AL" w:eastAsia="en-US"/>
              </w:rPr>
            </w:pPr>
            <w:r w:rsidRPr="003E7289">
              <w:rPr>
                <w:rFonts w:ascii="Arial" w:eastAsia="Aptos" w:hAnsi="Arial" w:cs="Arial"/>
                <w:color w:val="000000" w:themeColor="text1"/>
                <w:sz w:val="20"/>
                <w:szCs w:val="20"/>
                <w:lang w:val="sq-AL"/>
              </w:rPr>
              <w:t>Qeveria e Kosovës (QK)</w:t>
            </w:r>
          </w:p>
        </w:tc>
        <w:tc>
          <w:tcPr>
            <w:tcW w:w="681" w:type="pct"/>
            <w:gridSpan w:val="3"/>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63DE6" w:rsidRPr="003E7289" w14:paraId="7CD8D75E" w14:textId="77777777" w:rsidTr="00C63DE6">
              <w:trPr>
                <w:tblCellSpacing w:w="15" w:type="dxa"/>
              </w:trPr>
              <w:tc>
                <w:tcPr>
                  <w:tcW w:w="0" w:type="auto"/>
                  <w:vAlign w:val="center"/>
                  <w:hideMark/>
                </w:tcPr>
                <w:p w14:paraId="64C536EC" w14:textId="77777777" w:rsidR="00C63DE6" w:rsidRPr="003E7289" w:rsidRDefault="00C63DE6" w:rsidP="00C63DE6">
                  <w:pPr>
                    <w:spacing w:before="0" w:after="0" w:line="240" w:lineRule="auto"/>
                    <w:jc w:val="center"/>
                    <w:rPr>
                      <w:rFonts w:ascii="Arial" w:eastAsia="Aptos" w:hAnsi="Arial" w:cs="Arial"/>
                      <w:sz w:val="20"/>
                      <w:szCs w:val="20"/>
                      <w:lang w:val="sq-AL" w:eastAsia="ja-JP"/>
                    </w:rPr>
                  </w:pPr>
                </w:p>
              </w:tc>
            </w:tr>
          </w:tbl>
          <w:p w14:paraId="25CB36F9" w14:textId="77777777" w:rsidR="00C63DE6" w:rsidRPr="003E7289" w:rsidRDefault="00C63DE6" w:rsidP="00C63DE6">
            <w:pPr>
              <w:spacing w:before="0" w:line="240" w:lineRule="auto"/>
              <w:jc w:val="center"/>
              <w:rPr>
                <w:rFonts w:ascii="Arial" w:eastAsia="Aptos" w:hAnsi="Arial" w:cs="Arial"/>
                <w:vanish/>
                <w:sz w:val="20"/>
                <w:szCs w:val="20"/>
                <w:lang w:val="sq-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77"/>
            </w:tblGrid>
            <w:tr w:rsidR="00C63DE6" w:rsidRPr="003E7289" w14:paraId="689A8414" w14:textId="77777777" w:rsidTr="00C63DE6">
              <w:trPr>
                <w:tblCellSpacing w:w="15" w:type="dxa"/>
              </w:trPr>
              <w:tc>
                <w:tcPr>
                  <w:tcW w:w="0" w:type="auto"/>
                  <w:vAlign w:val="center"/>
                  <w:hideMark/>
                </w:tcPr>
                <w:p w14:paraId="0008B1D2" w14:textId="77777777" w:rsidR="00C63DE6" w:rsidRPr="003E7289" w:rsidRDefault="00C63DE6" w:rsidP="00C63DE6">
                  <w:pPr>
                    <w:spacing w:before="0" w:after="0" w:line="240" w:lineRule="auto"/>
                    <w:jc w:val="center"/>
                    <w:rPr>
                      <w:rFonts w:ascii="Arial" w:eastAsia="Aptos" w:hAnsi="Arial" w:cs="Arial"/>
                      <w:sz w:val="20"/>
                      <w:szCs w:val="20"/>
                      <w:lang w:val="sq-AL" w:eastAsia="ja-JP"/>
                    </w:rPr>
                  </w:pPr>
                  <w:r w:rsidRPr="003E7289">
                    <w:rPr>
                      <w:rFonts w:ascii="Arial" w:eastAsia="Aptos" w:hAnsi="Arial" w:cs="Arial"/>
                      <w:sz w:val="20"/>
                      <w:szCs w:val="20"/>
                      <w:lang w:val="sq-AL" w:eastAsia="ja-JP"/>
                    </w:rPr>
                    <w:t>MMPHI (përfshirë AMMK), Komuna përkatëse, MFLT</w:t>
                  </w:r>
                </w:p>
              </w:tc>
            </w:tr>
          </w:tbl>
          <w:p w14:paraId="039B5A62" w14:textId="190B6242"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p>
        </w:tc>
        <w:tc>
          <w:tcPr>
            <w:tcW w:w="514" w:type="pct"/>
            <w:vAlign w:val="center"/>
          </w:tcPr>
          <w:p w14:paraId="79E725C8" w14:textId="0C340EED" w:rsidR="006B13EF" w:rsidRPr="003E7289" w:rsidRDefault="00C63DE6" w:rsidP="00C63DE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hAnsi="Arial" w:cs="Arial"/>
                <w:sz w:val="20"/>
                <w:szCs w:val="20"/>
                <w:lang w:val="sq-AL"/>
              </w:rPr>
              <w:t>Diga e Dragaqinës e ndërtuar dhe funksionale</w:t>
            </w:r>
          </w:p>
        </w:tc>
        <w:tc>
          <w:tcPr>
            <w:tcW w:w="394" w:type="pct"/>
            <w:vAlign w:val="center"/>
          </w:tcPr>
          <w:p w14:paraId="33A17519" w14:textId="56761577" w:rsidR="006B13EF" w:rsidRPr="003E7289" w:rsidRDefault="00BE39C7" w:rsidP="00C63DE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sz w:val="20"/>
                <w:szCs w:val="20"/>
                <w:lang w:val="sq-AL"/>
              </w:rPr>
              <w:t>Strategjia</w:t>
            </w:r>
            <w:r w:rsidR="00C63DE6" w:rsidRPr="003E7289">
              <w:rPr>
                <w:rFonts w:ascii="Arial" w:eastAsia="Aptos" w:hAnsi="Arial" w:cs="Arial"/>
                <w:sz w:val="20"/>
                <w:szCs w:val="20"/>
                <w:lang w:val="sq-AL"/>
              </w:rPr>
              <w:t xml:space="preserve"> Kombëtare e Ujit 2017–2035</w:t>
            </w:r>
          </w:p>
        </w:tc>
      </w:tr>
      <w:tr w:rsidR="0012200A" w:rsidRPr="003E7289" w14:paraId="67BDC0EF" w14:textId="77777777" w:rsidTr="00C65386">
        <w:trPr>
          <w:cantSplit/>
          <w:trHeight w:val="20"/>
        </w:trPr>
        <w:tc>
          <w:tcPr>
            <w:tcW w:w="926" w:type="pct"/>
            <w:gridSpan w:val="5"/>
            <w:shd w:val="clear" w:color="auto" w:fill="C6E7F6"/>
            <w:vAlign w:val="center"/>
          </w:tcPr>
          <w:p w14:paraId="6F210213" w14:textId="4388A241" w:rsidR="006B13EF" w:rsidRPr="003E7289" w:rsidRDefault="00C63DE6" w:rsidP="00C63DE6">
            <w:pPr>
              <w:spacing w:before="0" w:line="240" w:lineRule="auto"/>
              <w:rPr>
                <w:rFonts w:ascii="Arial" w:eastAsia="Aptos" w:hAnsi="Arial" w:cs="Arial"/>
                <w:b/>
                <w:bCs/>
                <w:sz w:val="20"/>
                <w:szCs w:val="20"/>
                <w:lang w:val="sq-AL" w:eastAsia="en-US"/>
              </w:rPr>
            </w:pPr>
            <w:r w:rsidRPr="003E7289">
              <w:rPr>
                <w:rFonts w:ascii="Arial" w:eastAsia="Aptos" w:hAnsi="Arial" w:cs="Arial"/>
                <w:b/>
                <w:bCs/>
                <w:sz w:val="20"/>
                <w:szCs w:val="20"/>
                <w:lang w:val="sq-AL"/>
              </w:rPr>
              <w:t>Buxheti total për Objektivin specifik I.1:</w:t>
            </w:r>
          </w:p>
        </w:tc>
        <w:tc>
          <w:tcPr>
            <w:tcW w:w="4048" w:type="pct"/>
            <w:gridSpan w:val="20"/>
            <w:vAlign w:val="center"/>
          </w:tcPr>
          <w:p w14:paraId="60599533" w14:textId="59499116" w:rsidR="006B13EF" w:rsidRPr="003E7289" w:rsidRDefault="00C63DE6" w:rsidP="00C63DE6">
            <w:pPr>
              <w:spacing w:before="0" w:line="240" w:lineRule="auto"/>
              <w:jc w:val="center"/>
              <w:rPr>
                <w:rFonts w:ascii="Arial" w:eastAsia="Aptos" w:hAnsi="Arial" w:cs="Arial"/>
                <w:color w:val="EE0000"/>
                <w:sz w:val="20"/>
                <w:szCs w:val="20"/>
                <w:highlight w:val="yellow"/>
                <w:lang w:val="sq-AL" w:eastAsia="en-US"/>
              </w:rPr>
            </w:pPr>
            <w:r w:rsidRPr="003E7289">
              <w:rPr>
                <w:rFonts w:ascii="Arial" w:eastAsia="Aptos" w:hAnsi="Arial" w:cs="Arial"/>
                <w:sz w:val="20"/>
                <w:szCs w:val="20"/>
                <w:lang w:val="sq-AL"/>
              </w:rPr>
              <w:t>≈ </w:t>
            </w:r>
            <w:r w:rsidRPr="003E7289">
              <w:rPr>
                <w:rFonts w:ascii="Arial" w:eastAsia="Aptos" w:hAnsi="Arial" w:cs="Arial"/>
                <w:b/>
                <w:bCs/>
                <w:sz w:val="20"/>
                <w:szCs w:val="20"/>
                <w:lang w:val="sq-AL"/>
              </w:rPr>
              <w:t>122.7 milion €</w:t>
            </w:r>
            <w:r w:rsidRPr="003E7289">
              <w:rPr>
                <w:rFonts w:ascii="Arial" w:eastAsia="Aptos" w:hAnsi="Arial" w:cs="Arial"/>
                <w:sz w:val="20"/>
                <w:szCs w:val="20"/>
                <w:lang w:val="sq-AL"/>
              </w:rPr>
              <w:t xml:space="preserve"> + pjesa përkatëse nga </w:t>
            </w:r>
            <w:r w:rsidRPr="003E7289">
              <w:rPr>
                <w:rFonts w:ascii="Arial" w:eastAsia="Aptos" w:hAnsi="Arial" w:cs="Arial"/>
                <w:b/>
                <w:bCs/>
                <w:sz w:val="20"/>
                <w:szCs w:val="20"/>
                <w:lang w:val="sq-AL"/>
              </w:rPr>
              <w:t>programi FLOWS</w:t>
            </w:r>
          </w:p>
        </w:tc>
      </w:tr>
      <w:tr w:rsidR="0012200A" w:rsidRPr="003E7289" w14:paraId="0969235B" w14:textId="77777777" w:rsidTr="00C65386">
        <w:trPr>
          <w:cantSplit/>
          <w:trHeight w:val="20"/>
        </w:trPr>
        <w:tc>
          <w:tcPr>
            <w:tcW w:w="926" w:type="pct"/>
            <w:gridSpan w:val="5"/>
            <w:shd w:val="clear" w:color="auto" w:fill="C6E7F6"/>
          </w:tcPr>
          <w:p w14:paraId="759F70E1" w14:textId="1D64E4A4" w:rsidR="006B13EF" w:rsidRPr="003E7289" w:rsidRDefault="00C63DE6" w:rsidP="00C63DE6">
            <w:pPr>
              <w:spacing w:before="0" w:line="240" w:lineRule="auto"/>
              <w:rPr>
                <w:rFonts w:ascii="Arial" w:eastAsia="Aptos" w:hAnsi="Arial" w:cs="Arial"/>
                <w:b/>
                <w:bCs/>
                <w:sz w:val="20"/>
                <w:szCs w:val="20"/>
                <w:lang w:val="sq-AL" w:eastAsia="en-US"/>
              </w:rPr>
            </w:pPr>
            <w:r w:rsidRPr="003E7289">
              <w:rPr>
                <w:rFonts w:ascii="Arial" w:eastAsia="Aptos" w:hAnsi="Arial" w:cs="Arial"/>
                <w:b/>
                <w:bCs/>
                <w:sz w:val="20"/>
                <w:szCs w:val="20"/>
                <w:lang w:val="sq-AL"/>
              </w:rPr>
              <w:t>Nga kjo, kapital:</w:t>
            </w:r>
          </w:p>
        </w:tc>
        <w:tc>
          <w:tcPr>
            <w:tcW w:w="4048" w:type="pct"/>
            <w:gridSpan w:val="20"/>
            <w:vAlign w:val="center"/>
          </w:tcPr>
          <w:p w14:paraId="00BA62B3"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p>
        </w:tc>
      </w:tr>
      <w:tr w:rsidR="0012200A" w:rsidRPr="003E7289" w14:paraId="7BFFC9F8" w14:textId="77777777" w:rsidTr="00C65386">
        <w:trPr>
          <w:cantSplit/>
          <w:trHeight w:val="20"/>
        </w:trPr>
        <w:tc>
          <w:tcPr>
            <w:tcW w:w="926" w:type="pct"/>
            <w:gridSpan w:val="5"/>
            <w:shd w:val="clear" w:color="auto" w:fill="C6E7F6"/>
          </w:tcPr>
          <w:p w14:paraId="217E01A0" w14:textId="7802E011" w:rsidR="006B13EF" w:rsidRPr="003E7289" w:rsidRDefault="00C63DE6" w:rsidP="00C63DE6">
            <w:pPr>
              <w:spacing w:before="0" w:line="240" w:lineRule="auto"/>
              <w:rPr>
                <w:rFonts w:ascii="Arial" w:eastAsia="Aptos" w:hAnsi="Arial" w:cs="Arial"/>
                <w:b/>
                <w:bCs/>
                <w:sz w:val="20"/>
                <w:szCs w:val="20"/>
                <w:lang w:val="sq-AL" w:eastAsia="en-US"/>
              </w:rPr>
            </w:pPr>
            <w:r w:rsidRPr="003E7289">
              <w:rPr>
                <w:rFonts w:ascii="Arial" w:eastAsia="Aptos" w:hAnsi="Arial" w:cs="Arial"/>
                <w:b/>
                <w:bCs/>
                <w:sz w:val="20"/>
                <w:szCs w:val="20"/>
                <w:lang w:val="sq-AL"/>
              </w:rPr>
              <w:t>Nga kjo, shpenzime korrente:</w:t>
            </w:r>
          </w:p>
        </w:tc>
        <w:tc>
          <w:tcPr>
            <w:tcW w:w="4048" w:type="pct"/>
            <w:gridSpan w:val="20"/>
            <w:vAlign w:val="center"/>
          </w:tcPr>
          <w:p w14:paraId="7A111281" w14:textId="77777777" w:rsidR="006B13EF" w:rsidRPr="003E7289" w:rsidRDefault="006B13EF" w:rsidP="00A70686">
            <w:pPr>
              <w:spacing w:before="0" w:line="240" w:lineRule="auto"/>
              <w:jc w:val="center"/>
              <w:rPr>
                <w:rFonts w:ascii="Arial" w:eastAsia="Aptos" w:hAnsi="Arial" w:cs="Arial"/>
                <w:color w:val="EE0000"/>
                <w:sz w:val="20"/>
                <w:szCs w:val="20"/>
                <w:highlight w:val="yellow"/>
                <w:lang w:val="sq-AL" w:eastAsia="en-US"/>
              </w:rPr>
            </w:pPr>
            <w:r w:rsidRPr="003E7289">
              <w:rPr>
                <w:rFonts w:ascii="Arial" w:eastAsia="Aptos" w:hAnsi="Arial" w:cs="Arial"/>
                <w:color w:val="000000" w:themeColor="text1"/>
                <w:sz w:val="20"/>
                <w:szCs w:val="20"/>
                <w:lang w:val="sq-AL"/>
              </w:rPr>
              <w:t>0</w:t>
            </w:r>
          </w:p>
        </w:tc>
      </w:tr>
      <w:tr w:rsidR="00666AA0" w:rsidRPr="003E7289" w14:paraId="2630C2AC" w14:textId="77777777" w:rsidTr="00C65386">
        <w:trPr>
          <w:cantSplit/>
          <w:trHeight w:val="20"/>
        </w:trPr>
        <w:tc>
          <w:tcPr>
            <w:tcW w:w="250" w:type="pct"/>
            <w:shd w:val="clear" w:color="auto" w:fill="84CCEC"/>
          </w:tcPr>
          <w:p w14:paraId="1EF4354B"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I.3</w:t>
            </w:r>
          </w:p>
        </w:tc>
        <w:tc>
          <w:tcPr>
            <w:tcW w:w="4724" w:type="pct"/>
            <w:gridSpan w:val="24"/>
            <w:shd w:val="clear" w:color="auto" w:fill="84CCEC"/>
            <w:vAlign w:val="center"/>
          </w:tcPr>
          <w:p w14:paraId="19AD3E03" w14:textId="41B2F656" w:rsidR="006B13EF" w:rsidRPr="003E7289" w:rsidRDefault="00C63DE6"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b/>
                <w:bCs/>
                <w:sz w:val="20"/>
                <w:szCs w:val="20"/>
                <w:lang w:val="sq-AL"/>
              </w:rPr>
              <w:t>Përmirësimi i sigurisë së digave dhe vendimmarrjes për infrastrukturën e vjetër, për të rritur sigurinë klimatike dhe ujore</w:t>
            </w:r>
          </w:p>
        </w:tc>
      </w:tr>
      <w:tr w:rsidR="004807C9" w:rsidRPr="003E7289" w14:paraId="7B0DDFC9" w14:textId="77777777" w:rsidTr="00C65386">
        <w:trPr>
          <w:cantSplit/>
          <w:trHeight w:val="20"/>
        </w:trPr>
        <w:tc>
          <w:tcPr>
            <w:tcW w:w="926" w:type="pct"/>
            <w:gridSpan w:val="5"/>
            <w:vAlign w:val="center"/>
          </w:tcPr>
          <w:p w14:paraId="37A90233" w14:textId="53E62077" w:rsidR="006B13EF"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 e digave të larta të pajisura me sisteme funksionale dhe moderne të monitorimit të sigurisë së digave</w:t>
            </w:r>
          </w:p>
        </w:tc>
        <w:tc>
          <w:tcPr>
            <w:tcW w:w="540" w:type="pct"/>
            <w:gridSpan w:val="4"/>
            <w:vAlign w:val="center"/>
          </w:tcPr>
          <w:p w14:paraId="69C61D77" w14:textId="17B9E30E" w:rsidR="006B13EF" w:rsidRPr="003E7289" w:rsidRDefault="000D1635" w:rsidP="000D1635">
            <w:pPr>
              <w:spacing w:before="0" w:line="240" w:lineRule="auto"/>
              <w:rPr>
                <w:rFonts w:ascii="Arial" w:eastAsia="Aptos" w:hAnsi="Arial" w:cs="Arial"/>
                <w:bCs/>
                <w:sz w:val="20"/>
                <w:szCs w:val="20"/>
                <w:lang w:val="sq-AL" w:eastAsia="en-US"/>
              </w:rPr>
            </w:pPr>
            <w:r w:rsidRPr="003E7289">
              <w:rPr>
                <w:rFonts w:ascii="Arial" w:eastAsia="Aptos" w:hAnsi="Arial" w:cs="Arial"/>
                <w:bCs/>
                <w:sz w:val="20"/>
                <w:szCs w:val="20"/>
                <w:lang w:val="sq-AL"/>
              </w:rPr>
              <w:t>Mbulim i kufizuar; shumica e sistemeve ekzistuese janë të vjetruara ose jofunksionale.</w:t>
            </w:r>
          </w:p>
        </w:tc>
        <w:tc>
          <w:tcPr>
            <w:tcW w:w="1374" w:type="pct"/>
            <w:gridSpan w:val="8"/>
            <w:vAlign w:val="center"/>
          </w:tcPr>
          <w:p w14:paraId="70654E3F" w14:textId="79B93490" w:rsidR="006B13EF" w:rsidRPr="003E7289" w:rsidRDefault="000D1635" w:rsidP="000D1635">
            <w:pPr>
              <w:spacing w:before="0" w:line="240" w:lineRule="auto"/>
              <w:rPr>
                <w:rFonts w:ascii="Arial" w:eastAsia="Aptos" w:hAnsi="Arial" w:cs="Arial"/>
                <w:bCs/>
                <w:sz w:val="20"/>
                <w:szCs w:val="20"/>
                <w:lang w:val="sq-AL" w:eastAsia="en-US"/>
              </w:rPr>
            </w:pPr>
            <w:r w:rsidRPr="003E7289">
              <w:rPr>
                <w:rFonts w:ascii="Arial" w:eastAsia="Aptos" w:hAnsi="Arial" w:cs="Arial"/>
                <w:bCs/>
                <w:sz w:val="20"/>
                <w:szCs w:val="20"/>
                <w:lang w:val="sq-AL"/>
              </w:rPr>
              <w:t>50% e digave të larta të pajisura me sisteme funksionale të monitorimit.</w:t>
            </w:r>
          </w:p>
        </w:tc>
        <w:tc>
          <w:tcPr>
            <w:tcW w:w="546" w:type="pct"/>
            <w:gridSpan w:val="3"/>
            <w:vAlign w:val="center"/>
          </w:tcPr>
          <w:p w14:paraId="7977B5ED" w14:textId="4B5B32F1" w:rsidR="006B13EF" w:rsidRPr="003E7289" w:rsidRDefault="000D1635" w:rsidP="000D1635">
            <w:pPr>
              <w:spacing w:before="0" w:line="240" w:lineRule="auto"/>
              <w:rPr>
                <w:rFonts w:ascii="Arial" w:eastAsia="Aptos" w:hAnsi="Arial" w:cs="Arial"/>
                <w:bCs/>
                <w:sz w:val="20"/>
                <w:szCs w:val="20"/>
                <w:lang w:val="sq-AL" w:eastAsia="en-US"/>
              </w:rPr>
            </w:pPr>
            <w:r w:rsidRPr="003E7289">
              <w:rPr>
                <w:rFonts w:ascii="Arial" w:eastAsia="Aptos" w:hAnsi="Arial" w:cs="Arial"/>
                <w:bCs/>
                <w:sz w:val="20"/>
                <w:szCs w:val="20"/>
                <w:lang w:val="sq-AL"/>
              </w:rPr>
              <w:t>75% e digave të larta të pajisura me sisteme moderne të monitorimit të sigurisë.</w:t>
            </w:r>
          </w:p>
        </w:tc>
        <w:tc>
          <w:tcPr>
            <w:tcW w:w="1589" w:type="pct"/>
            <w:gridSpan w:val="5"/>
            <w:vAlign w:val="center"/>
          </w:tcPr>
          <w:p w14:paraId="008B4CCC" w14:textId="401C39CF" w:rsidR="006B13EF" w:rsidRPr="003E7289" w:rsidRDefault="000D1635" w:rsidP="000D1635">
            <w:pPr>
              <w:spacing w:before="0" w:line="240" w:lineRule="auto"/>
              <w:rPr>
                <w:rFonts w:ascii="Arial" w:eastAsia="Aptos" w:hAnsi="Arial" w:cs="Arial"/>
                <w:bCs/>
                <w:sz w:val="20"/>
                <w:szCs w:val="20"/>
                <w:lang w:val="sq-AL" w:eastAsia="en-US"/>
              </w:rPr>
            </w:pPr>
            <w:r w:rsidRPr="003E7289">
              <w:rPr>
                <w:rFonts w:ascii="Arial" w:eastAsia="Aptos" w:hAnsi="Arial" w:cs="Arial"/>
                <w:bCs/>
                <w:sz w:val="20"/>
                <w:szCs w:val="20"/>
                <w:lang w:val="sq-AL"/>
              </w:rPr>
              <w:t>100% e digave të larta të pajisura me sisteme moderne.</w:t>
            </w:r>
          </w:p>
        </w:tc>
      </w:tr>
      <w:tr w:rsidR="004807C9" w:rsidRPr="003E7289" w14:paraId="25357B04" w14:textId="77777777" w:rsidTr="00C65386">
        <w:trPr>
          <w:cantSplit/>
          <w:trHeight w:val="20"/>
        </w:trPr>
        <w:tc>
          <w:tcPr>
            <w:tcW w:w="926" w:type="pct"/>
            <w:gridSpan w:val="5"/>
            <w:vAlign w:val="center"/>
          </w:tcPr>
          <w:p w14:paraId="5E4F0C44" w14:textId="6CCB4360" w:rsidR="006B13EF"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Statusi i vendimmarrjes dhe zbatimit për të ardhmen e Digës së Livoçit</w:t>
            </w:r>
          </w:p>
        </w:tc>
        <w:tc>
          <w:tcPr>
            <w:tcW w:w="540" w:type="pct"/>
            <w:gridSpan w:val="4"/>
            <w:vAlign w:val="center"/>
          </w:tcPr>
          <w:p w14:paraId="199687D0" w14:textId="2F7723D2" w:rsidR="006B13EF" w:rsidRPr="003E7289" w:rsidRDefault="000D1635" w:rsidP="000D1635">
            <w:pPr>
              <w:spacing w:before="0" w:line="240" w:lineRule="auto"/>
              <w:rPr>
                <w:rFonts w:ascii="Arial" w:eastAsia="Aptos" w:hAnsi="Arial" w:cs="Arial"/>
                <w:bCs/>
                <w:sz w:val="20"/>
                <w:szCs w:val="20"/>
                <w:lang w:val="sq-AL" w:eastAsia="en-US"/>
              </w:rPr>
            </w:pPr>
            <w:r w:rsidRPr="003E7289">
              <w:rPr>
                <w:rFonts w:ascii="Arial" w:eastAsia="Aptos" w:hAnsi="Arial" w:cs="Arial"/>
                <w:bCs/>
                <w:sz w:val="20"/>
                <w:szCs w:val="20"/>
                <w:lang w:val="sq-AL"/>
              </w:rPr>
              <w:t>Diga e Livoçit është jashtë funksionit.</w:t>
            </w:r>
          </w:p>
        </w:tc>
        <w:tc>
          <w:tcPr>
            <w:tcW w:w="1374" w:type="pct"/>
            <w:gridSpan w:val="8"/>
            <w:vAlign w:val="center"/>
          </w:tcPr>
          <w:p w14:paraId="3EE4FABF" w14:textId="1DB6F1C7" w:rsidR="006B13EF" w:rsidRPr="003E7289" w:rsidRDefault="000D1635" w:rsidP="000D1635">
            <w:pPr>
              <w:spacing w:before="0" w:line="240" w:lineRule="auto"/>
              <w:rPr>
                <w:rFonts w:ascii="Arial" w:eastAsia="Aptos" w:hAnsi="Arial" w:cs="Arial"/>
                <w:bCs/>
                <w:sz w:val="20"/>
                <w:szCs w:val="20"/>
                <w:lang w:val="sq-AL" w:eastAsia="en-US"/>
              </w:rPr>
            </w:pPr>
            <w:r w:rsidRPr="003E7289">
              <w:rPr>
                <w:rFonts w:ascii="Arial" w:eastAsia="Aptos" w:hAnsi="Arial" w:cs="Arial"/>
                <w:bCs/>
                <w:sz w:val="20"/>
                <w:szCs w:val="20"/>
                <w:lang w:val="sq-AL"/>
              </w:rPr>
              <w:t>Janë nisur studimet teknike dhe të fizibilitetit; është iniciuar konsultimi me palët e interesit.</w:t>
            </w:r>
          </w:p>
        </w:tc>
        <w:tc>
          <w:tcPr>
            <w:tcW w:w="546" w:type="pct"/>
            <w:gridSpan w:val="3"/>
            <w:vAlign w:val="center"/>
          </w:tcPr>
          <w:p w14:paraId="71745676" w14:textId="52166EF1" w:rsidR="006B13EF" w:rsidRPr="003E7289" w:rsidRDefault="000D1635" w:rsidP="000D1635">
            <w:pPr>
              <w:spacing w:before="0" w:line="240" w:lineRule="auto"/>
              <w:rPr>
                <w:rFonts w:ascii="Arial" w:eastAsia="Aptos" w:hAnsi="Arial" w:cs="Arial"/>
                <w:bCs/>
                <w:sz w:val="20"/>
                <w:szCs w:val="20"/>
                <w:lang w:val="sq-AL" w:eastAsia="en-US"/>
              </w:rPr>
            </w:pPr>
            <w:r w:rsidRPr="003E7289">
              <w:rPr>
                <w:rFonts w:ascii="Arial" w:eastAsia="Aptos" w:hAnsi="Arial" w:cs="Arial"/>
                <w:bCs/>
                <w:sz w:val="20"/>
                <w:szCs w:val="20"/>
                <w:lang w:val="sq-AL"/>
              </w:rPr>
              <w:t>Është përfunduar dhe prezantuar publikisht një vlerësim i plotë teknik, mjedisor dhe socio-ekonomik për Digën e Livoçit</w:t>
            </w:r>
            <w:r w:rsidR="006B13EF" w:rsidRPr="003E7289">
              <w:rPr>
                <w:rFonts w:ascii="Arial" w:eastAsia="Aptos" w:hAnsi="Arial" w:cs="Arial"/>
                <w:bCs/>
                <w:sz w:val="20"/>
                <w:szCs w:val="20"/>
                <w:lang w:val="sq-AL"/>
              </w:rPr>
              <w:t>.</w:t>
            </w:r>
          </w:p>
        </w:tc>
        <w:tc>
          <w:tcPr>
            <w:tcW w:w="1589" w:type="pct"/>
            <w:gridSpan w:val="5"/>
            <w:vAlign w:val="center"/>
          </w:tcPr>
          <w:p w14:paraId="1725EE59" w14:textId="39E287AD" w:rsidR="006B13EF" w:rsidRPr="003E7289" w:rsidRDefault="000D1635" w:rsidP="000D1635">
            <w:pPr>
              <w:spacing w:before="0" w:line="240" w:lineRule="auto"/>
              <w:rPr>
                <w:rFonts w:ascii="Arial" w:eastAsia="Aptos" w:hAnsi="Arial" w:cs="Arial"/>
                <w:bCs/>
                <w:sz w:val="20"/>
                <w:szCs w:val="20"/>
                <w:lang w:val="sq-AL" w:eastAsia="en-US"/>
              </w:rPr>
            </w:pPr>
            <w:r w:rsidRPr="003E7289">
              <w:rPr>
                <w:rFonts w:ascii="Arial" w:eastAsia="Aptos" w:hAnsi="Arial" w:cs="Arial"/>
                <w:bCs/>
                <w:sz w:val="20"/>
                <w:szCs w:val="20"/>
                <w:lang w:val="sq-AL"/>
              </w:rPr>
              <w:t>Është miratuar vendimi zyrtar i qeverisë për ta rehabilituar dhe caktuar një autoritet menaxhues, ose për ta dekomisionuar digën, dhe ka nisur zbatimi i vendimit.</w:t>
            </w:r>
          </w:p>
        </w:tc>
      </w:tr>
      <w:tr w:rsidR="00C65386" w:rsidRPr="003E7289" w14:paraId="0498F038" w14:textId="77777777" w:rsidTr="00C65386">
        <w:trPr>
          <w:cantSplit/>
          <w:trHeight w:val="20"/>
        </w:trPr>
        <w:tc>
          <w:tcPr>
            <w:tcW w:w="250" w:type="pct"/>
            <w:vMerge w:val="restart"/>
            <w:shd w:val="clear" w:color="auto" w:fill="C6E7F6"/>
            <w:vAlign w:val="center"/>
          </w:tcPr>
          <w:p w14:paraId="0FBD0227" w14:textId="37048B87" w:rsidR="000D1635" w:rsidRPr="003E7289" w:rsidRDefault="000D1635" w:rsidP="000D1635">
            <w:pPr>
              <w:spacing w:before="0" w:line="240" w:lineRule="auto"/>
              <w:jc w:val="center"/>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t>Nr.</w:t>
            </w:r>
          </w:p>
        </w:tc>
        <w:tc>
          <w:tcPr>
            <w:tcW w:w="676" w:type="pct"/>
            <w:gridSpan w:val="4"/>
            <w:vMerge w:val="restart"/>
            <w:shd w:val="clear" w:color="auto" w:fill="C6E7F6"/>
            <w:vAlign w:val="center"/>
          </w:tcPr>
          <w:p w14:paraId="61084066" w14:textId="1FFF466D" w:rsidR="000D1635" w:rsidRPr="003E7289" w:rsidRDefault="000D1635" w:rsidP="000D1635">
            <w:pPr>
              <w:spacing w:before="0" w:line="240" w:lineRule="auto"/>
              <w:jc w:val="center"/>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t>Veprimi</w:t>
            </w:r>
          </w:p>
        </w:tc>
        <w:tc>
          <w:tcPr>
            <w:tcW w:w="540" w:type="pct"/>
            <w:gridSpan w:val="4"/>
            <w:vMerge w:val="restart"/>
            <w:shd w:val="clear" w:color="auto" w:fill="C6E7F6"/>
            <w:vAlign w:val="center"/>
          </w:tcPr>
          <w:p w14:paraId="149B65AB" w14:textId="13F9C67C" w:rsidR="000D1635" w:rsidRPr="003E7289" w:rsidRDefault="000D1635" w:rsidP="000D1635">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b/>
                <w:bCs/>
                <w:sz w:val="20"/>
                <w:szCs w:val="20"/>
                <w:lang w:val="sq-AL"/>
              </w:rPr>
              <w:t>Afati I fundit</w:t>
            </w:r>
          </w:p>
        </w:tc>
        <w:tc>
          <w:tcPr>
            <w:tcW w:w="1374" w:type="pct"/>
            <w:gridSpan w:val="8"/>
            <w:shd w:val="clear" w:color="auto" w:fill="C6E7F6"/>
            <w:vAlign w:val="center"/>
          </w:tcPr>
          <w:p w14:paraId="28981814" w14:textId="68FA358D" w:rsidR="000D1635" w:rsidRPr="003E7289" w:rsidRDefault="000D1635" w:rsidP="000D1635">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b/>
                <w:bCs/>
                <w:sz w:val="20"/>
                <w:szCs w:val="20"/>
                <w:lang w:val="sq-AL"/>
              </w:rPr>
              <w:t>Buxheti</w:t>
            </w:r>
          </w:p>
        </w:tc>
        <w:tc>
          <w:tcPr>
            <w:tcW w:w="546" w:type="pct"/>
            <w:gridSpan w:val="3"/>
            <w:vMerge w:val="restart"/>
            <w:shd w:val="clear" w:color="auto" w:fill="C6E7F6"/>
            <w:vAlign w:val="center"/>
          </w:tcPr>
          <w:p w14:paraId="6DE091A0" w14:textId="33D6311F" w:rsidR="000D1635" w:rsidRPr="003E7289" w:rsidRDefault="000D1635" w:rsidP="000D1635">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b/>
                <w:bCs/>
                <w:sz w:val="20"/>
                <w:szCs w:val="20"/>
                <w:lang w:val="sq-AL"/>
              </w:rPr>
              <w:t>Burimi i financimit</w:t>
            </w:r>
          </w:p>
        </w:tc>
        <w:tc>
          <w:tcPr>
            <w:tcW w:w="681" w:type="pct"/>
            <w:gridSpan w:val="3"/>
            <w:vMerge w:val="restart"/>
            <w:shd w:val="clear" w:color="auto" w:fill="C6E7F6"/>
            <w:vAlign w:val="center"/>
          </w:tcPr>
          <w:p w14:paraId="5B3FA993" w14:textId="6C1864B4" w:rsidR="000D1635" w:rsidRPr="003E7289" w:rsidRDefault="000D1635" w:rsidP="000D1635">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b/>
                <w:bCs/>
                <w:sz w:val="20"/>
                <w:szCs w:val="20"/>
                <w:lang w:val="sq-AL"/>
              </w:rPr>
              <w:t>Institucionet përgjegjëse dhe partnere</w:t>
            </w:r>
          </w:p>
        </w:tc>
        <w:tc>
          <w:tcPr>
            <w:tcW w:w="514" w:type="pct"/>
            <w:vMerge w:val="restart"/>
            <w:shd w:val="clear" w:color="auto" w:fill="C6E7F6"/>
            <w:vAlign w:val="center"/>
          </w:tcPr>
          <w:p w14:paraId="34594F62" w14:textId="62496C9B" w:rsidR="000D1635" w:rsidRPr="003E7289" w:rsidRDefault="000D1635" w:rsidP="000D1635">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b/>
                <w:bCs/>
                <w:sz w:val="20"/>
                <w:szCs w:val="20"/>
                <w:lang w:val="sq-AL"/>
              </w:rPr>
              <w:t>Rezultati i pritur</w:t>
            </w:r>
          </w:p>
        </w:tc>
        <w:tc>
          <w:tcPr>
            <w:tcW w:w="394" w:type="pct"/>
            <w:vMerge w:val="restart"/>
            <w:shd w:val="clear" w:color="auto" w:fill="C6E7F6"/>
            <w:vAlign w:val="center"/>
          </w:tcPr>
          <w:p w14:paraId="61473A6A" w14:textId="48423F8F" w:rsidR="000D1635" w:rsidRPr="003E7289" w:rsidRDefault="000D1635" w:rsidP="000D1635">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b/>
                <w:bCs/>
                <w:sz w:val="20"/>
                <w:szCs w:val="20"/>
                <w:lang w:val="sq-AL"/>
              </w:rPr>
              <w:t>Dokumenti strategjik referues</w:t>
            </w:r>
          </w:p>
        </w:tc>
      </w:tr>
      <w:tr w:rsidR="00C65386" w:rsidRPr="003E7289" w14:paraId="00B0D929" w14:textId="77777777" w:rsidTr="00C65386">
        <w:trPr>
          <w:cantSplit/>
          <w:trHeight w:val="20"/>
        </w:trPr>
        <w:tc>
          <w:tcPr>
            <w:tcW w:w="250" w:type="pct"/>
            <w:vMerge/>
            <w:vAlign w:val="center"/>
          </w:tcPr>
          <w:p w14:paraId="7A44438C" w14:textId="77777777" w:rsidR="006B13EF" w:rsidRPr="003E7289" w:rsidRDefault="006B13EF" w:rsidP="00A70686">
            <w:pPr>
              <w:spacing w:before="0" w:line="240" w:lineRule="auto"/>
              <w:rPr>
                <w:rFonts w:ascii="Arial" w:eastAsia="Aptos" w:hAnsi="Arial" w:cs="Arial"/>
                <w:b/>
                <w:bCs/>
                <w:i/>
                <w:iCs/>
                <w:sz w:val="20"/>
                <w:szCs w:val="20"/>
                <w:highlight w:val="green"/>
                <w:lang w:val="sq-AL" w:eastAsia="en-US"/>
              </w:rPr>
            </w:pPr>
          </w:p>
        </w:tc>
        <w:tc>
          <w:tcPr>
            <w:tcW w:w="676" w:type="pct"/>
            <w:gridSpan w:val="4"/>
            <w:vMerge/>
            <w:vAlign w:val="center"/>
          </w:tcPr>
          <w:p w14:paraId="27E03C56" w14:textId="77777777" w:rsidR="006B13EF" w:rsidRPr="003E7289" w:rsidRDefault="006B13EF" w:rsidP="00A70686">
            <w:pPr>
              <w:spacing w:before="0" w:line="240" w:lineRule="auto"/>
              <w:rPr>
                <w:rFonts w:ascii="Arial" w:eastAsia="Aptos" w:hAnsi="Arial" w:cs="Arial"/>
                <w:b/>
                <w:bCs/>
                <w:i/>
                <w:iCs/>
                <w:sz w:val="20"/>
                <w:szCs w:val="20"/>
                <w:highlight w:val="green"/>
                <w:lang w:val="sq-AL" w:eastAsia="en-US"/>
              </w:rPr>
            </w:pPr>
          </w:p>
        </w:tc>
        <w:tc>
          <w:tcPr>
            <w:tcW w:w="540" w:type="pct"/>
            <w:gridSpan w:val="4"/>
            <w:vMerge/>
            <w:vAlign w:val="center"/>
          </w:tcPr>
          <w:p w14:paraId="60776710"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p>
        </w:tc>
        <w:tc>
          <w:tcPr>
            <w:tcW w:w="445" w:type="pct"/>
            <w:gridSpan w:val="3"/>
            <w:shd w:val="clear" w:color="auto" w:fill="C6E7F6"/>
            <w:vAlign w:val="center"/>
          </w:tcPr>
          <w:p w14:paraId="5FB9B703"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b/>
                <w:bCs/>
                <w:sz w:val="20"/>
                <w:szCs w:val="20"/>
                <w:lang w:val="sq-AL"/>
              </w:rPr>
              <w:t>2026</w:t>
            </w:r>
          </w:p>
        </w:tc>
        <w:tc>
          <w:tcPr>
            <w:tcW w:w="381" w:type="pct"/>
            <w:gridSpan w:val="2"/>
            <w:shd w:val="clear" w:color="auto" w:fill="C6E7F6"/>
            <w:vAlign w:val="center"/>
          </w:tcPr>
          <w:p w14:paraId="72AEE500"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b/>
                <w:bCs/>
                <w:sz w:val="20"/>
                <w:szCs w:val="20"/>
                <w:lang w:val="sq-AL"/>
              </w:rPr>
              <w:t>2027</w:t>
            </w:r>
          </w:p>
        </w:tc>
        <w:tc>
          <w:tcPr>
            <w:tcW w:w="548" w:type="pct"/>
            <w:gridSpan w:val="3"/>
            <w:shd w:val="clear" w:color="auto" w:fill="C6E7F6"/>
            <w:vAlign w:val="center"/>
          </w:tcPr>
          <w:p w14:paraId="3A9414F4"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b/>
                <w:bCs/>
                <w:sz w:val="20"/>
                <w:szCs w:val="20"/>
                <w:lang w:val="sq-AL"/>
              </w:rPr>
              <w:t>2028</w:t>
            </w:r>
          </w:p>
        </w:tc>
        <w:tc>
          <w:tcPr>
            <w:tcW w:w="546" w:type="pct"/>
            <w:gridSpan w:val="3"/>
            <w:vMerge/>
            <w:vAlign w:val="center"/>
          </w:tcPr>
          <w:p w14:paraId="5DF4BA77"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p>
        </w:tc>
        <w:tc>
          <w:tcPr>
            <w:tcW w:w="681" w:type="pct"/>
            <w:gridSpan w:val="3"/>
            <w:vMerge/>
            <w:vAlign w:val="center"/>
          </w:tcPr>
          <w:p w14:paraId="10A261AB"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p>
        </w:tc>
        <w:tc>
          <w:tcPr>
            <w:tcW w:w="514" w:type="pct"/>
            <w:vMerge/>
            <w:vAlign w:val="center"/>
          </w:tcPr>
          <w:p w14:paraId="408988F4"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p>
        </w:tc>
        <w:tc>
          <w:tcPr>
            <w:tcW w:w="394" w:type="pct"/>
            <w:vMerge/>
            <w:vAlign w:val="center"/>
          </w:tcPr>
          <w:p w14:paraId="7757DC71"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p>
        </w:tc>
      </w:tr>
      <w:tr w:rsidR="004807C9" w:rsidRPr="003E7289" w14:paraId="05015B73" w14:textId="77777777" w:rsidTr="00C65386">
        <w:trPr>
          <w:cantSplit/>
          <w:trHeight w:val="20"/>
        </w:trPr>
        <w:tc>
          <w:tcPr>
            <w:tcW w:w="250" w:type="pct"/>
            <w:vAlign w:val="center"/>
          </w:tcPr>
          <w:p w14:paraId="1B87A1FC" w14:textId="650F7780"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I.3.1.</w:t>
            </w:r>
          </w:p>
        </w:tc>
        <w:tc>
          <w:tcPr>
            <w:tcW w:w="676" w:type="pct"/>
            <w:gridSpan w:val="4"/>
            <w:vAlign w:val="center"/>
          </w:tcPr>
          <w:p w14:paraId="3D5DFAD8" w14:textId="5D412FDB" w:rsidR="006B13EF" w:rsidRPr="003E7289" w:rsidRDefault="000D1635" w:rsidP="000D1635">
            <w:pPr>
              <w:spacing w:before="0" w:line="240" w:lineRule="auto"/>
              <w:jc w:val="center"/>
              <w:rPr>
                <w:rFonts w:ascii="Arial" w:eastAsia="Aptos" w:hAnsi="Arial" w:cs="Arial"/>
                <w:b/>
                <w:iCs/>
                <w:sz w:val="20"/>
                <w:szCs w:val="20"/>
                <w:lang w:val="sq-AL" w:eastAsia="en-US"/>
              </w:rPr>
            </w:pPr>
            <w:r w:rsidRPr="003E7289">
              <w:rPr>
                <w:rFonts w:ascii="Arial" w:eastAsia="Aptos" w:hAnsi="Arial" w:cs="Arial"/>
                <w:b/>
                <w:iCs/>
                <w:sz w:val="20"/>
                <w:szCs w:val="20"/>
                <w:lang w:val="sq-AL"/>
              </w:rPr>
              <w:t>Rehabilitimi strukturor i infrastrukturës ekzistuese (gjashtë diga kryesore: Ujmani, Radoniqi, Batllava, Badovci, Përlepnicë dhe ndoshta Livoç)</w:t>
            </w:r>
          </w:p>
        </w:tc>
        <w:tc>
          <w:tcPr>
            <w:tcW w:w="540" w:type="pct"/>
            <w:gridSpan w:val="4"/>
            <w:vAlign w:val="center"/>
          </w:tcPr>
          <w:p w14:paraId="596CFB95" w14:textId="77777777" w:rsidR="006B13EF" w:rsidRPr="003E7289" w:rsidRDefault="006B13EF" w:rsidP="00A70686">
            <w:pPr>
              <w:spacing w:before="0" w:line="240" w:lineRule="auto"/>
              <w:jc w:val="center"/>
              <w:rPr>
                <w:rFonts w:ascii="Arial" w:eastAsia="Aptos" w:hAnsi="Arial" w:cs="Arial"/>
                <w:bCs/>
                <w:sz w:val="20"/>
                <w:szCs w:val="20"/>
                <w:lang w:val="sq-AL" w:eastAsia="en-US"/>
              </w:rPr>
            </w:pPr>
            <w:r w:rsidRPr="003E7289">
              <w:rPr>
                <w:rFonts w:ascii="Arial" w:eastAsia="Aptos" w:hAnsi="Arial" w:cs="Arial"/>
                <w:bCs/>
                <w:sz w:val="20"/>
                <w:szCs w:val="20"/>
                <w:lang w:val="sq-AL"/>
              </w:rPr>
              <w:t>2040</w:t>
            </w:r>
          </w:p>
        </w:tc>
        <w:tc>
          <w:tcPr>
            <w:tcW w:w="445" w:type="pct"/>
            <w:gridSpan w:val="3"/>
            <w:vAlign w:val="center"/>
          </w:tcPr>
          <w:p w14:paraId="44FC73D2" w14:textId="432B3C79" w:rsidR="006B13EF" w:rsidRPr="003E7289" w:rsidRDefault="000D1635" w:rsidP="000D1635">
            <w:pPr>
              <w:spacing w:before="0" w:line="240" w:lineRule="auto"/>
              <w:jc w:val="center"/>
              <w:rPr>
                <w:rFonts w:ascii="Arial" w:eastAsia="Aptos" w:hAnsi="Arial" w:cs="Arial"/>
                <w:bCs/>
                <w:sz w:val="20"/>
                <w:szCs w:val="20"/>
                <w:lang w:val="sq-AL" w:eastAsia="en-US"/>
              </w:rPr>
            </w:pPr>
            <w:r w:rsidRPr="003E7289">
              <w:rPr>
                <w:rFonts w:ascii="Arial" w:eastAsia="Aptos" w:hAnsi="Arial" w:cs="Arial"/>
                <w:bCs/>
                <w:sz w:val="20"/>
                <w:szCs w:val="20"/>
                <w:lang w:val="sq-AL"/>
              </w:rPr>
              <w:t>≈ €0.7 milion + pjesë nga FLOWS</w:t>
            </w:r>
          </w:p>
        </w:tc>
        <w:tc>
          <w:tcPr>
            <w:tcW w:w="381" w:type="pct"/>
            <w:gridSpan w:val="2"/>
            <w:vAlign w:val="center"/>
          </w:tcPr>
          <w:p w14:paraId="23F42053" w14:textId="22AEFFE2" w:rsidR="006B13EF" w:rsidRPr="003E7289" w:rsidRDefault="000D1635" w:rsidP="000D1635">
            <w:pPr>
              <w:spacing w:before="0" w:line="240" w:lineRule="auto"/>
              <w:jc w:val="center"/>
              <w:rPr>
                <w:rFonts w:ascii="Arial" w:eastAsia="Aptos" w:hAnsi="Arial" w:cs="Arial"/>
                <w:bCs/>
                <w:sz w:val="20"/>
                <w:szCs w:val="20"/>
                <w:lang w:val="sq-AL" w:eastAsia="en-US"/>
              </w:rPr>
            </w:pPr>
            <w:r w:rsidRPr="003E7289">
              <w:rPr>
                <w:rFonts w:ascii="Arial" w:eastAsia="Aptos" w:hAnsi="Arial" w:cs="Arial"/>
                <w:bCs/>
                <w:sz w:val="20"/>
                <w:szCs w:val="20"/>
                <w:lang w:val="sq-AL"/>
              </w:rPr>
              <w:t>≈ €0.7 milion (KfW) + pjesë nga FLOWS</w:t>
            </w:r>
          </w:p>
        </w:tc>
        <w:tc>
          <w:tcPr>
            <w:tcW w:w="548" w:type="pct"/>
            <w:gridSpan w:val="3"/>
            <w:vAlign w:val="center"/>
          </w:tcPr>
          <w:p w14:paraId="6788CC3E" w14:textId="77777777" w:rsidR="006B13EF" w:rsidRPr="003E7289" w:rsidRDefault="006B13EF" w:rsidP="00A70686">
            <w:pPr>
              <w:spacing w:before="0" w:line="240" w:lineRule="auto"/>
              <w:jc w:val="center"/>
              <w:rPr>
                <w:rFonts w:ascii="Arial" w:eastAsia="Aptos" w:hAnsi="Arial" w:cs="Arial"/>
                <w:bCs/>
                <w:sz w:val="20"/>
                <w:szCs w:val="20"/>
                <w:lang w:val="sq-AL" w:eastAsia="en-US"/>
              </w:rPr>
            </w:pPr>
          </w:p>
        </w:tc>
        <w:tc>
          <w:tcPr>
            <w:tcW w:w="546" w:type="pct"/>
            <w:gridSpan w:val="3"/>
            <w:vAlign w:val="center"/>
          </w:tcPr>
          <w:p w14:paraId="06105A4B" w14:textId="60591996" w:rsidR="006B13EF" w:rsidRPr="003E7289" w:rsidRDefault="000D1635" w:rsidP="000D1635">
            <w:pPr>
              <w:spacing w:before="0" w:line="240" w:lineRule="auto"/>
              <w:jc w:val="center"/>
              <w:rPr>
                <w:rFonts w:ascii="Arial" w:eastAsia="Aptos" w:hAnsi="Arial" w:cs="Arial"/>
                <w:color w:val="000000" w:themeColor="text1"/>
                <w:sz w:val="20"/>
                <w:szCs w:val="20"/>
                <w:lang w:val="sq-AL" w:eastAsia="en-US"/>
              </w:rPr>
            </w:pPr>
            <w:r w:rsidRPr="003E7289">
              <w:rPr>
                <w:rFonts w:ascii="Arial" w:eastAsia="Aptos" w:hAnsi="Arial" w:cs="Arial"/>
                <w:color w:val="000000" w:themeColor="text1"/>
                <w:sz w:val="20"/>
                <w:szCs w:val="20"/>
                <w:lang w:val="sq-AL"/>
              </w:rPr>
              <w:t>Programi FLOWS (huaja WB, grant zviceran)</w:t>
            </w:r>
          </w:p>
        </w:tc>
        <w:tc>
          <w:tcPr>
            <w:tcW w:w="681" w:type="pct"/>
            <w:gridSpan w:val="3"/>
            <w:vAlign w:val="center"/>
          </w:tcPr>
          <w:p w14:paraId="3C6494B6" w14:textId="30C549D0" w:rsidR="006B13EF" w:rsidRPr="003E7289" w:rsidRDefault="000D1635" w:rsidP="000D1635">
            <w:pPr>
              <w:spacing w:before="0" w:line="240" w:lineRule="auto"/>
              <w:jc w:val="center"/>
              <w:rPr>
                <w:rFonts w:ascii="Arial" w:eastAsia="Aptos" w:hAnsi="Arial" w:cs="Arial"/>
                <w:bCs/>
                <w:sz w:val="20"/>
                <w:szCs w:val="20"/>
                <w:lang w:val="sq-AL" w:eastAsia="en-US"/>
              </w:rPr>
            </w:pPr>
            <w:r w:rsidRPr="003E7289">
              <w:rPr>
                <w:rFonts w:ascii="Arial" w:eastAsia="Aptos" w:hAnsi="Arial" w:cs="Arial"/>
                <w:bCs/>
                <w:sz w:val="20"/>
                <w:szCs w:val="20"/>
                <w:lang w:val="sq-AL"/>
              </w:rPr>
              <w:t>MMPHI, Kompanitë ujësjellëse</w:t>
            </w:r>
          </w:p>
        </w:tc>
        <w:tc>
          <w:tcPr>
            <w:tcW w:w="514" w:type="pct"/>
            <w:vAlign w:val="center"/>
          </w:tcPr>
          <w:p w14:paraId="79A9DD0F" w14:textId="286848D3" w:rsidR="006B13EF" w:rsidRPr="003E7289" w:rsidRDefault="000D1635" w:rsidP="000D1635">
            <w:pPr>
              <w:spacing w:before="0" w:line="240" w:lineRule="auto"/>
              <w:jc w:val="center"/>
              <w:rPr>
                <w:rFonts w:ascii="Arial" w:eastAsia="Aptos" w:hAnsi="Arial" w:cs="Arial"/>
                <w:bCs/>
                <w:sz w:val="20"/>
                <w:szCs w:val="20"/>
                <w:lang w:val="sq-AL" w:eastAsia="en-US"/>
              </w:rPr>
            </w:pPr>
            <w:r w:rsidRPr="003E7289">
              <w:rPr>
                <w:rFonts w:ascii="Arial" w:eastAsia="Aptos" w:hAnsi="Arial" w:cs="Arial"/>
                <w:bCs/>
                <w:sz w:val="20"/>
                <w:szCs w:val="20"/>
                <w:lang w:val="sq-AL"/>
              </w:rPr>
              <w:t>Pesë digat kryesore (dhe ndoshta Livoç) të rehabilituara strukturorisht.</w:t>
            </w:r>
          </w:p>
        </w:tc>
        <w:tc>
          <w:tcPr>
            <w:tcW w:w="394" w:type="pct"/>
            <w:vAlign w:val="center"/>
          </w:tcPr>
          <w:p w14:paraId="04928B94" w14:textId="0B225C96" w:rsidR="006B13EF" w:rsidRPr="003E7289" w:rsidRDefault="00BE39C7" w:rsidP="00A70686">
            <w:pPr>
              <w:spacing w:before="0" w:line="240" w:lineRule="auto"/>
              <w:jc w:val="center"/>
              <w:rPr>
                <w:rFonts w:ascii="Arial" w:eastAsia="Aptos" w:hAnsi="Arial" w:cs="Arial"/>
                <w:bCs/>
                <w:sz w:val="20"/>
                <w:szCs w:val="20"/>
                <w:lang w:val="sq-AL" w:eastAsia="en-US"/>
              </w:rPr>
            </w:pPr>
            <w:r w:rsidRPr="003E7289">
              <w:rPr>
                <w:rFonts w:ascii="Arial" w:eastAsia="Aptos" w:hAnsi="Arial" w:cs="Arial"/>
                <w:sz w:val="20"/>
                <w:szCs w:val="20"/>
                <w:lang w:val="sq-AL"/>
              </w:rPr>
              <w:t>Strategjia</w:t>
            </w:r>
            <w:r w:rsidR="000D1635" w:rsidRPr="003E7289">
              <w:rPr>
                <w:rFonts w:ascii="Arial" w:eastAsia="Aptos" w:hAnsi="Arial" w:cs="Arial"/>
                <w:sz w:val="20"/>
                <w:szCs w:val="20"/>
                <w:lang w:val="sq-AL"/>
              </w:rPr>
              <w:t xml:space="preserve"> Kombëtare e Ujit 2017–2035</w:t>
            </w:r>
          </w:p>
        </w:tc>
      </w:tr>
      <w:tr w:rsidR="004807C9" w:rsidRPr="003E7289" w14:paraId="12CC8BE6" w14:textId="77777777" w:rsidTr="00C65386">
        <w:trPr>
          <w:cantSplit/>
          <w:trHeight w:val="20"/>
        </w:trPr>
        <w:tc>
          <w:tcPr>
            <w:tcW w:w="250" w:type="pct"/>
            <w:vAlign w:val="center"/>
          </w:tcPr>
          <w:p w14:paraId="201E0479" w14:textId="77777777" w:rsidR="006B13EF" w:rsidRPr="003E7289" w:rsidRDefault="006B13EF" w:rsidP="00A70686">
            <w:pPr>
              <w:spacing w:before="0" w:line="240" w:lineRule="auto"/>
              <w:jc w:val="center"/>
              <w:rPr>
                <w:rFonts w:ascii="Arial" w:eastAsia="Aptos" w:hAnsi="Arial" w:cs="Arial"/>
                <w:b/>
                <w:bCs/>
                <w:i/>
                <w:iCs/>
                <w:sz w:val="20"/>
                <w:szCs w:val="20"/>
                <w:lang w:val="sq-AL" w:eastAsia="en-US"/>
              </w:rPr>
            </w:pPr>
            <w:r w:rsidRPr="003E7289">
              <w:rPr>
                <w:rFonts w:ascii="Arial" w:eastAsia="Aptos" w:hAnsi="Arial" w:cs="Arial"/>
                <w:b/>
                <w:bCs/>
                <w:sz w:val="20"/>
                <w:szCs w:val="20"/>
                <w:lang w:val="sq-AL"/>
              </w:rPr>
              <w:lastRenderedPageBreak/>
              <w:t>I.3.2.</w:t>
            </w:r>
          </w:p>
        </w:tc>
        <w:tc>
          <w:tcPr>
            <w:tcW w:w="676" w:type="pct"/>
            <w:gridSpan w:val="4"/>
            <w:vAlign w:val="center"/>
          </w:tcPr>
          <w:p w14:paraId="3A9E6A8D" w14:textId="3449140C" w:rsidR="006B13EF" w:rsidRPr="003E7289" w:rsidRDefault="000D1635" w:rsidP="000D1635">
            <w:pPr>
              <w:spacing w:before="0" w:line="240" w:lineRule="auto"/>
              <w:jc w:val="center"/>
              <w:rPr>
                <w:rFonts w:ascii="Arial" w:eastAsia="Aptos" w:hAnsi="Arial" w:cs="Arial"/>
                <w:b/>
                <w:iCs/>
                <w:sz w:val="20"/>
                <w:szCs w:val="20"/>
                <w:highlight w:val="yellow"/>
                <w:lang w:val="sq-AL" w:eastAsia="en-US"/>
              </w:rPr>
            </w:pPr>
            <w:r w:rsidRPr="003E7289">
              <w:rPr>
                <w:rFonts w:ascii="Arial" w:eastAsia="Aptos" w:hAnsi="Arial" w:cs="Arial"/>
                <w:b/>
                <w:iCs/>
                <w:sz w:val="20"/>
                <w:szCs w:val="20"/>
                <w:lang w:val="sq-AL"/>
              </w:rPr>
              <w:t>Hartimi i planeve</w:t>
            </w:r>
            <w:r w:rsidR="00751466" w:rsidRPr="003E7289">
              <w:rPr>
                <w:rFonts w:ascii="Arial" w:eastAsia="Aptos" w:hAnsi="Arial" w:cs="Arial"/>
                <w:b/>
                <w:iCs/>
                <w:sz w:val="20"/>
                <w:szCs w:val="20"/>
                <w:lang w:val="sq-AL"/>
              </w:rPr>
              <w:t xml:space="preserve"> të reagimit emergjent</w:t>
            </w:r>
            <w:r w:rsidRPr="003E7289">
              <w:rPr>
                <w:rFonts w:ascii="Arial" w:eastAsia="Aptos" w:hAnsi="Arial" w:cs="Arial"/>
                <w:b/>
                <w:iCs/>
                <w:sz w:val="20"/>
                <w:szCs w:val="20"/>
                <w:lang w:val="sq-AL"/>
              </w:rPr>
              <w:t xml:space="preserve"> për gjashtë digat kryesore (Ujmani, Radoniqi, Batllava, Badovci, Përlepnicë dhe ndoshta Livoç)</w:t>
            </w:r>
          </w:p>
        </w:tc>
        <w:tc>
          <w:tcPr>
            <w:tcW w:w="540" w:type="pct"/>
            <w:gridSpan w:val="4"/>
            <w:vAlign w:val="center"/>
          </w:tcPr>
          <w:p w14:paraId="6A6A7FD5" w14:textId="77777777" w:rsidR="006B13EF" w:rsidRPr="003E7289" w:rsidRDefault="006B13EF" w:rsidP="00A70686">
            <w:pPr>
              <w:spacing w:before="0" w:line="240" w:lineRule="auto"/>
              <w:jc w:val="center"/>
              <w:rPr>
                <w:rFonts w:ascii="Arial" w:eastAsia="Aptos" w:hAnsi="Arial" w:cs="Arial"/>
                <w:bCs/>
                <w:sz w:val="20"/>
                <w:szCs w:val="20"/>
                <w:lang w:val="sq-AL" w:eastAsia="en-US"/>
              </w:rPr>
            </w:pPr>
            <w:r w:rsidRPr="003E7289">
              <w:rPr>
                <w:rFonts w:ascii="Arial" w:eastAsia="Aptos" w:hAnsi="Arial" w:cs="Arial"/>
                <w:bCs/>
                <w:sz w:val="20"/>
                <w:szCs w:val="20"/>
                <w:lang w:val="sq-AL"/>
              </w:rPr>
              <w:t>2040</w:t>
            </w:r>
          </w:p>
        </w:tc>
        <w:tc>
          <w:tcPr>
            <w:tcW w:w="445" w:type="pct"/>
            <w:gridSpan w:val="3"/>
            <w:vAlign w:val="center"/>
          </w:tcPr>
          <w:p w14:paraId="12B6FBB4" w14:textId="77777777" w:rsidR="006B13EF" w:rsidRPr="003E7289" w:rsidRDefault="006B13EF" w:rsidP="00A70686">
            <w:pPr>
              <w:spacing w:before="0" w:line="240" w:lineRule="auto"/>
              <w:jc w:val="center"/>
              <w:rPr>
                <w:rFonts w:ascii="Arial" w:eastAsia="Aptos" w:hAnsi="Arial" w:cs="Arial"/>
                <w:bCs/>
                <w:sz w:val="20"/>
                <w:szCs w:val="20"/>
                <w:lang w:val="sq-AL" w:eastAsia="en-US"/>
              </w:rPr>
            </w:pPr>
          </w:p>
        </w:tc>
        <w:tc>
          <w:tcPr>
            <w:tcW w:w="381" w:type="pct"/>
            <w:gridSpan w:val="2"/>
            <w:vAlign w:val="center"/>
          </w:tcPr>
          <w:p w14:paraId="10E2DC65" w14:textId="77777777" w:rsidR="006B13EF" w:rsidRPr="003E7289" w:rsidRDefault="006B13EF" w:rsidP="00A70686">
            <w:pPr>
              <w:spacing w:before="0" w:line="240" w:lineRule="auto"/>
              <w:jc w:val="center"/>
              <w:rPr>
                <w:rFonts w:ascii="Arial" w:eastAsia="Aptos" w:hAnsi="Arial" w:cs="Arial"/>
                <w:bCs/>
                <w:sz w:val="20"/>
                <w:szCs w:val="20"/>
                <w:lang w:val="sq-AL" w:eastAsia="en-US"/>
              </w:rPr>
            </w:pPr>
          </w:p>
        </w:tc>
        <w:tc>
          <w:tcPr>
            <w:tcW w:w="548" w:type="pct"/>
            <w:gridSpan w:val="3"/>
            <w:vAlign w:val="center"/>
          </w:tcPr>
          <w:p w14:paraId="6A2DC46A" w14:textId="46E60ABF" w:rsidR="006B13EF" w:rsidRPr="003E7289" w:rsidRDefault="000D1635" w:rsidP="000D1635">
            <w:pPr>
              <w:spacing w:before="0" w:line="240" w:lineRule="auto"/>
              <w:jc w:val="center"/>
              <w:rPr>
                <w:rFonts w:ascii="Arial" w:eastAsia="Aptos" w:hAnsi="Arial" w:cs="Arial"/>
                <w:bCs/>
                <w:sz w:val="20"/>
                <w:szCs w:val="20"/>
                <w:lang w:val="sq-AL" w:eastAsia="en-US"/>
              </w:rPr>
            </w:pPr>
            <w:r w:rsidRPr="003E7289">
              <w:rPr>
                <w:rFonts w:ascii="Arial" w:eastAsia="Aptos" w:hAnsi="Arial" w:cs="Arial"/>
                <w:bCs/>
                <w:sz w:val="20"/>
                <w:szCs w:val="20"/>
                <w:lang w:val="sq-AL"/>
              </w:rPr>
              <w:t>≈ €0.1 milion + pjesë nga FLOWS</w:t>
            </w:r>
          </w:p>
        </w:tc>
        <w:tc>
          <w:tcPr>
            <w:tcW w:w="546" w:type="pct"/>
            <w:gridSpan w:val="3"/>
            <w:vAlign w:val="center"/>
          </w:tcPr>
          <w:p w14:paraId="78D4F969" w14:textId="1180936F" w:rsidR="006B13EF" w:rsidRPr="003E7289" w:rsidRDefault="000D1635" w:rsidP="000D1635">
            <w:pPr>
              <w:spacing w:before="0" w:line="240" w:lineRule="auto"/>
              <w:jc w:val="center"/>
              <w:rPr>
                <w:rFonts w:ascii="Arial" w:eastAsia="Aptos" w:hAnsi="Arial" w:cs="Arial"/>
                <w:color w:val="000000" w:themeColor="text1"/>
                <w:sz w:val="20"/>
                <w:szCs w:val="20"/>
                <w:lang w:val="sq-AL" w:eastAsia="en-US"/>
              </w:rPr>
            </w:pPr>
            <w:r w:rsidRPr="003E7289">
              <w:rPr>
                <w:rFonts w:ascii="Arial" w:eastAsia="Aptos" w:hAnsi="Arial" w:cs="Arial"/>
                <w:color w:val="000000" w:themeColor="text1"/>
                <w:sz w:val="20"/>
                <w:szCs w:val="20"/>
                <w:lang w:val="sq-AL"/>
              </w:rPr>
              <w:t>Programi FLOWS (huaja WB, grant zviceran)</w:t>
            </w:r>
          </w:p>
        </w:tc>
        <w:tc>
          <w:tcPr>
            <w:tcW w:w="681" w:type="pct"/>
            <w:gridSpan w:val="3"/>
            <w:vAlign w:val="center"/>
          </w:tcPr>
          <w:p w14:paraId="1D71285C" w14:textId="7439096F" w:rsidR="006B13EF" w:rsidRPr="003E7289" w:rsidRDefault="00CC6D61" w:rsidP="000D1635">
            <w:pPr>
              <w:spacing w:before="0" w:line="240" w:lineRule="auto"/>
              <w:jc w:val="center"/>
              <w:rPr>
                <w:rFonts w:ascii="Arial" w:eastAsia="Aptos" w:hAnsi="Arial" w:cs="Arial"/>
                <w:bCs/>
                <w:sz w:val="20"/>
                <w:szCs w:val="20"/>
                <w:lang w:val="sq-AL" w:eastAsia="en-US"/>
              </w:rPr>
            </w:pPr>
            <w:r w:rsidRPr="003E7289">
              <w:rPr>
                <w:rFonts w:ascii="Arial" w:eastAsia="Aptos" w:hAnsi="Arial" w:cs="Arial"/>
                <w:bCs/>
                <w:sz w:val="20"/>
                <w:szCs w:val="20"/>
                <w:lang w:val="sq-AL"/>
              </w:rPr>
              <w:t xml:space="preserve">Pronarët ose Operatorët e Digave me mbështetjen e Agjencisë të Menaxhimit Emergjent (AME)  </w:t>
            </w:r>
          </w:p>
        </w:tc>
        <w:tc>
          <w:tcPr>
            <w:tcW w:w="514" w:type="pct"/>
            <w:vAlign w:val="center"/>
          </w:tcPr>
          <w:p w14:paraId="1926049A" w14:textId="3FB0E3BF" w:rsidR="006B13EF" w:rsidRPr="003E7289" w:rsidRDefault="000D1635" w:rsidP="000D1635">
            <w:pPr>
              <w:spacing w:before="0" w:line="240" w:lineRule="auto"/>
              <w:jc w:val="center"/>
              <w:rPr>
                <w:rFonts w:ascii="Arial" w:eastAsia="Aptos" w:hAnsi="Arial" w:cs="Arial"/>
                <w:b/>
                <w:bCs/>
                <w:color w:val="EE0000"/>
                <w:sz w:val="20"/>
                <w:szCs w:val="20"/>
                <w:lang w:val="sq-AL" w:eastAsia="en-US"/>
              </w:rPr>
            </w:pPr>
            <w:r w:rsidRPr="003E7289">
              <w:rPr>
                <w:rFonts w:ascii="Arial" w:eastAsia="Aptos" w:hAnsi="Arial" w:cs="Arial"/>
                <w:bCs/>
                <w:sz w:val="20"/>
                <w:szCs w:val="20"/>
                <w:lang w:val="sq-AL"/>
              </w:rPr>
              <w:t>Planet</w:t>
            </w:r>
            <w:r w:rsidR="00C435C1" w:rsidRPr="003E7289">
              <w:rPr>
                <w:rFonts w:ascii="Arial" w:eastAsia="Aptos" w:hAnsi="Arial" w:cs="Arial"/>
                <w:bCs/>
                <w:sz w:val="20"/>
                <w:szCs w:val="20"/>
                <w:lang w:val="sq-AL"/>
              </w:rPr>
              <w:t xml:space="preserve"> e reagimit emergjent</w:t>
            </w:r>
            <w:r w:rsidRPr="003E7289">
              <w:rPr>
                <w:rFonts w:ascii="Arial" w:eastAsia="Aptos" w:hAnsi="Arial" w:cs="Arial"/>
                <w:bCs/>
                <w:sz w:val="20"/>
                <w:szCs w:val="20"/>
                <w:lang w:val="sq-AL"/>
              </w:rPr>
              <w:t>të zhvilluara për pesë digat kryesore (dhe ndoshta Livoç).</w:t>
            </w:r>
          </w:p>
        </w:tc>
        <w:tc>
          <w:tcPr>
            <w:tcW w:w="394" w:type="pct"/>
            <w:vAlign w:val="center"/>
          </w:tcPr>
          <w:p w14:paraId="628B3DBE" w14:textId="40469E9D" w:rsidR="006B13EF" w:rsidRPr="003E7289" w:rsidRDefault="00BE39C7" w:rsidP="00A70686">
            <w:pPr>
              <w:spacing w:before="0" w:line="240" w:lineRule="auto"/>
              <w:jc w:val="center"/>
              <w:rPr>
                <w:rFonts w:ascii="Arial" w:eastAsia="Aptos" w:hAnsi="Arial" w:cs="Arial"/>
                <w:bCs/>
                <w:sz w:val="20"/>
                <w:szCs w:val="20"/>
                <w:lang w:val="sq-AL" w:eastAsia="en-US"/>
              </w:rPr>
            </w:pPr>
            <w:r w:rsidRPr="003E7289">
              <w:rPr>
                <w:rFonts w:ascii="Arial" w:eastAsia="Aptos" w:hAnsi="Arial" w:cs="Arial"/>
                <w:sz w:val="20"/>
                <w:szCs w:val="20"/>
                <w:lang w:val="sq-AL"/>
              </w:rPr>
              <w:t>Strategjia</w:t>
            </w:r>
            <w:r w:rsidR="000D1635" w:rsidRPr="003E7289">
              <w:rPr>
                <w:rFonts w:ascii="Arial" w:eastAsia="Aptos" w:hAnsi="Arial" w:cs="Arial"/>
                <w:sz w:val="20"/>
                <w:szCs w:val="20"/>
                <w:lang w:val="sq-AL"/>
              </w:rPr>
              <w:t xml:space="preserve"> Kombëtare e Ujit 2017–2035</w:t>
            </w:r>
          </w:p>
        </w:tc>
      </w:tr>
      <w:tr w:rsidR="004807C9" w:rsidRPr="003E7289" w14:paraId="1249AADA" w14:textId="77777777" w:rsidTr="00C65386">
        <w:trPr>
          <w:cantSplit/>
          <w:trHeight w:val="20"/>
        </w:trPr>
        <w:tc>
          <w:tcPr>
            <w:tcW w:w="250" w:type="pct"/>
            <w:vAlign w:val="center"/>
          </w:tcPr>
          <w:p w14:paraId="4C1FC348"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I.3.3.</w:t>
            </w:r>
          </w:p>
        </w:tc>
        <w:tc>
          <w:tcPr>
            <w:tcW w:w="676" w:type="pct"/>
            <w:gridSpan w:val="4"/>
            <w:vAlign w:val="center"/>
          </w:tcPr>
          <w:p w14:paraId="79937AFE" w14:textId="776D180C" w:rsidR="006B13EF" w:rsidRPr="003E7289" w:rsidRDefault="000D1635" w:rsidP="000D1635">
            <w:pPr>
              <w:spacing w:before="0" w:line="240" w:lineRule="auto"/>
              <w:jc w:val="center"/>
              <w:rPr>
                <w:rFonts w:ascii="Arial" w:eastAsia="Aptos" w:hAnsi="Arial" w:cs="Arial"/>
                <w:b/>
                <w:iCs/>
                <w:sz w:val="20"/>
                <w:szCs w:val="20"/>
                <w:lang w:val="sq-AL" w:eastAsia="en-US"/>
              </w:rPr>
            </w:pPr>
            <w:r w:rsidRPr="003E7289">
              <w:rPr>
                <w:rFonts w:ascii="Arial" w:eastAsia="Aptos" w:hAnsi="Arial" w:cs="Arial"/>
                <w:b/>
                <w:iCs/>
                <w:sz w:val="20"/>
                <w:szCs w:val="20"/>
                <w:lang w:val="sq-AL"/>
              </w:rPr>
              <w:t>Vlerësimet e sigurisë, studimet e sedimentimit dhe vlerësimet e rrezikut për komunitetet për digën e Livoçit</w:t>
            </w:r>
          </w:p>
        </w:tc>
        <w:tc>
          <w:tcPr>
            <w:tcW w:w="540" w:type="pct"/>
            <w:gridSpan w:val="4"/>
            <w:vAlign w:val="center"/>
          </w:tcPr>
          <w:p w14:paraId="29E25A4F" w14:textId="77777777" w:rsidR="006B13EF" w:rsidRPr="003E7289" w:rsidRDefault="006B13EF" w:rsidP="00A70686">
            <w:pPr>
              <w:spacing w:before="0" w:line="240" w:lineRule="auto"/>
              <w:jc w:val="center"/>
              <w:rPr>
                <w:rFonts w:ascii="Arial" w:eastAsia="Aptos" w:hAnsi="Arial" w:cs="Arial"/>
                <w:bCs/>
                <w:sz w:val="20"/>
                <w:szCs w:val="20"/>
                <w:lang w:val="sq-AL" w:eastAsia="en-US"/>
              </w:rPr>
            </w:pPr>
            <w:r w:rsidRPr="003E7289">
              <w:rPr>
                <w:rFonts w:ascii="Arial" w:eastAsia="Aptos" w:hAnsi="Arial" w:cs="Arial"/>
                <w:bCs/>
                <w:sz w:val="20"/>
                <w:szCs w:val="20"/>
                <w:lang w:val="sq-AL"/>
              </w:rPr>
              <w:t>2040</w:t>
            </w:r>
          </w:p>
        </w:tc>
        <w:tc>
          <w:tcPr>
            <w:tcW w:w="445" w:type="pct"/>
            <w:gridSpan w:val="3"/>
            <w:vAlign w:val="center"/>
          </w:tcPr>
          <w:p w14:paraId="6BAF623C" w14:textId="7C9A145E" w:rsidR="006B13EF" w:rsidRPr="003E7289" w:rsidRDefault="000D1635" w:rsidP="000D1635">
            <w:pPr>
              <w:spacing w:before="0" w:line="240" w:lineRule="auto"/>
              <w:jc w:val="center"/>
              <w:rPr>
                <w:rFonts w:ascii="Arial" w:eastAsia="Aptos" w:hAnsi="Arial" w:cs="Arial"/>
                <w:bCs/>
                <w:sz w:val="20"/>
                <w:szCs w:val="20"/>
                <w:lang w:val="sq-AL" w:eastAsia="en-US"/>
              </w:rPr>
            </w:pPr>
            <w:r w:rsidRPr="003E7289">
              <w:rPr>
                <w:rFonts w:ascii="Arial" w:eastAsia="Aptos" w:hAnsi="Arial" w:cs="Arial"/>
                <w:bCs/>
                <w:sz w:val="20"/>
                <w:szCs w:val="20"/>
                <w:lang w:val="sq-AL"/>
              </w:rPr>
              <w:t>≈ €0.15 milion + pjesë nga FLOWS</w:t>
            </w:r>
          </w:p>
        </w:tc>
        <w:tc>
          <w:tcPr>
            <w:tcW w:w="381" w:type="pct"/>
            <w:gridSpan w:val="2"/>
            <w:vAlign w:val="center"/>
          </w:tcPr>
          <w:p w14:paraId="42589A52" w14:textId="77777777" w:rsidR="006B13EF" w:rsidRPr="003E7289" w:rsidRDefault="006B13EF" w:rsidP="00A70686">
            <w:pPr>
              <w:spacing w:before="0" w:line="240" w:lineRule="auto"/>
              <w:jc w:val="center"/>
              <w:rPr>
                <w:rFonts w:ascii="Arial" w:eastAsia="Aptos" w:hAnsi="Arial" w:cs="Arial"/>
                <w:bCs/>
                <w:sz w:val="20"/>
                <w:szCs w:val="20"/>
                <w:lang w:val="sq-AL" w:eastAsia="en-US"/>
              </w:rPr>
            </w:pPr>
          </w:p>
        </w:tc>
        <w:tc>
          <w:tcPr>
            <w:tcW w:w="548" w:type="pct"/>
            <w:gridSpan w:val="3"/>
            <w:vAlign w:val="center"/>
          </w:tcPr>
          <w:p w14:paraId="5C2525D0" w14:textId="77777777" w:rsidR="006B13EF" w:rsidRPr="003E7289" w:rsidRDefault="006B13EF" w:rsidP="00A70686">
            <w:pPr>
              <w:spacing w:before="0" w:line="240" w:lineRule="auto"/>
              <w:jc w:val="center"/>
              <w:rPr>
                <w:rFonts w:ascii="Arial" w:eastAsia="Aptos" w:hAnsi="Arial" w:cs="Arial"/>
                <w:bCs/>
                <w:sz w:val="20"/>
                <w:szCs w:val="20"/>
                <w:lang w:val="sq-AL" w:eastAsia="en-US"/>
              </w:rPr>
            </w:pPr>
          </w:p>
        </w:tc>
        <w:tc>
          <w:tcPr>
            <w:tcW w:w="546" w:type="pct"/>
            <w:gridSpan w:val="3"/>
            <w:vAlign w:val="center"/>
          </w:tcPr>
          <w:p w14:paraId="1828773A" w14:textId="77CB6B70" w:rsidR="006B13EF" w:rsidRPr="003E7289" w:rsidRDefault="000D1635" w:rsidP="000D1635">
            <w:pPr>
              <w:spacing w:before="0" w:line="240" w:lineRule="auto"/>
              <w:jc w:val="center"/>
              <w:rPr>
                <w:rFonts w:ascii="Arial" w:eastAsia="Aptos" w:hAnsi="Arial" w:cs="Arial"/>
                <w:color w:val="000000" w:themeColor="text1"/>
                <w:sz w:val="20"/>
                <w:szCs w:val="20"/>
                <w:lang w:val="sq-AL" w:eastAsia="en-US"/>
              </w:rPr>
            </w:pPr>
            <w:r w:rsidRPr="003E7289">
              <w:rPr>
                <w:rFonts w:ascii="Arial" w:eastAsia="Aptos" w:hAnsi="Arial" w:cs="Arial"/>
                <w:color w:val="000000" w:themeColor="text1"/>
                <w:sz w:val="20"/>
                <w:szCs w:val="20"/>
                <w:lang w:val="sq-AL"/>
              </w:rPr>
              <w:t>Programi FLOWS (huaja WB, grant zviceran)</w:t>
            </w:r>
          </w:p>
        </w:tc>
        <w:tc>
          <w:tcPr>
            <w:tcW w:w="681" w:type="pct"/>
            <w:gridSpan w:val="3"/>
            <w:vAlign w:val="center"/>
          </w:tcPr>
          <w:p w14:paraId="6372BDAA" w14:textId="18CC24C7" w:rsidR="006B13EF" w:rsidRPr="003E7289" w:rsidRDefault="000D1635" w:rsidP="000D1635">
            <w:pPr>
              <w:spacing w:before="0" w:line="240" w:lineRule="auto"/>
              <w:jc w:val="center"/>
              <w:rPr>
                <w:rFonts w:ascii="Arial" w:eastAsia="Aptos" w:hAnsi="Arial" w:cs="Arial"/>
                <w:b/>
                <w:bCs/>
                <w:color w:val="EE0000"/>
                <w:sz w:val="20"/>
                <w:szCs w:val="20"/>
                <w:lang w:val="sq-AL" w:eastAsia="en-US"/>
              </w:rPr>
            </w:pPr>
            <w:r w:rsidRPr="003E7289">
              <w:rPr>
                <w:rFonts w:ascii="Arial" w:eastAsia="Aptos" w:hAnsi="Arial" w:cs="Arial"/>
                <w:bCs/>
                <w:sz w:val="20"/>
                <w:szCs w:val="20"/>
                <w:lang w:val="sq-AL"/>
              </w:rPr>
              <w:t xml:space="preserve">Kompania përkatëse e ujësjellësit, MMPHI, </w:t>
            </w:r>
            <w:r w:rsidR="00EC7B05" w:rsidRPr="003E7289">
              <w:rPr>
                <w:rFonts w:ascii="Arial" w:eastAsia="Aptos" w:hAnsi="Arial" w:cs="Arial"/>
                <w:bCs/>
                <w:sz w:val="20"/>
                <w:szCs w:val="20"/>
                <w:lang w:val="sq-AL"/>
              </w:rPr>
              <w:t xml:space="preserve">AME </w:t>
            </w:r>
          </w:p>
        </w:tc>
        <w:tc>
          <w:tcPr>
            <w:tcW w:w="514" w:type="pct"/>
            <w:vAlign w:val="center"/>
          </w:tcPr>
          <w:p w14:paraId="43E31B8B" w14:textId="2B39507E" w:rsidR="006B13EF" w:rsidRPr="003E7289" w:rsidRDefault="000D1635" w:rsidP="000D1635">
            <w:pPr>
              <w:spacing w:before="0" w:line="240" w:lineRule="auto"/>
              <w:jc w:val="center"/>
              <w:rPr>
                <w:rFonts w:ascii="Arial" w:eastAsia="Aptos" w:hAnsi="Arial" w:cs="Arial"/>
                <w:bCs/>
                <w:sz w:val="20"/>
                <w:szCs w:val="20"/>
                <w:lang w:val="sq-AL" w:eastAsia="en-US"/>
              </w:rPr>
            </w:pPr>
            <w:r w:rsidRPr="003E7289">
              <w:rPr>
                <w:rFonts w:ascii="Arial" w:eastAsia="Aptos" w:hAnsi="Arial" w:cs="Arial"/>
                <w:bCs/>
                <w:sz w:val="20"/>
                <w:szCs w:val="20"/>
                <w:lang w:val="sq-AL"/>
              </w:rPr>
              <w:t>Të gjitha vlerësimet dhe studimet e përfunduara. Vendim zyrtar i Qeverisë mbi rehabilitimin apo dekomisionimin e digës së Livoçit.</w:t>
            </w:r>
          </w:p>
        </w:tc>
        <w:tc>
          <w:tcPr>
            <w:tcW w:w="394" w:type="pct"/>
            <w:vAlign w:val="center"/>
          </w:tcPr>
          <w:p w14:paraId="7AA475D7" w14:textId="703FC8BF" w:rsidR="006B13EF" w:rsidRPr="003E7289" w:rsidRDefault="00BE39C7" w:rsidP="00A70686">
            <w:pPr>
              <w:spacing w:before="0" w:line="240" w:lineRule="auto"/>
              <w:jc w:val="center"/>
              <w:rPr>
                <w:rFonts w:ascii="Arial" w:eastAsia="Aptos" w:hAnsi="Arial" w:cs="Arial"/>
                <w:bCs/>
                <w:sz w:val="20"/>
                <w:szCs w:val="20"/>
                <w:lang w:val="sq-AL" w:eastAsia="en-US"/>
              </w:rPr>
            </w:pPr>
            <w:r w:rsidRPr="003E7289">
              <w:rPr>
                <w:rFonts w:ascii="Arial" w:eastAsia="Aptos" w:hAnsi="Arial" w:cs="Arial"/>
                <w:sz w:val="20"/>
                <w:szCs w:val="20"/>
                <w:lang w:val="sq-AL"/>
              </w:rPr>
              <w:t>Strategjia</w:t>
            </w:r>
            <w:r w:rsidR="000D1635" w:rsidRPr="003E7289">
              <w:rPr>
                <w:rFonts w:ascii="Arial" w:eastAsia="Aptos" w:hAnsi="Arial" w:cs="Arial"/>
                <w:sz w:val="20"/>
                <w:szCs w:val="20"/>
                <w:lang w:val="sq-AL"/>
              </w:rPr>
              <w:t xml:space="preserve"> Kombëtare e Ujit 2017–2035</w:t>
            </w:r>
          </w:p>
        </w:tc>
      </w:tr>
      <w:tr w:rsidR="0012200A" w:rsidRPr="003E7289" w14:paraId="1A84EECB" w14:textId="77777777" w:rsidTr="00C65386">
        <w:trPr>
          <w:cantSplit/>
          <w:trHeight w:val="20"/>
        </w:trPr>
        <w:tc>
          <w:tcPr>
            <w:tcW w:w="926" w:type="pct"/>
            <w:gridSpan w:val="5"/>
            <w:shd w:val="clear" w:color="auto" w:fill="C6E7F6"/>
            <w:vAlign w:val="center"/>
          </w:tcPr>
          <w:p w14:paraId="2F2C167B" w14:textId="6A8F2B19" w:rsidR="00C63DE6" w:rsidRPr="003E7289" w:rsidRDefault="00C63DE6" w:rsidP="00C63DE6">
            <w:pPr>
              <w:spacing w:before="0" w:line="240" w:lineRule="auto"/>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t>Buxheti total për Objektivin specifik I.3:</w:t>
            </w:r>
          </w:p>
        </w:tc>
        <w:tc>
          <w:tcPr>
            <w:tcW w:w="4048" w:type="pct"/>
            <w:gridSpan w:val="20"/>
            <w:vAlign w:val="center"/>
          </w:tcPr>
          <w:p w14:paraId="496749BF" w14:textId="6C062B39" w:rsidR="00C63DE6" w:rsidRPr="003E7289" w:rsidRDefault="00C63DE6" w:rsidP="00C63DE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bCs/>
                <w:sz w:val="20"/>
                <w:szCs w:val="20"/>
                <w:lang w:val="sq-AL"/>
              </w:rPr>
              <w:t>≈</w:t>
            </w:r>
            <w:r w:rsidRPr="003E7289">
              <w:rPr>
                <w:rFonts w:ascii="Arial" w:eastAsia="Aptos" w:hAnsi="Arial" w:cs="Arial"/>
                <w:bCs/>
                <w:sz w:val="20"/>
                <w:szCs w:val="20"/>
                <w:lang w:val="sq-AL" w:eastAsia="en-US"/>
              </w:rPr>
              <w:t> </w:t>
            </w:r>
            <w:r w:rsidRPr="003E7289">
              <w:rPr>
                <w:rFonts w:ascii="Arial" w:eastAsia="Aptos" w:hAnsi="Arial" w:cs="Arial"/>
                <w:bCs/>
                <w:sz w:val="20"/>
                <w:szCs w:val="20"/>
                <w:lang w:val="sq-AL"/>
              </w:rPr>
              <w:t xml:space="preserve">€2 million  </w:t>
            </w:r>
            <w:r w:rsidR="000D1635" w:rsidRPr="003E7289">
              <w:rPr>
                <w:rFonts w:ascii="Arial" w:eastAsia="Aptos" w:hAnsi="Arial" w:cs="Arial"/>
                <w:bCs/>
                <w:sz w:val="20"/>
                <w:szCs w:val="20"/>
                <w:lang w:val="sq-AL"/>
              </w:rPr>
              <w:t>+ pjesë nga FLOWS</w:t>
            </w:r>
          </w:p>
        </w:tc>
      </w:tr>
      <w:tr w:rsidR="0012200A" w:rsidRPr="003E7289" w14:paraId="5BC8F909" w14:textId="77777777" w:rsidTr="00C65386">
        <w:trPr>
          <w:cantSplit/>
          <w:trHeight w:val="20"/>
        </w:trPr>
        <w:tc>
          <w:tcPr>
            <w:tcW w:w="926" w:type="pct"/>
            <w:gridSpan w:val="5"/>
            <w:shd w:val="clear" w:color="auto" w:fill="C6E7F6"/>
          </w:tcPr>
          <w:p w14:paraId="78C9A361" w14:textId="6D63F65F" w:rsidR="00C63DE6" w:rsidRPr="003E7289" w:rsidRDefault="00C63DE6" w:rsidP="00C63DE6">
            <w:pPr>
              <w:spacing w:before="0" w:line="240" w:lineRule="auto"/>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t>Nga kjo, kapital:</w:t>
            </w:r>
          </w:p>
        </w:tc>
        <w:tc>
          <w:tcPr>
            <w:tcW w:w="4048" w:type="pct"/>
            <w:gridSpan w:val="20"/>
            <w:vAlign w:val="center"/>
          </w:tcPr>
          <w:p w14:paraId="6A8DC4EF" w14:textId="77777777" w:rsidR="00C63DE6" w:rsidRPr="003E7289" w:rsidRDefault="00C63DE6" w:rsidP="00C63DE6">
            <w:pPr>
              <w:spacing w:before="0" w:line="240" w:lineRule="auto"/>
              <w:jc w:val="center"/>
              <w:rPr>
                <w:rFonts w:ascii="Arial" w:eastAsia="Aptos" w:hAnsi="Arial" w:cs="Arial"/>
                <w:color w:val="000000" w:themeColor="text1"/>
                <w:sz w:val="20"/>
                <w:szCs w:val="20"/>
                <w:lang w:val="sq-AL" w:eastAsia="en-US"/>
              </w:rPr>
            </w:pPr>
            <w:r w:rsidRPr="003E7289">
              <w:rPr>
                <w:rFonts w:ascii="Arial" w:eastAsia="Aptos" w:hAnsi="Arial" w:cs="Arial"/>
                <w:color w:val="000000" w:themeColor="text1"/>
                <w:sz w:val="20"/>
                <w:szCs w:val="20"/>
                <w:lang w:val="sq-AL"/>
              </w:rPr>
              <w:t>€1.8 million</w:t>
            </w:r>
          </w:p>
        </w:tc>
      </w:tr>
      <w:tr w:rsidR="0012200A" w:rsidRPr="003E7289" w14:paraId="161AAC4C" w14:textId="77777777" w:rsidTr="00C65386">
        <w:trPr>
          <w:cantSplit/>
          <w:trHeight w:val="20"/>
        </w:trPr>
        <w:tc>
          <w:tcPr>
            <w:tcW w:w="926" w:type="pct"/>
            <w:gridSpan w:val="5"/>
            <w:shd w:val="clear" w:color="auto" w:fill="C6E7F6"/>
          </w:tcPr>
          <w:p w14:paraId="4806C3E8" w14:textId="35F5D3EC" w:rsidR="00C63DE6" w:rsidRPr="003E7289" w:rsidRDefault="00C63DE6" w:rsidP="00C63DE6">
            <w:pPr>
              <w:spacing w:before="0" w:line="240" w:lineRule="auto"/>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t>Nga kjo, shpenzime korrente:</w:t>
            </w:r>
          </w:p>
        </w:tc>
        <w:tc>
          <w:tcPr>
            <w:tcW w:w="4048" w:type="pct"/>
            <w:gridSpan w:val="20"/>
            <w:vAlign w:val="center"/>
          </w:tcPr>
          <w:p w14:paraId="46967BDD" w14:textId="77777777" w:rsidR="00C63DE6" w:rsidRPr="003E7289" w:rsidRDefault="00C63DE6" w:rsidP="00C63DE6">
            <w:pPr>
              <w:spacing w:before="0" w:line="240" w:lineRule="auto"/>
              <w:jc w:val="center"/>
              <w:rPr>
                <w:rFonts w:ascii="Arial" w:eastAsia="Aptos" w:hAnsi="Arial" w:cs="Arial"/>
                <w:color w:val="000000" w:themeColor="text1"/>
                <w:sz w:val="20"/>
                <w:szCs w:val="20"/>
                <w:lang w:val="sq-AL" w:eastAsia="en-US"/>
              </w:rPr>
            </w:pPr>
            <w:r w:rsidRPr="003E7289">
              <w:rPr>
                <w:rFonts w:ascii="Arial" w:eastAsia="Aptos" w:hAnsi="Arial" w:cs="Arial"/>
                <w:color w:val="000000" w:themeColor="text1"/>
                <w:sz w:val="20"/>
                <w:szCs w:val="20"/>
                <w:lang w:val="sq-AL"/>
              </w:rPr>
              <w:t>€0.25 million</w:t>
            </w:r>
          </w:p>
        </w:tc>
      </w:tr>
      <w:tr w:rsidR="00666AA0" w:rsidRPr="003E7289" w14:paraId="3A351D37" w14:textId="77777777" w:rsidTr="00C65386">
        <w:trPr>
          <w:cantSplit/>
          <w:trHeight w:val="20"/>
        </w:trPr>
        <w:tc>
          <w:tcPr>
            <w:tcW w:w="250" w:type="pct"/>
            <w:shd w:val="clear" w:color="auto" w:fill="84CCEC"/>
            <w:vAlign w:val="center"/>
          </w:tcPr>
          <w:p w14:paraId="18509F60"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I.5</w:t>
            </w:r>
          </w:p>
        </w:tc>
        <w:tc>
          <w:tcPr>
            <w:tcW w:w="4724" w:type="pct"/>
            <w:gridSpan w:val="24"/>
            <w:shd w:val="clear" w:color="auto" w:fill="84CCEC"/>
            <w:vAlign w:val="center"/>
          </w:tcPr>
          <w:p w14:paraId="67FEEF74" w14:textId="655C13FB" w:rsidR="006B13EF" w:rsidRPr="003E7289" w:rsidRDefault="000D1635"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b/>
                <w:bCs/>
                <w:sz w:val="20"/>
                <w:szCs w:val="20"/>
                <w:lang w:val="sq-AL"/>
              </w:rPr>
              <w:t>Përmirësimi i qëndrueshmërisë ndaj thatësirave dhe besueshmërisë së furnizimit me ujë përmes ndërlidhjes emergjente ndërmjet Liqenit të Ujmanit dhe rezervuarit të Badovcit</w:t>
            </w:r>
          </w:p>
        </w:tc>
      </w:tr>
      <w:tr w:rsidR="004807C9" w:rsidRPr="003E7289" w14:paraId="1CFDEBFA" w14:textId="77777777" w:rsidTr="00C65386">
        <w:trPr>
          <w:cantSplit/>
          <w:trHeight w:val="20"/>
        </w:trPr>
        <w:tc>
          <w:tcPr>
            <w:tcW w:w="926" w:type="pct"/>
            <w:gridSpan w:val="5"/>
            <w:vAlign w:val="center"/>
          </w:tcPr>
          <w:p w14:paraId="22AEAC49" w14:textId="6A4F82AB" w:rsidR="006B13EF"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hAnsi="Arial" w:cs="Arial"/>
                <w:b/>
                <w:bCs/>
                <w:sz w:val="20"/>
                <w:szCs w:val="20"/>
                <w:lang w:val="sq-AL"/>
              </w:rPr>
              <w:lastRenderedPageBreak/>
              <w:t>Gjendja e përfundimit të tubacionit të ndërlidhjes direkte Ujman–Badovc (WTP)</w:t>
            </w:r>
          </w:p>
        </w:tc>
        <w:tc>
          <w:tcPr>
            <w:tcW w:w="540" w:type="pct"/>
            <w:gridSpan w:val="4"/>
            <w:vAlign w:val="center"/>
          </w:tcPr>
          <w:p w14:paraId="2214362D" w14:textId="5F46C05C" w:rsidR="006B13EF" w:rsidRPr="003E7289" w:rsidRDefault="000D1635" w:rsidP="000D1635">
            <w:pPr>
              <w:spacing w:before="0" w:line="240" w:lineRule="auto"/>
              <w:rPr>
                <w:rFonts w:ascii="Arial" w:eastAsia="Aptos" w:hAnsi="Arial" w:cs="Arial"/>
                <w:b/>
                <w:bCs/>
                <w:color w:val="EE0000"/>
                <w:sz w:val="20"/>
                <w:szCs w:val="20"/>
                <w:highlight w:val="yellow"/>
                <w:lang w:val="sq-AL" w:eastAsia="en-US"/>
              </w:rPr>
            </w:pPr>
            <w:r w:rsidRPr="003E7289">
              <w:rPr>
                <w:rFonts w:ascii="Arial" w:hAnsi="Arial" w:cs="Arial"/>
                <w:sz w:val="20"/>
                <w:szCs w:val="20"/>
                <w:lang w:val="sq-AL"/>
              </w:rPr>
              <w:t>Një tubacion ekzistues është në funksion, por është i vjetruar dhe ka humbje të konsiderueshme të ujit, duke e bërë të papërdorshëm për situata emergjente.</w:t>
            </w:r>
          </w:p>
        </w:tc>
        <w:tc>
          <w:tcPr>
            <w:tcW w:w="1374" w:type="pct"/>
            <w:gridSpan w:val="8"/>
            <w:vAlign w:val="center"/>
          </w:tcPr>
          <w:p w14:paraId="7C6F2506" w14:textId="7EC720BB" w:rsidR="006B13EF" w:rsidRPr="003E7289" w:rsidRDefault="000D1635" w:rsidP="000D1635">
            <w:pPr>
              <w:spacing w:before="0" w:line="240" w:lineRule="auto"/>
              <w:rPr>
                <w:rFonts w:ascii="Arial" w:eastAsia="Aptos" w:hAnsi="Arial" w:cs="Arial"/>
                <w:b/>
                <w:bCs/>
                <w:color w:val="EE0000"/>
                <w:sz w:val="20"/>
                <w:szCs w:val="20"/>
                <w:highlight w:val="yellow"/>
                <w:lang w:val="sq-AL" w:eastAsia="en-US"/>
              </w:rPr>
            </w:pPr>
            <w:r w:rsidRPr="003E7289">
              <w:rPr>
                <w:rFonts w:ascii="Arial" w:hAnsi="Arial" w:cs="Arial"/>
                <w:sz w:val="20"/>
                <w:szCs w:val="20"/>
                <w:lang w:val="sq-AL"/>
              </w:rPr>
              <w:t>Vlerësimi i gjendjes është përfunduar; dizajni teknik është iniciuar.</w:t>
            </w:r>
          </w:p>
        </w:tc>
        <w:tc>
          <w:tcPr>
            <w:tcW w:w="546" w:type="pct"/>
            <w:gridSpan w:val="3"/>
            <w:vAlign w:val="center"/>
          </w:tcPr>
          <w:p w14:paraId="4EEC5EB9" w14:textId="3A343DBB" w:rsidR="006B13EF" w:rsidRPr="003E7289" w:rsidRDefault="000D1635" w:rsidP="000D1635">
            <w:pPr>
              <w:spacing w:before="0" w:line="240" w:lineRule="auto"/>
              <w:rPr>
                <w:rFonts w:ascii="Arial" w:eastAsia="Aptos" w:hAnsi="Arial" w:cs="Arial"/>
                <w:b/>
                <w:bCs/>
                <w:color w:val="EE0000"/>
                <w:sz w:val="20"/>
                <w:szCs w:val="20"/>
                <w:highlight w:val="yellow"/>
                <w:lang w:val="sq-AL" w:eastAsia="en-US"/>
              </w:rPr>
            </w:pPr>
            <w:r w:rsidRPr="003E7289">
              <w:rPr>
                <w:rFonts w:ascii="Arial" w:hAnsi="Arial" w:cs="Arial"/>
                <w:sz w:val="20"/>
                <w:szCs w:val="20"/>
                <w:lang w:val="sq-AL"/>
              </w:rPr>
              <w:t>Dizajni teknik është përfunduar.</w:t>
            </w:r>
          </w:p>
        </w:tc>
        <w:tc>
          <w:tcPr>
            <w:tcW w:w="1589" w:type="pct"/>
            <w:gridSpan w:val="5"/>
            <w:vAlign w:val="center"/>
          </w:tcPr>
          <w:p w14:paraId="5CFACFAC" w14:textId="202211C6" w:rsidR="006B13EF" w:rsidRPr="003E7289" w:rsidRDefault="000D1635" w:rsidP="000D1635">
            <w:pPr>
              <w:spacing w:before="0" w:line="240" w:lineRule="auto"/>
              <w:rPr>
                <w:rFonts w:ascii="Arial" w:eastAsia="Aptos" w:hAnsi="Arial" w:cs="Arial"/>
                <w:b/>
                <w:bCs/>
                <w:color w:val="EE0000"/>
                <w:sz w:val="20"/>
                <w:szCs w:val="20"/>
                <w:highlight w:val="yellow"/>
                <w:lang w:val="sq-AL" w:eastAsia="en-US"/>
              </w:rPr>
            </w:pPr>
            <w:r w:rsidRPr="003E7289">
              <w:rPr>
                <w:rFonts w:ascii="Arial" w:hAnsi="Arial" w:cs="Arial"/>
                <w:sz w:val="20"/>
                <w:szCs w:val="20"/>
                <w:lang w:val="sq-AL"/>
              </w:rPr>
              <w:t>Tubacioni emergjent është plotësisht funksional dhe i integruar hidraulikisht me Impiantin për Trajtimin e Ujit në Badovc, me procedura operacionale të përcaktuara për aktivizim në rast të thatësirës.</w:t>
            </w:r>
          </w:p>
        </w:tc>
      </w:tr>
      <w:tr w:rsidR="00C65386" w:rsidRPr="003E7289" w14:paraId="7565B19A" w14:textId="77777777" w:rsidTr="00C65386">
        <w:trPr>
          <w:cantSplit/>
          <w:trHeight w:val="20"/>
        </w:trPr>
        <w:tc>
          <w:tcPr>
            <w:tcW w:w="250" w:type="pct"/>
            <w:vMerge w:val="restart"/>
            <w:shd w:val="clear" w:color="auto" w:fill="C6E7F6"/>
            <w:vAlign w:val="center"/>
          </w:tcPr>
          <w:p w14:paraId="54529E46" w14:textId="7EAF0871" w:rsidR="000D1635" w:rsidRPr="003E7289" w:rsidRDefault="000D1635" w:rsidP="000D1635">
            <w:pPr>
              <w:spacing w:before="0" w:line="240" w:lineRule="auto"/>
              <w:jc w:val="center"/>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t>Nr.</w:t>
            </w:r>
          </w:p>
        </w:tc>
        <w:tc>
          <w:tcPr>
            <w:tcW w:w="676" w:type="pct"/>
            <w:gridSpan w:val="4"/>
            <w:vMerge w:val="restart"/>
            <w:shd w:val="clear" w:color="auto" w:fill="C6E7F6"/>
            <w:vAlign w:val="center"/>
          </w:tcPr>
          <w:p w14:paraId="008ED613" w14:textId="0C6445C8" w:rsidR="000D1635" w:rsidRPr="003E7289" w:rsidRDefault="000D1635" w:rsidP="000D1635">
            <w:pPr>
              <w:spacing w:before="0" w:line="240" w:lineRule="auto"/>
              <w:jc w:val="center"/>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t>Veprimi</w:t>
            </w:r>
          </w:p>
        </w:tc>
        <w:tc>
          <w:tcPr>
            <w:tcW w:w="540" w:type="pct"/>
            <w:gridSpan w:val="4"/>
            <w:vMerge w:val="restart"/>
            <w:shd w:val="clear" w:color="auto" w:fill="C6E7F6"/>
            <w:vAlign w:val="center"/>
          </w:tcPr>
          <w:p w14:paraId="02B746EF" w14:textId="0B7236C7" w:rsidR="000D1635" w:rsidRPr="003E7289" w:rsidRDefault="000D1635" w:rsidP="000D1635">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b/>
                <w:bCs/>
                <w:sz w:val="20"/>
                <w:szCs w:val="20"/>
                <w:lang w:val="sq-AL"/>
              </w:rPr>
              <w:t>Afati I fundit</w:t>
            </w:r>
          </w:p>
        </w:tc>
        <w:tc>
          <w:tcPr>
            <w:tcW w:w="1374" w:type="pct"/>
            <w:gridSpan w:val="8"/>
            <w:shd w:val="clear" w:color="auto" w:fill="C6E7F6"/>
            <w:vAlign w:val="center"/>
          </w:tcPr>
          <w:p w14:paraId="4C2902DC" w14:textId="62804741" w:rsidR="000D1635" w:rsidRPr="003E7289" w:rsidRDefault="000D1635" w:rsidP="000D1635">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b/>
                <w:bCs/>
                <w:sz w:val="20"/>
                <w:szCs w:val="20"/>
                <w:lang w:val="sq-AL"/>
              </w:rPr>
              <w:t>Buxheti</w:t>
            </w:r>
          </w:p>
        </w:tc>
        <w:tc>
          <w:tcPr>
            <w:tcW w:w="546" w:type="pct"/>
            <w:gridSpan w:val="3"/>
            <w:vMerge w:val="restart"/>
            <w:shd w:val="clear" w:color="auto" w:fill="C6E7F6"/>
            <w:vAlign w:val="center"/>
          </w:tcPr>
          <w:p w14:paraId="5C5F9490" w14:textId="51F3C165" w:rsidR="000D1635" w:rsidRPr="003E7289" w:rsidRDefault="000D1635" w:rsidP="000D1635">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b/>
                <w:bCs/>
                <w:sz w:val="20"/>
                <w:szCs w:val="20"/>
                <w:lang w:val="sq-AL"/>
              </w:rPr>
              <w:t>Burimi i financimit</w:t>
            </w:r>
          </w:p>
        </w:tc>
        <w:tc>
          <w:tcPr>
            <w:tcW w:w="681" w:type="pct"/>
            <w:gridSpan w:val="3"/>
            <w:vMerge w:val="restart"/>
            <w:shd w:val="clear" w:color="auto" w:fill="C6E7F6"/>
            <w:vAlign w:val="center"/>
          </w:tcPr>
          <w:p w14:paraId="59D33359" w14:textId="6C7B9B12" w:rsidR="000D1635" w:rsidRPr="003E7289" w:rsidRDefault="000D1635" w:rsidP="000D1635">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b/>
                <w:bCs/>
                <w:sz w:val="20"/>
                <w:szCs w:val="20"/>
                <w:lang w:val="sq-AL"/>
              </w:rPr>
              <w:t>Institucionet përgjegjëse dhe partnere</w:t>
            </w:r>
          </w:p>
        </w:tc>
        <w:tc>
          <w:tcPr>
            <w:tcW w:w="514" w:type="pct"/>
            <w:vMerge w:val="restart"/>
            <w:shd w:val="clear" w:color="auto" w:fill="C6E7F6"/>
            <w:vAlign w:val="center"/>
          </w:tcPr>
          <w:p w14:paraId="1665D1C6" w14:textId="558001E5" w:rsidR="000D1635" w:rsidRPr="003E7289" w:rsidRDefault="000D1635" w:rsidP="000D1635">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b/>
                <w:bCs/>
                <w:sz w:val="20"/>
                <w:szCs w:val="20"/>
                <w:lang w:val="sq-AL"/>
              </w:rPr>
              <w:t>Rezultati i pritur</w:t>
            </w:r>
          </w:p>
        </w:tc>
        <w:tc>
          <w:tcPr>
            <w:tcW w:w="394" w:type="pct"/>
            <w:vMerge w:val="restart"/>
            <w:shd w:val="clear" w:color="auto" w:fill="C6E7F6"/>
            <w:vAlign w:val="center"/>
          </w:tcPr>
          <w:p w14:paraId="5B2D56BF" w14:textId="5C0FD53E" w:rsidR="000D1635" w:rsidRPr="003E7289" w:rsidRDefault="000D1635" w:rsidP="000D1635">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b/>
                <w:bCs/>
                <w:sz w:val="20"/>
                <w:szCs w:val="20"/>
                <w:lang w:val="sq-AL"/>
              </w:rPr>
              <w:t>Dokumenti strategjik referues</w:t>
            </w:r>
          </w:p>
        </w:tc>
      </w:tr>
      <w:tr w:rsidR="00C65386" w:rsidRPr="003E7289" w14:paraId="199A366B" w14:textId="77777777" w:rsidTr="00C65386">
        <w:trPr>
          <w:cantSplit/>
          <w:trHeight w:val="20"/>
        </w:trPr>
        <w:tc>
          <w:tcPr>
            <w:tcW w:w="250" w:type="pct"/>
            <w:vMerge/>
            <w:vAlign w:val="center"/>
          </w:tcPr>
          <w:p w14:paraId="595B6771" w14:textId="77777777" w:rsidR="006B13EF" w:rsidRPr="003E7289" w:rsidRDefault="006B13EF" w:rsidP="00A70686">
            <w:pPr>
              <w:spacing w:before="0" w:line="240" w:lineRule="auto"/>
              <w:rPr>
                <w:rFonts w:ascii="Arial" w:eastAsia="Aptos" w:hAnsi="Arial" w:cs="Arial"/>
                <w:b/>
                <w:bCs/>
                <w:i/>
                <w:iCs/>
                <w:sz w:val="20"/>
                <w:szCs w:val="20"/>
                <w:highlight w:val="green"/>
                <w:lang w:val="sq-AL" w:eastAsia="en-US"/>
              </w:rPr>
            </w:pPr>
          </w:p>
        </w:tc>
        <w:tc>
          <w:tcPr>
            <w:tcW w:w="676" w:type="pct"/>
            <w:gridSpan w:val="4"/>
            <w:vMerge/>
            <w:vAlign w:val="center"/>
          </w:tcPr>
          <w:p w14:paraId="229C35B1" w14:textId="77777777" w:rsidR="006B13EF" w:rsidRPr="003E7289" w:rsidRDefault="006B13EF" w:rsidP="00A70686">
            <w:pPr>
              <w:spacing w:before="0" w:line="240" w:lineRule="auto"/>
              <w:rPr>
                <w:rFonts w:ascii="Arial" w:eastAsia="Aptos" w:hAnsi="Arial" w:cs="Arial"/>
                <w:b/>
                <w:bCs/>
                <w:i/>
                <w:iCs/>
                <w:sz w:val="20"/>
                <w:szCs w:val="20"/>
                <w:highlight w:val="green"/>
                <w:lang w:val="sq-AL" w:eastAsia="en-US"/>
              </w:rPr>
            </w:pPr>
          </w:p>
        </w:tc>
        <w:tc>
          <w:tcPr>
            <w:tcW w:w="540" w:type="pct"/>
            <w:gridSpan w:val="4"/>
            <w:vMerge/>
            <w:vAlign w:val="center"/>
          </w:tcPr>
          <w:p w14:paraId="5DC48065"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p>
        </w:tc>
        <w:tc>
          <w:tcPr>
            <w:tcW w:w="445" w:type="pct"/>
            <w:gridSpan w:val="3"/>
            <w:shd w:val="clear" w:color="auto" w:fill="C6E7F6"/>
            <w:vAlign w:val="center"/>
          </w:tcPr>
          <w:p w14:paraId="567E8C44"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b/>
                <w:bCs/>
                <w:sz w:val="20"/>
                <w:szCs w:val="20"/>
                <w:lang w:val="sq-AL"/>
              </w:rPr>
              <w:t>2026</w:t>
            </w:r>
          </w:p>
        </w:tc>
        <w:tc>
          <w:tcPr>
            <w:tcW w:w="381" w:type="pct"/>
            <w:gridSpan w:val="2"/>
            <w:shd w:val="clear" w:color="auto" w:fill="C6E7F6"/>
            <w:vAlign w:val="center"/>
          </w:tcPr>
          <w:p w14:paraId="4FD7E3EB"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b/>
                <w:bCs/>
                <w:sz w:val="20"/>
                <w:szCs w:val="20"/>
                <w:lang w:val="sq-AL"/>
              </w:rPr>
              <w:t>2027</w:t>
            </w:r>
          </w:p>
        </w:tc>
        <w:tc>
          <w:tcPr>
            <w:tcW w:w="548" w:type="pct"/>
            <w:gridSpan w:val="3"/>
            <w:shd w:val="clear" w:color="auto" w:fill="C6E7F6"/>
            <w:vAlign w:val="center"/>
          </w:tcPr>
          <w:p w14:paraId="284F98B2"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b/>
                <w:bCs/>
                <w:sz w:val="20"/>
                <w:szCs w:val="20"/>
                <w:lang w:val="sq-AL"/>
              </w:rPr>
              <w:t>2028</w:t>
            </w:r>
          </w:p>
        </w:tc>
        <w:tc>
          <w:tcPr>
            <w:tcW w:w="546" w:type="pct"/>
            <w:gridSpan w:val="3"/>
            <w:vMerge/>
            <w:vAlign w:val="center"/>
          </w:tcPr>
          <w:p w14:paraId="10A1B4D7"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p>
        </w:tc>
        <w:tc>
          <w:tcPr>
            <w:tcW w:w="681" w:type="pct"/>
            <w:gridSpan w:val="3"/>
            <w:vMerge/>
            <w:vAlign w:val="center"/>
          </w:tcPr>
          <w:p w14:paraId="26A35D38"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p>
        </w:tc>
        <w:tc>
          <w:tcPr>
            <w:tcW w:w="514" w:type="pct"/>
            <w:vMerge/>
            <w:vAlign w:val="center"/>
          </w:tcPr>
          <w:p w14:paraId="643C0143"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p>
        </w:tc>
        <w:tc>
          <w:tcPr>
            <w:tcW w:w="394" w:type="pct"/>
            <w:vMerge/>
            <w:vAlign w:val="center"/>
          </w:tcPr>
          <w:p w14:paraId="6D0951F6" w14:textId="77777777" w:rsidR="006B13EF" w:rsidRPr="003E7289" w:rsidRDefault="006B13EF" w:rsidP="00A70686">
            <w:pPr>
              <w:spacing w:before="0" w:line="240" w:lineRule="auto"/>
              <w:jc w:val="center"/>
              <w:rPr>
                <w:rFonts w:ascii="Arial" w:eastAsia="Aptos" w:hAnsi="Arial" w:cs="Arial"/>
                <w:b/>
                <w:bCs/>
                <w:color w:val="EE0000"/>
                <w:sz w:val="20"/>
                <w:szCs w:val="20"/>
                <w:highlight w:val="yellow"/>
                <w:lang w:val="sq-AL" w:eastAsia="en-US"/>
              </w:rPr>
            </w:pPr>
          </w:p>
        </w:tc>
      </w:tr>
      <w:tr w:rsidR="004807C9" w:rsidRPr="003E7289" w14:paraId="0BCFFD0C" w14:textId="77777777" w:rsidTr="00C65386">
        <w:trPr>
          <w:cantSplit/>
          <w:trHeight w:val="20"/>
        </w:trPr>
        <w:tc>
          <w:tcPr>
            <w:tcW w:w="250" w:type="pct"/>
            <w:vAlign w:val="center"/>
          </w:tcPr>
          <w:p w14:paraId="4C2657A6" w14:textId="77777777" w:rsidR="006B13EF" w:rsidRPr="003E7289" w:rsidRDefault="006B13EF" w:rsidP="00A70686">
            <w:pPr>
              <w:spacing w:before="0" w:line="240" w:lineRule="auto"/>
              <w:jc w:val="center"/>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t>I.5.1.</w:t>
            </w:r>
          </w:p>
        </w:tc>
        <w:tc>
          <w:tcPr>
            <w:tcW w:w="676" w:type="pct"/>
            <w:gridSpan w:val="4"/>
            <w:vAlign w:val="center"/>
          </w:tcPr>
          <w:p w14:paraId="75FD5EA8" w14:textId="329E9383" w:rsidR="006B13EF" w:rsidRPr="003E7289" w:rsidRDefault="000D1635" w:rsidP="000D1635">
            <w:pPr>
              <w:spacing w:before="0" w:line="240" w:lineRule="auto"/>
              <w:jc w:val="center"/>
              <w:rPr>
                <w:rFonts w:ascii="Arial" w:hAnsi="Arial" w:cs="Arial"/>
                <w:b/>
                <w:bCs/>
                <w:sz w:val="20"/>
                <w:szCs w:val="20"/>
                <w:lang w:val="sq-AL" w:eastAsia="en-US"/>
              </w:rPr>
            </w:pPr>
            <w:r w:rsidRPr="003E7289">
              <w:rPr>
                <w:rFonts w:ascii="Arial" w:hAnsi="Arial" w:cs="Arial"/>
                <w:b/>
                <w:bCs/>
                <w:sz w:val="20"/>
                <w:szCs w:val="20"/>
                <w:lang w:val="sq-AL"/>
              </w:rPr>
              <w:t>Rehabilitimi ose ndërtimi i një tubacioni ndërlidhës direkt që lidh Liqenin e Ujmanit me Impiantin për Trajtimin e Ujit në Badovc</w:t>
            </w:r>
          </w:p>
        </w:tc>
        <w:tc>
          <w:tcPr>
            <w:tcW w:w="540" w:type="pct"/>
            <w:gridSpan w:val="4"/>
            <w:vAlign w:val="center"/>
          </w:tcPr>
          <w:p w14:paraId="14254DB1" w14:textId="77777777" w:rsidR="006B13EF" w:rsidRPr="003E7289" w:rsidRDefault="006B13EF" w:rsidP="00A70686">
            <w:pPr>
              <w:spacing w:before="0" w:line="240" w:lineRule="auto"/>
              <w:jc w:val="center"/>
              <w:rPr>
                <w:rFonts w:ascii="Arial" w:hAnsi="Arial" w:cs="Arial"/>
                <w:sz w:val="20"/>
                <w:szCs w:val="20"/>
                <w:lang w:val="sq-AL" w:eastAsia="en-US"/>
              </w:rPr>
            </w:pPr>
            <w:r w:rsidRPr="003E7289">
              <w:rPr>
                <w:rFonts w:ascii="Arial" w:hAnsi="Arial" w:cs="Arial"/>
                <w:sz w:val="20"/>
                <w:szCs w:val="20"/>
                <w:lang w:val="sq-AL"/>
              </w:rPr>
              <w:t>2040</w:t>
            </w:r>
          </w:p>
        </w:tc>
        <w:tc>
          <w:tcPr>
            <w:tcW w:w="445" w:type="pct"/>
            <w:gridSpan w:val="3"/>
            <w:vAlign w:val="center"/>
          </w:tcPr>
          <w:p w14:paraId="7622401C" w14:textId="77777777" w:rsidR="006B13EF" w:rsidRPr="003E7289" w:rsidRDefault="006B13EF" w:rsidP="00A70686">
            <w:pPr>
              <w:spacing w:before="0" w:line="240" w:lineRule="auto"/>
              <w:jc w:val="center"/>
              <w:rPr>
                <w:rFonts w:ascii="Arial" w:hAnsi="Arial" w:cs="Arial"/>
                <w:sz w:val="20"/>
                <w:szCs w:val="20"/>
                <w:lang w:val="sq-AL" w:eastAsia="en-US"/>
              </w:rPr>
            </w:pPr>
            <w:r w:rsidRPr="003E7289">
              <w:rPr>
                <w:rFonts w:ascii="Arial" w:eastAsia="Aptos" w:hAnsi="Arial" w:cs="Arial"/>
                <w:bCs/>
                <w:sz w:val="20"/>
                <w:szCs w:val="20"/>
                <w:lang w:val="sq-AL"/>
              </w:rPr>
              <w:t>≈</w:t>
            </w:r>
            <w:r w:rsidRPr="003E7289">
              <w:rPr>
                <w:rFonts w:ascii="Arial" w:eastAsia="Aptos" w:hAnsi="Arial" w:cs="Arial"/>
                <w:bCs/>
                <w:sz w:val="20"/>
                <w:szCs w:val="20"/>
                <w:lang w:val="sq-AL" w:eastAsia="en-US"/>
              </w:rPr>
              <w:t> </w:t>
            </w:r>
            <w:r w:rsidRPr="003E7289">
              <w:rPr>
                <w:rFonts w:ascii="Arial" w:eastAsia="Aptos" w:hAnsi="Arial" w:cs="Arial"/>
                <w:bCs/>
                <w:sz w:val="20"/>
                <w:szCs w:val="20"/>
                <w:lang w:val="sq-AL"/>
              </w:rPr>
              <w:t>€0.55–0.75</w:t>
            </w:r>
            <w:r w:rsidRPr="003E7289">
              <w:rPr>
                <w:rFonts w:ascii="Arial" w:eastAsia="Aptos" w:hAnsi="Arial" w:cs="Arial"/>
                <w:bCs/>
                <w:sz w:val="20"/>
                <w:szCs w:val="20"/>
                <w:lang w:val="sq-AL" w:eastAsia="en-US"/>
              </w:rPr>
              <w:t> </w:t>
            </w:r>
            <w:r w:rsidRPr="003E7289">
              <w:rPr>
                <w:rFonts w:ascii="Arial" w:eastAsia="Aptos" w:hAnsi="Arial" w:cs="Arial"/>
                <w:bCs/>
                <w:sz w:val="20"/>
                <w:szCs w:val="20"/>
                <w:lang w:val="sq-AL"/>
              </w:rPr>
              <w:t>million</w:t>
            </w:r>
          </w:p>
        </w:tc>
        <w:tc>
          <w:tcPr>
            <w:tcW w:w="381" w:type="pct"/>
            <w:gridSpan w:val="2"/>
            <w:vAlign w:val="center"/>
          </w:tcPr>
          <w:p w14:paraId="1B0276F3" w14:textId="77777777" w:rsidR="006B13EF" w:rsidRPr="003E7289" w:rsidRDefault="006B13EF" w:rsidP="00A70686">
            <w:pPr>
              <w:spacing w:before="0" w:line="240" w:lineRule="auto"/>
              <w:jc w:val="center"/>
              <w:rPr>
                <w:rFonts w:ascii="Arial" w:hAnsi="Arial" w:cs="Arial"/>
                <w:sz w:val="20"/>
                <w:szCs w:val="20"/>
                <w:lang w:val="sq-AL" w:eastAsia="en-US"/>
              </w:rPr>
            </w:pPr>
            <w:r w:rsidRPr="003E7289">
              <w:rPr>
                <w:rFonts w:ascii="Arial" w:eastAsia="Aptos" w:hAnsi="Arial" w:cs="Arial"/>
                <w:bCs/>
                <w:sz w:val="20"/>
                <w:szCs w:val="20"/>
                <w:lang w:val="sq-AL"/>
              </w:rPr>
              <w:t>≈</w:t>
            </w:r>
            <w:r w:rsidRPr="003E7289">
              <w:rPr>
                <w:rFonts w:ascii="Arial" w:eastAsia="Aptos" w:hAnsi="Arial" w:cs="Arial"/>
                <w:bCs/>
                <w:sz w:val="20"/>
                <w:szCs w:val="20"/>
                <w:lang w:val="sq-AL" w:eastAsia="en-US"/>
              </w:rPr>
              <w:t> </w:t>
            </w:r>
            <w:r w:rsidRPr="003E7289">
              <w:rPr>
                <w:rFonts w:ascii="Arial" w:eastAsia="Aptos" w:hAnsi="Arial" w:cs="Arial"/>
                <w:bCs/>
                <w:sz w:val="20"/>
                <w:szCs w:val="20"/>
                <w:lang w:val="sq-AL"/>
              </w:rPr>
              <w:t>€1.1–1.5</w:t>
            </w:r>
            <w:r w:rsidRPr="003E7289">
              <w:rPr>
                <w:rFonts w:ascii="Arial" w:eastAsia="Aptos" w:hAnsi="Arial" w:cs="Arial"/>
                <w:bCs/>
                <w:sz w:val="20"/>
                <w:szCs w:val="20"/>
                <w:lang w:val="sq-AL" w:eastAsia="en-US"/>
              </w:rPr>
              <w:t> </w:t>
            </w:r>
            <w:r w:rsidRPr="003E7289">
              <w:rPr>
                <w:rFonts w:ascii="Arial" w:eastAsia="Aptos" w:hAnsi="Arial" w:cs="Arial"/>
                <w:bCs/>
                <w:sz w:val="20"/>
                <w:szCs w:val="20"/>
                <w:lang w:val="sq-AL"/>
              </w:rPr>
              <w:t>million</w:t>
            </w:r>
          </w:p>
        </w:tc>
        <w:tc>
          <w:tcPr>
            <w:tcW w:w="548" w:type="pct"/>
            <w:gridSpan w:val="3"/>
            <w:vAlign w:val="center"/>
          </w:tcPr>
          <w:p w14:paraId="4899F6A8" w14:textId="77777777" w:rsidR="006B13EF" w:rsidRPr="003E7289" w:rsidRDefault="006B13EF" w:rsidP="00A70686">
            <w:pPr>
              <w:spacing w:before="0" w:line="240" w:lineRule="auto"/>
              <w:jc w:val="center"/>
              <w:rPr>
                <w:rFonts w:ascii="Arial" w:hAnsi="Arial" w:cs="Arial"/>
                <w:sz w:val="20"/>
                <w:szCs w:val="20"/>
                <w:lang w:val="sq-AL" w:eastAsia="en-US"/>
              </w:rPr>
            </w:pPr>
            <w:r w:rsidRPr="003E7289">
              <w:rPr>
                <w:rFonts w:ascii="Arial" w:eastAsia="Aptos" w:hAnsi="Arial" w:cs="Arial"/>
                <w:bCs/>
                <w:sz w:val="20"/>
                <w:szCs w:val="20"/>
                <w:lang w:val="sq-AL"/>
              </w:rPr>
              <w:t>≈</w:t>
            </w:r>
            <w:r w:rsidRPr="003E7289">
              <w:rPr>
                <w:rFonts w:ascii="Arial" w:eastAsia="Aptos" w:hAnsi="Arial" w:cs="Arial"/>
                <w:bCs/>
                <w:sz w:val="20"/>
                <w:szCs w:val="20"/>
                <w:lang w:val="sq-AL" w:eastAsia="en-US"/>
              </w:rPr>
              <w:t> </w:t>
            </w:r>
            <w:r w:rsidRPr="003E7289">
              <w:rPr>
                <w:rFonts w:ascii="Arial" w:eastAsia="Aptos" w:hAnsi="Arial" w:cs="Arial"/>
                <w:bCs/>
                <w:sz w:val="20"/>
                <w:szCs w:val="20"/>
                <w:lang w:val="sq-AL"/>
              </w:rPr>
              <w:t>€9.35–12.75</w:t>
            </w:r>
            <w:r w:rsidRPr="003E7289">
              <w:rPr>
                <w:rFonts w:ascii="Arial" w:eastAsia="Aptos" w:hAnsi="Arial" w:cs="Arial"/>
                <w:bCs/>
                <w:sz w:val="20"/>
                <w:szCs w:val="20"/>
                <w:lang w:val="sq-AL" w:eastAsia="en-US"/>
              </w:rPr>
              <w:t> </w:t>
            </w:r>
            <w:r w:rsidRPr="003E7289">
              <w:rPr>
                <w:rFonts w:ascii="Arial" w:eastAsia="Aptos" w:hAnsi="Arial" w:cs="Arial"/>
                <w:bCs/>
                <w:sz w:val="20"/>
                <w:szCs w:val="20"/>
                <w:lang w:val="sq-AL"/>
              </w:rPr>
              <w:t>million</w:t>
            </w:r>
          </w:p>
        </w:tc>
        <w:tc>
          <w:tcPr>
            <w:tcW w:w="546" w:type="pct"/>
            <w:gridSpan w:val="3"/>
            <w:vAlign w:val="center"/>
          </w:tcPr>
          <w:p w14:paraId="55987594" w14:textId="2C093D26" w:rsidR="006B13EF" w:rsidRPr="003E7289" w:rsidRDefault="000D1635" w:rsidP="000D1635">
            <w:pPr>
              <w:spacing w:before="0" w:line="240" w:lineRule="auto"/>
              <w:jc w:val="center"/>
              <w:rPr>
                <w:rFonts w:ascii="Arial" w:hAnsi="Arial" w:cs="Arial"/>
                <w:sz w:val="20"/>
                <w:szCs w:val="20"/>
                <w:lang w:val="sq-AL" w:eastAsia="en-US"/>
              </w:rPr>
            </w:pPr>
            <w:r w:rsidRPr="003E7289">
              <w:rPr>
                <w:rFonts w:ascii="Arial" w:hAnsi="Arial" w:cs="Arial"/>
                <w:sz w:val="20"/>
                <w:szCs w:val="20"/>
                <w:lang w:val="sq-AL" w:eastAsia="en-US"/>
              </w:rPr>
              <w:t>Qeveria e Kosovës</w:t>
            </w:r>
          </w:p>
        </w:tc>
        <w:tc>
          <w:tcPr>
            <w:tcW w:w="681" w:type="pct"/>
            <w:gridSpan w:val="3"/>
            <w:vAlign w:val="center"/>
          </w:tcPr>
          <w:p w14:paraId="54E393D8" w14:textId="11BB0311" w:rsidR="006B13EF" w:rsidRPr="003E7289" w:rsidRDefault="000D1635" w:rsidP="000D1635">
            <w:pPr>
              <w:spacing w:before="0" w:line="240" w:lineRule="auto"/>
              <w:jc w:val="center"/>
              <w:rPr>
                <w:rFonts w:ascii="Arial" w:hAnsi="Arial" w:cs="Arial"/>
                <w:sz w:val="20"/>
                <w:szCs w:val="20"/>
                <w:lang w:val="sq-AL" w:eastAsia="en-US"/>
              </w:rPr>
            </w:pPr>
            <w:r w:rsidRPr="003E7289">
              <w:rPr>
                <w:rFonts w:ascii="Arial" w:hAnsi="Arial" w:cs="Arial"/>
                <w:sz w:val="20"/>
                <w:szCs w:val="20"/>
                <w:lang w:val="sq-AL"/>
              </w:rPr>
              <w:t>Ndërmarrjet përkatëse të ujësjellësit, Ministria e Mjedisit, Planifikimit Hapësinor dhe Infrastrukturës</w:t>
            </w:r>
          </w:p>
        </w:tc>
        <w:tc>
          <w:tcPr>
            <w:tcW w:w="514" w:type="pct"/>
            <w:vAlign w:val="center"/>
          </w:tcPr>
          <w:p w14:paraId="39ABA095" w14:textId="79DD344E" w:rsidR="006B13EF" w:rsidRPr="003E7289" w:rsidRDefault="000D1635" w:rsidP="000D1635">
            <w:pPr>
              <w:spacing w:before="0" w:line="240" w:lineRule="auto"/>
              <w:jc w:val="center"/>
              <w:rPr>
                <w:rFonts w:ascii="Arial" w:hAnsi="Arial" w:cs="Arial"/>
                <w:sz w:val="20"/>
                <w:szCs w:val="20"/>
                <w:lang w:val="sq-AL" w:eastAsia="en-US"/>
              </w:rPr>
            </w:pPr>
            <w:r w:rsidRPr="003E7289">
              <w:rPr>
                <w:rFonts w:ascii="Arial" w:hAnsi="Arial" w:cs="Arial"/>
                <w:sz w:val="20"/>
                <w:szCs w:val="20"/>
                <w:lang w:val="sq-AL" w:eastAsia="en-US"/>
              </w:rPr>
              <w:t>Tubacioni ndërlidhës është ndërtuar dhe funksional; rritet siguria e furnizimit me ujë ndërmjet sistemeve Ujman dhe Badovc</w:t>
            </w:r>
          </w:p>
        </w:tc>
        <w:tc>
          <w:tcPr>
            <w:tcW w:w="394" w:type="pct"/>
            <w:vAlign w:val="center"/>
          </w:tcPr>
          <w:p w14:paraId="083C492D" w14:textId="10B072AD" w:rsidR="006B13EF" w:rsidRPr="003E7289" w:rsidRDefault="000D1635" w:rsidP="000D1635">
            <w:pPr>
              <w:spacing w:before="0" w:line="240" w:lineRule="auto"/>
              <w:jc w:val="center"/>
              <w:rPr>
                <w:rFonts w:ascii="Arial" w:hAnsi="Arial" w:cs="Arial"/>
                <w:sz w:val="20"/>
                <w:szCs w:val="20"/>
                <w:lang w:val="sq-AL" w:eastAsia="en-US"/>
              </w:rPr>
            </w:pPr>
            <w:r w:rsidRPr="003E7289">
              <w:rPr>
                <w:rFonts w:ascii="Arial" w:hAnsi="Arial" w:cs="Arial"/>
                <w:sz w:val="20"/>
                <w:szCs w:val="20"/>
                <w:lang w:val="sq-AL"/>
              </w:rPr>
              <w:t>Plani i Veprimit për Thatësirën në Kosovë</w:t>
            </w:r>
          </w:p>
        </w:tc>
      </w:tr>
      <w:tr w:rsidR="0012200A" w:rsidRPr="003E7289" w14:paraId="6FB8E68C" w14:textId="77777777" w:rsidTr="00C65386">
        <w:trPr>
          <w:cantSplit/>
          <w:trHeight w:val="20"/>
        </w:trPr>
        <w:tc>
          <w:tcPr>
            <w:tcW w:w="926" w:type="pct"/>
            <w:gridSpan w:val="5"/>
            <w:shd w:val="clear" w:color="auto" w:fill="C6E7F6"/>
            <w:vAlign w:val="center"/>
          </w:tcPr>
          <w:p w14:paraId="452B6397" w14:textId="1BF9EB8C" w:rsidR="00C63DE6" w:rsidRPr="003E7289" w:rsidRDefault="00C63DE6" w:rsidP="00C63DE6">
            <w:pPr>
              <w:spacing w:before="0" w:line="240" w:lineRule="auto"/>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t>Buxheti total për Objektivin specifik I.5:</w:t>
            </w:r>
          </w:p>
        </w:tc>
        <w:tc>
          <w:tcPr>
            <w:tcW w:w="4048" w:type="pct"/>
            <w:gridSpan w:val="20"/>
            <w:vAlign w:val="center"/>
          </w:tcPr>
          <w:p w14:paraId="2C987478" w14:textId="77777777" w:rsidR="00C63DE6" w:rsidRPr="003E7289" w:rsidRDefault="00C63DE6" w:rsidP="00C63DE6">
            <w:pPr>
              <w:spacing w:before="0" w:line="240" w:lineRule="auto"/>
              <w:jc w:val="center"/>
              <w:rPr>
                <w:rFonts w:ascii="Arial" w:eastAsia="Aptos" w:hAnsi="Arial" w:cs="Arial"/>
                <w:bCs/>
                <w:color w:val="EE0000"/>
                <w:sz w:val="20"/>
                <w:szCs w:val="20"/>
                <w:highlight w:val="yellow"/>
                <w:lang w:val="sq-AL" w:eastAsia="en-US"/>
              </w:rPr>
            </w:pPr>
            <w:r w:rsidRPr="003E7289">
              <w:rPr>
                <w:rFonts w:ascii="Arial" w:eastAsia="Aptos" w:hAnsi="Arial" w:cs="Arial"/>
                <w:bCs/>
                <w:sz w:val="20"/>
                <w:szCs w:val="20"/>
                <w:lang w:val="sq-AL"/>
              </w:rPr>
              <w:t>≈</w:t>
            </w:r>
            <w:r w:rsidRPr="003E7289">
              <w:rPr>
                <w:rFonts w:ascii="Arial" w:eastAsia="Aptos" w:hAnsi="Arial" w:cs="Arial"/>
                <w:bCs/>
                <w:sz w:val="20"/>
                <w:szCs w:val="20"/>
                <w:lang w:val="sq-AL" w:eastAsia="en-US"/>
              </w:rPr>
              <w:t> </w:t>
            </w:r>
            <w:r w:rsidRPr="003E7289">
              <w:rPr>
                <w:rFonts w:ascii="Arial" w:eastAsia="Aptos" w:hAnsi="Arial" w:cs="Arial"/>
                <w:bCs/>
                <w:sz w:val="20"/>
                <w:szCs w:val="20"/>
                <w:lang w:val="sq-AL"/>
              </w:rPr>
              <w:t>€11–15</w:t>
            </w:r>
            <w:r w:rsidRPr="003E7289">
              <w:rPr>
                <w:rFonts w:ascii="Arial" w:eastAsia="Aptos" w:hAnsi="Arial" w:cs="Arial"/>
                <w:bCs/>
                <w:sz w:val="20"/>
                <w:szCs w:val="20"/>
                <w:lang w:val="sq-AL" w:eastAsia="en-US"/>
              </w:rPr>
              <w:t> </w:t>
            </w:r>
            <w:r w:rsidRPr="003E7289">
              <w:rPr>
                <w:rFonts w:ascii="Arial" w:eastAsia="Aptos" w:hAnsi="Arial" w:cs="Arial"/>
                <w:bCs/>
                <w:sz w:val="20"/>
                <w:szCs w:val="20"/>
                <w:lang w:val="sq-AL"/>
              </w:rPr>
              <w:t xml:space="preserve">million </w:t>
            </w:r>
          </w:p>
        </w:tc>
      </w:tr>
      <w:tr w:rsidR="0012200A" w:rsidRPr="003E7289" w14:paraId="130C9F6A" w14:textId="77777777" w:rsidTr="00C65386">
        <w:trPr>
          <w:cantSplit/>
          <w:trHeight w:val="20"/>
        </w:trPr>
        <w:tc>
          <w:tcPr>
            <w:tcW w:w="926" w:type="pct"/>
            <w:gridSpan w:val="5"/>
            <w:shd w:val="clear" w:color="auto" w:fill="C6E7F6"/>
          </w:tcPr>
          <w:p w14:paraId="23718997" w14:textId="02CBC890" w:rsidR="00C63DE6" w:rsidRPr="003E7289" w:rsidRDefault="00C63DE6" w:rsidP="00C63DE6">
            <w:pPr>
              <w:spacing w:before="0" w:line="240" w:lineRule="auto"/>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t>Nga kjo, kapital:</w:t>
            </w:r>
          </w:p>
        </w:tc>
        <w:tc>
          <w:tcPr>
            <w:tcW w:w="4048" w:type="pct"/>
            <w:gridSpan w:val="20"/>
            <w:vAlign w:val="center"/>
          </w:tcPr>
          <w:p w14:paraId="55B81BBA" w14:textId="77777777" w:rsidR="00C63DE6" w:rsidRPr="003E7289" w:rsidRDefault="00C63DE6" w:rsidP="00C63DE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bCs/>
                <w:sz w:val="20"/>
                <w:szCs w:val="20"/>
                <w:lang w:val="sq-AL"/>
              </w:rPr>
              <w:t>≈</w:t>
            </w:r>
            <w:r w:rsidRPr="003E7289">
              <w:rPr>
                <w:rFonts w:ascii="Arial" w:eastAsia="Aptos" w:hAnsi="Arial" w:cs="Arial"/>
                <w:bCs/>
                <w:sz w:val="20"/>
                <w:szCs w:val="20"/>
                <w:lang w:val="sq-AL" w:eastAsia="en-US"/>
              </w:rPr>
              <w:t> </w:t>
            </w:r>
            <w:r w:rsidRPr="003E7289">
              <w:rPr>
                <w:rFonts w:ascii="Arial" w:eastAsia="Aptos" w:hAnsi="Arial" w:cs="Arial"/>
                <w:bCs/>
                <w:sz w:val="20"/>
                <w:szCs w:val="20"/>
                <w:lang w:val="sq-AL"/>
              </w:rPr>
              <w:t>€11–15</w:t>
            </w:r>
            <w:r w:rsidRPr="003E7289">
              <w:rPr>
                <w:rFonts w:ascii="Arial" w:eastAsia="Aptos" w:hAnsi="Arial" w:cs="Arial"/>
                <w:bCs/>
                <w:sz w:val="20"/>
                <w:szCs w:val="20"/>
                <w:lang w:val="sq-AL" w:eastAsia="en-US"/>
              </w:rPr>
              <w:t> </w:t>
            </w:r>
            <w:r w:rsidRPr="003E7289">
              <w:rPr>
                <w:rFonts w:ascii="Arial" w:eastAsia="Aptos" w:hAnsi="Arial" w:cs="Arial"/>
                <w:bCs/>
                <w:sz w:val="20"/>
                <w:szCs w:val="20"/>
                <w:lang w:val="sq-AL"/>
              </w:rPr>
              <w:t>million</w:t>
            </w:r>
          </w:p>
        </w:tc>
      </w:tr>
      <w:tr w:rsidR="0012200A" w:rsidRPr="003E7289" w14:paraId="4F0D1BE6" w14:textId="77777777" w:rsidTr="00C65386">
        <w:trPr>
          <w:cantSplit/>
          <w:trHeight w:val="20"/>
        </w:trPr>
        <w:tc>
          <w:tcPr>
            <w:tcW w:w="926" w:type="pct"/>
            <w:gridSpan w:val="5"/>
            <w:shd w:val="clear" w:color="auto" w:fill="C6E7F6"/>
          </w:tcPr>
          <w:p w14:paraId="664C6E1C" w14:textId="69696EB6" w:rsidR="00C63DE6" w:rsidRPr="003E7289" w:rsidRDefault="00C63DE6" w:rsidP="00C63DE6">
            <w:pPr>
              <w:spacing w:before="0" w:line="240" w:lineRule="auto"/>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t>Nga kjo, shpenzime korrente:</w:t>
            </w:r>
          </w:p>
        </w:tc>
        <w:tc>
          <w:tcPr>
            <w:tcW w:w="4048" w:type="pct"/>
            <w:gridSpan w:val="20"/>
            <w:vAlign w:val="center"/>
          </w:tcPr>
          <w:p w14:paraId="1D2928C0" w14:textId="45C684FA" w:rsidR="00C63DE6" w:rsidRPr="003E7289" w:rsidRDefault="00C63DE6" w:rsidP="00C63DE6">
            <w:pPr>
              <w:spacing w:before="0" w:line="240" w:lineRule="auto"/>
              <w:jc w:val="center"/>
              <w:rPr>
                <w:rFonts w:ascii="Arial" w:eastAsia="Aptos" w:hAnsi="Arial" w:cs="Arial"/>
                <w:color w:val="EE0000"/>
                <w:sz w:val="20"/>
                <w:szCs w:val="20"/>
                <w:highlight w:val="yellow"/>
                <w:lang w:val="sq-AL" w:eastAsia="en-US"/>
              </w:rPr>
            </w:pPr>
            <w:r w:rsidRPr="003E7289">
              <w:rPr>
                <w:rFonts w:ascii="Arial" w:eastAsia="Aptos" w:hAnsi="Arial" w:cs="Arial"/>
                <w:color w:val="000000" w:themeColor="text1"/>
                <w:sz w:val="20"/>
                <w:szCs w:val="20"/>
                <w:lang w:val="sq-AL"/>
              </w:rPr>
              <w:t>-</w:t>
            </w:r>
          </w:p>
        </w:tc>
      </w:tr>
      <w:tr w:rsidR="00666AA0" w:rsidRPr="003E7289" w14:paraId="5B5119EB" w14:textId="77777777" w:rsidTr="00C65386">
        <w:trPr>
          <w:cantSplit/>
          <w:trHeight w:val="20"/>
        </w:trPr>
        <w:tc>
          <w:tcPr>
            <w:tcW w:w="250" w:type="pct"/>
            <w:shd w:val="clear" w:color="auto" w:fill="0F4761"/>
            <w:vAlign w:val="center"/>
          </w:tcPr>
          <w:p w14:paraId="44F431B4" w14:textId="77777777" w:rsidR="006B13EF" w:rsidRPr="003E7289" w:rsidRDefault="006B13EF" w:rsidP="00A70686">
            <w:pPr>
              <w:spacing w:before="0" w:line="240" w:lineRule="auto"/>
              <w:jc w:val="center"/>
              <w:rPr>
                <w:rFonts w:ascii="Arial" w:eastAsia="Aptos" w:hAnsi="Arial" w:cs="Arial"/>
                <w:b/>
                <w:bCs/>
                <w:color w:val="FFFFFF"/>
                <w:sz w:val="20"/>
                <w:szCs w:val="20"/>
                <w:lang w:val="sq-AL" w:eastAsia="en-US"/>
              </w:rPr>
            </w:pPr>
          </w:p>
        </w:tc>
        <w:tc>
          <w:tcPr>
            <w:tcW w:w="4724" w:type="pct"/>
            <w:gridSpan w:val="24"/>
            <w:shd w:val="clear" w:color="auto" w:fill="0F4761"/>
            <w:vAlign w:val="center"/>
          </w:tcPr>
          <w:p w14:paraId="6723967D" w14:textId="5A052DD0" w:rsidR="006B13EF" w:rsidRPr="003E7289" w:rsidRDefault="0040465B" w:rsidP="00A70686">
            <w:pPr>
              <w:spacing w:before="0" w:line="240" w:lineRule="auto"/>
              <w:jc w:val="center"/>
              <w:rPr>
                <w:rFonts w:ascii="Arial" w:eastAsia="Aptos" w:hAnsi="Arial" w:cs="Arial"/>
                <w:b/>
                <w:bCs/>
                <w:color w:val="FFFFFF"/>
                <w:sz w:val="20"/>
                <w:szCs w:val="20"/>
                <w:highlight w:val="yellow"/>
                <w:lang w:val="sq-AL" w:eastAsia="en-US"/>
              </w:rPr>
            </w:pPr>
            <w:r w:rsidRPr="003E7289">
              <w:rPr>
                <w:rFonts w:ascii="Arial" w:eastAsia="Aptos" w:hAnsi="Arial" w:cs="Arial"/>
                <w:b/>
                <w:bCs/>
                <w:color w:val="FFFFFF"/>
                <w:sz w:val="20"/>
                <w:szCs w:val="20"/>
                <w:lang w:val="sq-AL"/>
              </w:rPr>
              <w:t>Prioriteti kyç për përshtatje</w:t>
            </w:r>
            <w:r w:rsidR="006B13EF" w:rsidRPr="003E7289">
              <w:rPr>
                <w:rFonts w:ascii="Arial" w:eastAsia="Aptos" w:hAnsi="Arial" w:cs="Arial"/>
                <w:b/>
                <w:bCs/>
                <w:color w:val="FFFFFF"/>
                <w:sz w:val="20"/>
                <w:szCs w:val="20"/>
                <w:lang w:val="sq-AL"/>
              </w:rPr>
              <w:t xml:space="preserve">: </w:t>
            </w:r>
            <w:r w:rsidR="00E0225B" w:rsidRPr="003E7289">
              <w:rPr>
                <w:rFonts w:ascii="Arial" w:eastAsia="Aptos" w:hAnsi="Arial" w:cs="Arial"/>
                <w:b/>
                <w:bCs/>
                <w:color w:val="FFFFFF"/>
                <w:sz w:val="20"/>
                <w:szCs w:val="20"/>
                <w:lang w:val="sq-AL"/>
              </w:rPr>
              <w:t>Menaxhim i qëndrueshëm i pellgjeve lumore</w:t>
            </w:r>
          </w:p>
        </w:tc>
      </w:tr>
      <w:tr w:rsidR="00666AA0" w:rsidRPr="003E7289" w14:paraId="79147DE5" w14:textId="77777777" w:rsidTr="00C65386">
        <w:trPr>
          <w:cantSplit/>
          <w:trHeight w:val="20"/>
        </w:trPr>
        <w:tc>
          <w:tcPr>
            <w:tcW w:w="250" w:type="pct"/>
            <w:shd w:val="clear" w:color="auto" w:fill="84CCEC"/>
            <w:vAlign w:val="center"/>
          </w:tcPr>
          <w:p w14:paraId="515C2469" w14:textId="77777777" w:rsidR="006B13EF" w:rsidRPr="003E7289" w:rsidRDefault="006B13EF" w:rsidP="00A70686">
            <w:pPr>
              <w:spacing w:before="0" w:line="240" w:lineRule="auto"/>
              <w:jc w:val="center"/>
              <w:rPr>
                <w:rFonts w:ascii="Arial" w:eastAsia="Aptos" w:hAnsi="Arial" w:cs="Arial"/>
                <w:b/>
                <w:bCs/>
                <w:sz w:val="20"/>
                <w:szCs w:val="20"/>
                <w:highlight w:val="green"/>
                <w:lang w:val="sq-AL" w:eastAsia="en-US"/>
              </w:rPr>
            </w:pPr>
            <w:r w:rsidRPr="003E7289">
              <w:rPr>
                <w:rFonts w:ascii="Arial" w:eastAsia="Aptos" w:hAnsi="Arial" w:cs="Arial"/>
                <w:b/>
                <w:bCs/>
                <w:sz w:val="20"/>
                <w:szCs w:val="20"/>
                <w:lang w:val="sq-AL"/>
              </w:rPr>
              <w:lastRenderedPageBreak/>
              <w:t>I.7</w:t>
            </w:r>
          </w:p>
        </w:tc>
        <w:tc>
          <w:tcPr>
            <w:tcW w:w="4724" w:type="pct"/>
            <w:gridSpan w:val="24"/>
            <w:shd w:val="clear" w:color="auto" w:fill="84CCEC"/>
            <w:vAlign w:val="center"/>
          </w:tcPr>
          <w:p w14:paraId="56EDBA64" w14:textId="55BD79AD" w:rsidR="006B13EF" w:rsidRPr="003E7289" w:rsidRDefault="000D1635"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Ulja e humbjeve të ujit</w:t>
            </w:r>
          </w:p>
        </w:tc>
      </w:tr>
      <w:tr w:rsidR="004807C9" w:rsidRPr="003E7289" w14:paraId="3FD9A505" w14:textId="77777777" w:rsidTr="00C65386">
        <w:trPr>
          <w:cantSplit/>
          <w:trHeight w:val="20"/>
        </w:trPr>
        <w:tc>
          <w:tcPr>
            <w:tcW w:w="926" w:type="pct"/>
            <w:gridSpan w:val="5"/>
            <w:vAlign w:val="center"/>
          </w:tcPr>
          <w:p w14:paraId="222EA5CA" w14:textId="6ADE7BCA" w:rsidR="006B13EF" w:rsidRPr="003E7289" w:rsidRDefault="000D1635" w:rsidP="00A70686">
            <w:pPr>
              <w:spacing w:before="0" w:line="240" w:lineRule="auto"/>
              <w:jc w:val="center"/>
              <w:rPr>
                <w:rFonts w:ascii="Arial" w:hAnsi="Arial" w:cs="Arial"/>
                <w:b/>
                <w:bCs/>
                <w:sz w:val="20"/>
                <w:szCs w:val="20"/>
                <w:lang w:val="sq-AL" w:eastAsia="en-US"/>
              </w:rPr>
            </w:pPr>
            <w:r w:rsidRPr="003E7289">
              <w:rPr>
                <w:rFonts w:ascii="Arial" w:eastAsia="Aptos" w:hAnsi="Arial" w:cs="Arial"/>
                <w:b/>
                <w:bCs/>
                <w:sz w:val="20"/>
                <w:szCs w:val="20"/>
                <w:lang w:val="sq-AL"/>
              </w:rPr>
              <w:t>Ulja e humbjeve të ujit</w:t>
            </w:r>
          </w:p>
        </w:tc>
        <w:tc>
          <w:tcPr>
            <w:tcW w:w="540" w:type="pct"/>
            <w:gridSpan w:val="4"/>
            <w:vAlign w:val="center"/>
          </w:tcPr>
          <w:p w14:paraId="729B09ED"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r w:rsidRPr="003E7289">
              <w:rPr>
                <w:rFonts w:ascii="Arial" w:hAnsi="Arial" w:cs="Arial"/>
                <w:sz w:val="20"/>
                <w:szCs w:val="20"/>
                <w:lang w:val="sq-AL"/>
              </w:rPr>
              <w:t>61%</w:t>
            </w:r>
          </w:p>
        </w:tc>
        <w:tc>
          <w:tcPr>
            <w:tcW w:w="1374" w:type="pct"/>
            <w:gridSpan w:val="8"/>
            <w:vAlign w:val="center"/>
          </w:tcPr>
          <w:p w14:paraId="40D8B73E"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r w:rsidRPr="003E7289">
              <w:rPr>
                <w:rFonts w:ascii="Arial" w:hAnsi="Arial" w:cs="Arial"/>
                <w:sz w:val="20"/>
                <w:szCs w:val="20"/>
                <w:lang w:val="sq-AL"/>
              </w:rPr>
              <w:t>50%</w:t>
            </w:r>
          </w:p>
        </w:tc>
        <w:tc>
          <w:tcPr>
            <w:tcW w:w="546" w:type="pct"/>
            <w:gridSpan w:val="3"/>
            <w:vAlign w:val="center"/>
          </w:tcPr>
          <w:p w14:paraId="54FA9FF6"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r w:rsidRPr="003E7289">
              <w:rPr>
                <w:rFonts w:ascii="Arial" w:hAnsi="Arial" w:cs="Arial"/>
                <w:sz w:val="20"/>
                <w:szCs w:val="20"/>
                <w:lang w:val="sq-AL"/>
              </w:rPr>
              <w:t>40%</w:t>
            </w:r>
          </w:p>
        </w:tc>
        <w:tc>
          <w:tcPr>
            <w:tcW w:w="1589" w:type="pct"/>
            <w:gridSpan w:val="5"/>
            <w:vAlign w:val="center"/>
          </w:tcPr>
          <w:p w14:paraId="2DD7836C"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r w:rsidRPr="003E7289">
              <w:rPr>
                <w:rFonts w:ascii="Arial" w:hAnsi="Arial" w:cs="Arial"/>
                <w:sz w:val="20"/>
                <w:szCs w:val="20"/>
                <w:lang w:val="sq-AL"/>
              </w:rPr>
              <w:t>≤30%</w:t>
            </w:r>
          </w:p>
        </w:tc>
      </w:tr>
      <w:tr w:rsidR="004807C9" w:rsidRPr="003E7289" w14:paraId="435BA44C" w14:textId="77777777" w:rsidTr="00C65386">
        <w:trPr>
          <w:cantSplit/>
          <w:trHeight w:val="20"/>
        </w:trPr>
        <w:tc>
          <w:tcPr>
            <w:tcW w:w="926" w:type="pct"/>
            <w:gridSpan w:val="5"/>
            <w:vAlign w:val="center"/>
          </w:tcPr>
          <w:p w14:paraId="1B9C820B" w14:textId="38BD3092" w:rsidR="006B13EF" w:rsidRPr="003E7289" w:rsidRDefault="000D1635" w:rsidP="00A70686">
            <w:pPr>
              <w:spacing w:before="0" w:line="240" w:lineRule="auto"/>
              <w:jc w:val="center"/>
              <w:rPr>
                <w:rFonts w:ascii="Arial" w:hAnsi="Arial" w:cs="Arial"/>
                <w:b/>
                <w:bCs/>
                <w:sz w:val="20"/>
                <w:szCs w:val="20"/>
                <w:lang w:val="sq-AL" w:eastAsia="en-US"/>
              </w:rPr>
            </w:pPr>
            <w:r w:rsidRPr="003E7289">
              <w:rPr>
                <w:rFonts w:ascii="Arial" w:hAnsi="Arial" w:cs="Arial"/>
                <w:b/>
                <w:bCs/>
                <w:sz w:val="20"/>
                <w:szCs w:val="20"/>
                <w:lang w:val="sq-AL"/>
              </w:rPr>
              <w:t>Pjesa e zonës së shërbimit me matës inteligjent</w:t>
            </w:r>
          </w:p>
        </w:tc>
        <w:tc>
          <w:tcPr>
            <w:tcW w:w="540" w:type="pct"/>
            <w:gridSpan w:val="4"/>
            <w:vAlign w:val="center"/>
          </w:tcPr>
          <w:p w14:paraId="5E358F93" w14:textId="47A3A3B7" w:rsidR="006B13EF" w:rsidRPr="003E7289" w:rsidRDefault="000D1635" w:rsidP="00A70686">
            <w:pPr>
              <w:spacing w:before="0" w:line="240" w:lineRule="auto"/>
              <w:jc w:val="center"/>
              <w:rPr>
                <w:rFonts w:ascii="Arial" w:eastAsia="Aptos" w:hAnsi="Arial" w:cs="Arial"/>
                <w:b/>
                <w:bCs/>
                <w:sz w:val="20"/>
                <w:szCs w:val="20"/>
                <w:highlight w:val="yellow"/>
                <w:lang w:val="sq-AL" w:eastAsia="en-US"/>
              </w:rPr>
            </w:pPr>
            <w:r w:rsidRPr="003E7289">
              <w:rPr>
                <w:rFonts w:ascii="Arial" w:hAnsi="Arial" w:cs="Arial"/>
                <w:sz w:val="20"/>
                <w:szCs w:val="20"/>
                <w:lang w:val="sq-AL"/>
              </w:rPr>
              <w:t>Vetëm disa zona pilot.</w:t>
            </w:r>
          </w:p>
        </w:tc>
        <w:tc>
          <w:tcPr>
            <w:tcW w:w="1374" w:type="pct"/>
            <w:gridSpan w:val="8"/>
            <w:vAlign w:val="center"/>
          </w:tcPr>
          <w:p w14:paraId="47D1E15B"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r w:rsidRPr="003E7289">
              <w:rPr>
                <w:rFonts w:ascii="Arial" w:hAnsi="Arial" w:cs="Arial"/>
                <w:sz w:val="20"/>
                <w:szCs w:val="20"/>
                <w:lang w:val="sq-AL"/>
              </w:rPr>
              <w:t>75%</w:t>
            </w:r>
          </w:p>
        </w:tc>
        <w:tc>
          <w:tcPr>
            <w:tcW w:w="546" w:type="pct"/>
            <w:gridSpan w:val="3"/>
            <w:vAlign w:val="center"/>
          </w:tcPr>
          <w:p w14:paraId="59BF2990"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r w:rsidRPr="003E7289">
              <w:rPr>
                <w:rFonts w:ascii="Arial" w:hAnsi="Arial" w:cs="Arial"/>
                <w:sz w:val="20"/>
                <w:szCs w:val="20"/>
                <w:lang w:val="sq-AL"/>
              </w:rPr>
              <w:t>100%</w:t>
            </w:r>
          </w:p>
        </w:tc>
        <w:tc>
          <w:tcPr>
            <w:tcW w:w="1589" w:type="pct"/>
            <w:gridSpan w:val="5"/>
            <w:vAlign w:val="center"/>
          </w:tcPr>
          <w:p w14:paraId="15AA5A6C"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r w:rsidRPr="003E7289">
              <w:rPr>
                <w:rFonts w:ascii="Arial" w:hAnsi="Arial" w:cs="Arial"/>
                <w:sz w:val="20"/>
                <w:szCs w:val="20"/>
                <w:lang w:val="sq-AL"/>
              </w:rPr>
              <w:t>100%</w:t>
            </w:r>
          </w:p>
        </w:tc>
      </w:tr>
      <w:tr w:rsidR="00C65386" w:rsidRPr="003E7289" w14:paraId="0DADDBAC" w14:textId="77777777" w:rsidTr="00C65386">
        <w:trPr>
          <w:cantSplit/>
          <w:trHeight w:val="20"/>
        </w:trPr>
        <w:tc>
          <w:tcPr>
            <w:tcW w:w="250" w:type="pct"/>
            <w:vMerge w:val="restart"/>
            <w:shd w:val="clear" w:color="auto" w:fill="C6E7F6"/>
            <w:vAlign w:val="center"/>
          </w:tcPr>
          <w:p w14:paraId="2DBAC0E4" w14:textId="6B93ED00"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Nr.</w:t>
            </w:r>
          </w:p>
        </w:tc>
        <w:tc>
          <w:tcPr>
            <w:tcW w:w="676" w:type="pct"/>
            <w:gridSpan w:val="4"/>
            <w:vMerge w:val="restart"/>
            <w:shd w:val="clear" w:color="auto" w:fill="C6E7F6"/>
            <w:vAlign w:val="center"/>
          </w:tcPr>
          <w:p w14:paraId="7086B707" w14:textId="58A762C8" w:rsidR="000D1635" w:rsidRPr="003E7289" w:rsidRDefault="000D1635" w:rsidP="000D1635">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Veprimi</w:t>
            </w:r>
          </w:p>
        </w:tc>
        <w:tc>
          <w:tcPr>
            <w:tcW w:w="540" w:type="pct"/>
            <w:gridSpan w:val="4"/>
            <w:vMerge w:val="restart"/>
            <w:shd w:val="clear" w:color="auto" w:fill="C6E7F6"/>
            <w:vAlign w:val="center"/>
          </w:tcPr>
          <w:p w14:paraId="7B287D54" w14:textId="2191B675"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Afati I fundit</w:t>
            </w:r>
          </w:p>
        </w:tc>
        <w:tc>
          <w:tcPr>
            <w:tcW w:w="1374" w:type="pct"/>
            <w:gridSpan w:val="8"/>
            <w:shd w:val="clear" w:color="auto" w:fill="C6E7F6"/>
            <w:vAlign w:val="center"/>
          </w:tcPr>
          <w:p w14:paraId="5B5CEE09" w14:textId="2DBB0111"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Buxheti</w:t>
            </w:r>
          </w:p>
        </w:tc>
        <w:tc>
          <w:tcPr>
            <w:tcW w:w="546" w:type="pct"/>
            <w:gridSpan w:val="3"/>
            <w:vMerge w:val="restart"/>
            <w:shd w:val="clear" w:color="auto" w:fill="C6E7F6"/>
            <w:vAlign w:val="center"/>
          </w:tcPr>
          <w:p w14:paraId="1724A61D" w14:textId="6FE43BEA"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Burimi i financimit</w:t>
            </w:r>
          </w:p>
        </w:tc>
        <w:tc>
          <w:tcPr>
            <w:tcW w:w="681" w:type="pct"/>
            <w:gridSpan w:val="3"/>
            <w:vMerge w:val="restart"/>
            <w:shd w:val="clear" w:color="auto" w:fill="C6E7F6"/>
            <w:vAlign w:val="center"/>
          </w:tcPr>
          <w:p w14:paraId="74056E04" w14:textId="7BE0F439"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Institucionet përgjegjëse dhe partnere</w:t>
            </w:r>
          </w:p>
        </w:tc>
        <w:tc>
          <w:tcPr>
            <w:tcW w:w="514" w:type="pct"/>
            <w:vMerge w:val="restart"/>
            <w:shd w:val="clear" w:color="auto" w:fill="C6E7F6"/>
            <w:vAlign w:val="center"/>
          </w:tcPr>
          <w:p w14:paraId="0F5A743C" w14:textId="095F05AB"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Rezultati i pritur</w:t>
            </w:r>
          </w:p>
        </w:tc>
        <w:tc>
          <w:tcPr>
            <w:tcW w:w="394" w:type="pct"/>
            <w:vMerge w:val="restart"/>
            <w:shd w:val="clear" w:color="auto" w:fill="C6E7F6"/>
            <w:vAlign w:val="center"/>
          </w:tcPr>
          <w:p w14:paraId="1C29E11D" w14:textId="640D13A9"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Dokumenti strategjik referues</w:t>
            </w:r>
          </w:p>
        </w:tc>
      </w:tr>
      <w:tr w:rsidR="00C65386" w:rsidRPr="003E7289" w14:paraId="59CDF085" w14:textId="77777777" w:rsidTr="00C65386">
        <w:trPr>
          <w:cantSplit/>
          <w:trHeight w:val="20"/>
        </w:trPr>
        <w:tc>
          <w:tcPr>
            <w:tcW w:w="250" w:type="pct"/>
            <w:vMerge/>
            <w:vAlign w:val="center"/>
          </w:tcPr>
          <w:p w14:paraId="61D1098F" w14:textId="77777777" w:rsidR="006B13EF" w:rsidRPr="003E7289" w:rsidRDefault="006B13EF" w:rsidP="00A70686">
            <w:pPr>
              <w:spacing w:before="0" w:line="240" w:lineRule="auto"/>
              <w:jc w:val="center"/>
              <w:rPr>
                <w:rFonts w:ascii="Arial" w:eastAsia="Aptos" w:hAnsi="Arial" w:cs="Arial"/>
                <w:sz w:val="20"/>
                <w:szCs w:val="20"/>
                <w:lang w:val="sq-AL" w:eastAsia="en-US"/>
              </w:rPr>
            </w:pPr>
          </w:p>
        </w:tc>
        <w:tc>
          <w:tcPr>
            <w:tcW w:w="676" w:type="pct"/>
            <w:gridSpan w:val="4"/>
            <w:vMerge/>
            <w:vAlign w:val="center"/>
          </w:tcPr>
          <w:p w14:paraId="2B689602"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p>
        </w:tc>
        <w:tc>
          <w:tcPr>
            <w:tcW w:w="540" w:type="pct"/>
            <w:gridSpan w:val="4"/>
            <w:vMerge/>
            <w:vAlign w:val="center"/>
          </w:tcPr>
          <w:p w14:paraId="664F8325"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p>
        </w:tc>
        <w:tc>
          <w:tcPr>
            <w:tcW w:w="445" w:type="pct"/>
            <w:gridSpan w:val="3"/>
            <w:shd w:val="clear" w:color="auto" w:fill="C6E7F6"/>
            <w:vAlign w:val="center"/>
          </w:tcPr>
          <w:p w14:paraId="13671A08"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2026</w:t>
            </w:r>
          </w:p>
        </w:tc>
        <w:tc>
          <w:tcPr>
            <w:tcW w:w="381" w:type="pct"/>
            <w:gridSpan w:val="2"/>
            <w:shd w:val="clear" w:color="auto" w:fill="C6E7F6"/>
            <w:vAlign w:val="center"/>
          </w:tcPr>
          <w:p w14:paraId="755E547C"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2027</w:t>
            </w:r>
          </w:p>
        </w:tc>
        <w:tc>
          <w:tcPr>
            <w:tcW w:w="548" w:type="pct"/>
            <w:gridSpan w:val="3"/>
            <w:shd w:val="clear" w:color="auto" w:fill="C6E7F6"/>
            <w:vAlign w:val="center"/>
          </w:tcPr>
          <w:p w14:paraId="3EDC0000"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2028</w:t>
            </w:r>
          </w:p>
        </w:tc>
        <w:tc>
          <w:tcPr>
            <w:tcW w:w="546" w:type="pct"/>
            <w:gridSpan w:val="3"/>
            <w:vMerge/>
            <w:vAlign w:val="center"/>
          </w:tcPr>
          <w:p w14:paraId="18F8C9A8"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p>
        </w:tc>
        <w:tc>
          <w:tcPr>
            <w:tcW w:w="681" w:type="pct"/>
            <w:gridSpan w:val="3"/>
            <w:vMerge/>
            <w:vAlign w:val="center"/>
          </w:tcPr>
          <w:p w14:paraId="1B5CFAB7"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p>
        </w:tc>
        <w:tc>
          <w:tcPr>
            <w:tcW w:w="514" w:type="pct"/>
            <w:vMerge/>
            <w:vAlign w:val="center"/>
          </w:tcPr>
          <w:p w14:paraId="590AF94C"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p>
        </w:tc>
        <w:tc>
          <w:tcPr>
            <w:tcW w:w="394" w:type="pct"/>
            <w:vMerge/>
            <w:vAlign w:val="center"/>
          </w:tcPr>
          <w:p w14:paraId="150AC901"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p>
        </w:tc>
      </w:tr>
      <w:tr w:rsidR="004807C9" w:rsidRPr="003E7289" w14:paraId="22395BAC" w14:textId="77777777" w:rsidTr="00C65386">
        <w:trPr>
          <w:cantSplit/>
          <w:trHeight w:val="20"/>
        </w:trPr>
        <w:tc>
          <w:tcPr>
            <w:tcW w:w="250" w:type="pct"/>
            <w:vAlign w:val="center"/>
          </w:tcPr>
          <w:p w14:paraId="4C911142"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I.7.1.</w:t>
            </w:r>
          </w:p>
        </w:tc>
        <w:tc>
          <w:tcPr>
            <w:tcW w:w="676" w:type="pct"/>
            <w:gridSpan w:val="4"/>
            <w:vAlign w:val="center"/>
          </w:tcPr>
          <w:p w14:paraId="744FDCE0" w14:textId="7AAB623F" w:rsidR="006B13EF" w:rsidRPr="003E7289" w:rsidRDefault="0012200A" w:rsidP="0012200A">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Rehabilitimi i tubacioneve</w:t>
            </w:r>
          </w:p>
        </w:tc>
        <w:tc>
          <w:tcPr>
            <w:tcW w:w="540" w:type="pct"/>
            <w:gridSpan w:val="4"/>
            <w:vAlign w:val="center"/>
          </w:tcPr>
          <w:p w14:paraId="36D97DA7" w14:textId="77777777" w:rsidR="006B13EF" w:rsidRPr="003E7289" w:rsidRDefault="006B13EF" w:rsidP="00A70686">
            <w:pPr>
              <w:spacing w:before="0" w:line="240" w:lineRule="auto"/>
              <w:jc w:val="center"/>
              <w:rPr>
                <w:rFonts w:ascii="Arial" w:eastAsia="Aptos" w:hAnsi="Arial" w:cs="Arial"/>
                <w:bCs/>
                <w:sz w:val="20"/>
                <w:szCs w:val="20"/>
                <w:highlight w:val="yellow"/>
                <w:lang w:val="sq-AL" w:eastAsia="en-US"/>
              </w:rPr>
            </w:pPr>
            <w:r w:rsidRPr="003E7289">
              <w:rPr>
                <w:rFonts w:ascii="Arial" w:eastAsia="Aptos" w:hAnsi="Arial" w:cs="Arial"/>
                <w:bCs/>
                <w:sz w:val="20"/>
                <w:szCs w:val="20"/>
                <w:lang w:val="sq-AL"/>
              </w:rPr>
              <w:t>2040</w:t>
            </w:r>
          </w:p>
        </w:tc>
        <w:tc>
          <w:tcPr>
            <w:tcW w:w="445" w:type="pct"/>
            <w:gridSpan w:val="3"/>
            <w:vAlign w:val="center"/>
          </w:tcPr>
          <w:p w14:paraId="50B6484F" w14:textId="77777777" w:rsidR="006B13EF" w:rsidRPr="003E7289" w:rsidRDefault="006B13EF" w:rsidP="00A70686">
            <w:pPr>
              <w:spacing w:before="0" w:line="240" w:lineRule="auto"/>
              <w:jc w:val="center"/>
              <w:rPr>
                <w:rFonts w:ascii="Arial" w:eastAsia="Aptos" w:hAnsi="Arial" w:cs="Arial"/>
                <w:bCs/>
                <w:sz w:val="20"/>
                <w:szCs w:val="20"/>
                <w:highlight w:val="yellow"/>
                <w:lang w:val="sq-AL" w:eastAsia="en-US"/>
              </w:rPr>
            </w:pPr>
            <w:r w:rsidRPr="003E7289">
              <w:rPr>
                <w:rFonts w:ascii="Arial" w:eastAsia="Aptos" w:hAnsi="Arial" w:cs="Arial"/>
                <w:bCs/>
                <w:sz w:val="20"/>
                <w:szCs w:val="20"/>
                <w:lang w:val="sq-AL"/>
              </w:rPr>
              <w:t>≈</w:t>
            </w:r>
            <w:r w:rsidRPr="003E7289">
              <w:rPr>
                <w:rFonts w:ascii="Arial" w:eastAsia="Aptos" w:hAnsi="Arial" w:cs="Arial"/>
                <w:bCs/>
                <w:sz w:val="20"/>
                <w:szCs w:val="20"/>
                <w:lang w:val="sq-AL" w:eastAsia="en-US"/>
              </w:rPr>
              <w:t> </w:t>
            </w:r>
            <w:r w:rsidRPr="003E7289">
              <w:rPr>
                <w:rFonts w:ascii="Arial" w:eastAsia="Aptos" w:hAnsi="Arial" w:cs="Arial"/>
                <w:bCs/>
                <w:sz w:val="20"/>
                <w:szCs w:val="20"/>
                <w:lang w:val="sq-AL"/>
              </w:rPr>
              <w:t>€1.5 million</w:t>
            </w:r>
          </w:p>
        </w:tc>
        <w:tc>
          <w:tcPr>
            <w:tcW w:w="500" w:type="pct"/>
            <w:gridSpan w:val="4"/>
            <w:vAlign w:val="center"/>
          </w:tcPr>
          <w:p w14:paraId="7C00D3F7"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Cs/>
                <w:sz w:val="20"/>
                <w:szCs w:val="20"/>
                <w:lang w:val="sq-AL"/>
              </w:rPr>
              <w:t>≈</w:t>
            </w:r>
            <w:r w:rsidRPr="003E7289">
              <w:rPr>
                <w:rFonts w:ascii="Arial" w:eastAsia="Aptos" w:hAnsi="Arial" w:cs="Arial"/>
                <w:bCs/>
                <w:sz w:val="20"/>
                <w:szCs w:val="20"/>
                <w:lang w:val="sq-AL" w:eastAsia="en-US"/>
              </w:rPr>
              <w:t> </w:t>
            </w:r>
            <w:r w:rsidRPr="003E7289">
              <w:rPr>
                <w:rFonts w:ascii="Arial" w:eastAsia="Aptos" w:hAnsi="Arial" w:cs="Arial"/>
                <w:bCs/>
                <w:sz w:val="20"/>
                <w:szCs w:val="20"/>
                <w:lang w:val="sq-AL"/>
              </w:rPr>
              <w:t>€1.5 million</w:t>
            </w:r>
          </w:p>
        </w:tc>
        <w:tc>
          <w:tcPr>
            <w:tcW w:w="429" w:type="pct"/>
            <w:vAlign w:val="center"/>
          </w:tcPr>
          <w:p w14:paraId="46D09FB2"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Cs/>
                <w:sz w:val="20"/>
                <w:szCs w:val="20"/>
                <w:lang w:val="sq-AL"/>
              </w:rPr>
              <w:t>≈</w:t>
            </w:r>
            <w:r w:rsidRPr="003E7289">
              <w:rPr>
                <w:rFonts w:ascii="Arial" w:eastAsia="Aptos" w:hAnsi="Arial" w:cs="Arial"/>
                <w:bCs/>
                <w:sz w:val="20"/>
                <w:szCs w:val="20"/>
                <w:lang w:val="sq-AL" w:eastAsia="en-US"/>
              </w:rPr>
              <w:t> </w:t>
            </w:r>
            <w:r w:rsidRPr="003E7289">
              <w:rPr>
                <w:rFonts w:ascii="Arial" w:eastAsia="Aptos" w:hAnsi="Arial" w:cs="Arial"/>
                <w:bCs/>
                <w:sz w:val="20"/>
                <w:szCs w:val="20"/>
                <w:lang w:val="sq-AL"/>
              </w:rPr>
              <w:t>€1.5 million</w:t>
            </w:r>
          </w:p>
        </w:tc>
        <w:tc>
          <w:tcPr>
            <w:tcW w:w="546" w:type="pct"/>
            <w:gridSpan w:val="3"/>
            <w:vAlign w:val="center"/>
          </w:tcPr>
          <w:p w14:paraId="4C8B37F8" w14:textId="77777777" w:rsidR="006B13EF" w:rsidRPr="003E7289" w:rsidRDefault="006B13EF" w:rsidP="00A70686">
            <w:pPr>
              <w:spacing w:before="0" w:line="240" w:lineRule="auto"/>
              <w:jc w:val="center"/>
              <w:rPr>
                <w:rFonts w:ascii="Arial" w:eastAsia="Aptos" w:hAnsi="Arial" w:cs="Arial"/>
                <w:sz w:val="20"/>
                <w:szCs w:val="20"/>
                <w:highlight w:val="yellow"/>
                <w:lang w:val="sq-AL" w:eastAsia="en-US"/>
              </w:rPr>
            </w:pPr>
            <w:r w:rsidRPr="003E7289">
              <w:rPr>
                <w:rFonts w:ascii="Arial" w:eastAsia="Aptos" w:hAnsi="Arial" w:cs="Arial"/>
                <w:sz w:val="20"/>
                <w:szCs w:val="20"/>
                <w:lang w:val="sq-AL"/>
              </w:rPr>
              <w:t>KfW/EU</w:t>
            </w:r>
          </w:p>
        </w:tc>
        <w:tc>
          <w:tcPr>
            <w:tcW w:w="681" w:type="pct"/>
            <w:gridSpan w:val="3"/>
            <w:vAlign w:val="center"/>
          </w:tcPr>
          <w:p w14:paraId="13EF09CD" w14:textId="7DF06D5B" w:rsidR="006B13EF" w:rsidRPr="003E7289" w:rsidRDefault="0012200A" w:rsidP="0012200A">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Ministria e Mjedisit, Planifikimit Hapësinor dhe Infrastrukturës, Kompanitë Rajonale të Ujit</w:t>
            </w:r>
          </w:p>
        </w:tc>
        <w:tc>
          <w:tcPr>
            <w:tcW w:w="514" w:type="pct"/>
            <w:vAlign w:val="center"/>
          </w:tcPr>
          <w:p w14:paraId="5457B5BE" w14:textId="67448EAF" w:rsidR="006B13EF" w:rsidRPr="003E7289" w:rsidRDefault="0012200A" w:rsidP="0012200A">
            <w:pPr>
              <w:spacing w:before="0" w:line="240" w:lineRule="auto"/>
              <w:jc w:val="center"/>
              <w:rPr>
                <w:rFonts w:ascii="Arial" w:eastAsia="Aptos" w:hAnsi="Arial" w:cs="Arial"/>
                <w:bCs/>
                <w:sz w:val="20"/>
                <w:szCs w:val="20"/>
                <w:lang w:val="sq-AL" w:eastAsia="en-US"/>
              </w:rPr>
            </w:pPr>
            <w:r w:rsidRPr="003E7289">
              <w:rPr>
                <w:rFonts w:ascii="Arial" w:eastAsia="Aptos" w:hAnsi="Arial" w:cs="Arial"/>
                <w:bCs/>
                <w:sz w:val="20"/>
                <w:szCs w:val="20"/>
                <w:lang w:val="sq-AL"/>
              </w:rPr>
              <w:t>Tubacionet e rehabilituara dhe humbjet e ujit të reduktuara</w:t>
            </w:r>
          </w:p>
        </w:tc>
        <w:tc>
          <w:tcPr>
            <w:tcW w:w="394" w:type="pct"/>
            <w:vAlign w:val="center"/>
          </w:tcPr>
          <w:p w14:paraId="43E423AC" w14:textId="13BB6A18" w:rsidR="006B13EF" w:rsidRPr="003E7289" w:rsidRDefault="00BE39C7" w:rsidP="00A70686">
            <w:pPr>
              <w:spacing w:before="0" w:line="240" w:lineRule="auto"/>
              <w:jc w:val="center"/>
              <w:rPr>
                <w:rFonts w:ascii="Arial" w:eastAsia="Aptos" w:hAnsi="Arial" w:cs="Arial"/>
                <w:bCs/>
                <w:sz w:val="20"/>
                <w:szCs w:val="20"/>
                <w:highlight w:val="yellow"/>
                <w:lang w:val="sq-AL" w:eastAsia="en-US"/>
              </w:rPr>
            </w:pPr>
            <w:r w:rsidRPr="003E7289">
              <w:rPr>
                <w:rFonts w:ascii="Arial" w:eastAsia="Aptos" w:hAnsi="Arial" w:cs="Arial"/>
                <w:sz w:val="20"/>
                <w:szCs w:val="20"/>
                <w:lang w:val="sq-AL"/>
              </w:rPr>
              <w:t>Strategjia</w:t>
            </w:r>
            <w:r w:rsidR="000D1635" w:rsidRPr="003E7289">
              <w:rPr>
                <w:rFonts w:ascii="Arial" w:eastAsia="Aptos" w:hAnsi="Arial" w:cs="Arial"/>
                <w:sz w:val="20"/>
                <w:szCs w:val="20"/>
                <w:lang w:val="sq-AL"/>
              </w:rPr>
              <w:t xml:space="preserve"> Kombëtare e Ujit 2017–2035</w:t>
            </w:r>
          </w:p>
        </w:tc>
      </w:tr>
      <w:tr w:rsidR="004807C9" w:rsidRPr="003E7289" w14:paraId="7BA07F51" w14:textId="77777777" w:rsidTr="00C65386">
        <w:trPr>
          <w:cantSplit/>
          <w:trHeight w:val="20"/>
        </w:trPr>
        <w:tc>
          <w:tcPr>
            <w:tcW w:w="250" w:type="pct"/>
            <w:vAlign w:val="center"/>
          </w:tcPr>
          <w:p w14:paraId="0D7E9554" w14:textId="77777777" w:rsidR="006B13EF" w:rsidRPr="003E7289" w:rsidRDefault="006B13EF" w:rsidP="00A70686">
            <w:pPr>
              <w:spacing w:before="0" w:line="240" w:lineRule="auto"/>
              <w:jc w:val="center"/>
              <w:rPr>
                <w:rFonts w:ascii="Arial" w:eastAsia="Aptos" w:hAnsi="Arial" w:cs="Arial"/>
                <w:b/>
                <w:bCs/>
                <w:sz w:val="20"/>
                <w:szCs w:val="20"/>
                <w:highlight w:val="green"/>
                <w:lang w:val="sq-AL" w:eastAsia="en-US"/>
              </w:rPr>
            </w:pPr>
            <w:r w:rsidRPr="003E7289">
              <w:rPr>
                <w:rFonts w:ascii="Arial" w:eastAsia="Aptos" w:hAnsi="Arial" w:cs="Arial"/>
                <w:b/>
                <w:bCs/>
                <w:sz w:val="20"/>
                <w:szCs w:val="20"/>
                <w:lang w:val="sq-AL"/>
              </w:rPr>
              <w:t>I.7.2.</w:t>
            </w:r>
          </w:p>
        </w:tc>
        <w:tc>
          <w:tcPr>
            <w:tcW w:w="676" w:type="pct"/>
            <w:gridSpan w:val="4"/>
            <w:vAlign w:val="center"/>
          </w:tcPr>
          <w:p w14:paraId="4C3361B3" w14:textId="35BA6A75" w:rsidR="006B13EF" w:rsidRPr="003E7289" w:rsidRDefault="0012200A" w:rsidP="0012200A">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Integrimi i zgjidhjeve digjitale për menaxhimin e presionit, matësve inteligjentë dhe detektimin e rrjedhjeve</w:t>
            </w:r>
          </w:p>
        </w:tc>
        <w:tc>
          <w:tcPr>
            <w:tcW w:w="540" w:type="pct"/>
            <w:gridSpan w:val="4"/>
            <w:vAlign w:val="center"/>
          </w:tcPr>
          <w:p w14:paraId="6A37F3FB"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Cs/>
                <w:sz w:val="20"/>
                <w:szCs w:val="20"/>
                <w:lang w:val="sq-AL"/>
              </w:rPr>
              <w:t>2040</w:t>
            </w:r>
          </w:p>
        </w:tc>
        <w:tc>
          <w:tcPr>
            <w:tcW w:w="445" w:type="pct"/>
            <w:gridSpan w:val="3"/>
            <w:vAlign w:val="center"/>
          </w:tcPr>
          <w:p w14:paraId="7F97C9DC"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Cs/>
                <w:sz w:val="20"/>
                <w:szCs w:val="20"/>
                <w:lang w:val="sq-AL"/>
              </w:rPr>
              <w:t>≈</w:t>
            </w:r>
            <w:r w:rsidRPr="003E7289">
              <w:rPr>
                <w:rFonts w:ascii="Arial" w:eastAsia="Aptos" w:hAnsi="Arial" w:cs="Arial"/>
                <w:bCs/>
                <w:sz w:val="20"/>
                <w:szCs w:val="20"/>
                <w:lang w:val="sq-AL" w:eastAsia="en-US"/>
              </w:rPr>
              <w:t> </w:t>
            </w:r>
            <w:r w:rsidRPr="003E7289">
              <w:rPr>
                <w:rFonts w:ascii="Arial" w:eastAsia="Aptos" w:hAnsi="Arial" w:cs="Arial"/>
                <w:bCs/>
                <w:sz w:val="20"/>
                <w:szCs w:val="20"/>
                <w:lang w:val="sq-AL"/>
              </w:rPr>
              <w:t>€2.2 million</w:t>
            </w:r>
          </w:p>
        </w:tc>
        <w:tc>
          <w:tcPr>
            <w:tcW w:w="500" w:type="pct"/>
            <w:gridSpan w:val="4"/>
            <w:vAlign w:val="center"/>
          </w:tcPr>
          <w:p w14:paraId="7D27E96A"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Cs/>
                <w:sz w:val="20"/>
                <w:szCs w:val="20"/>
                <w:lang w:val="sq-AL"/>
              </w:rPr>
              <w:t>≈</w:t>
            </w:r>
            <w:r w:rsidRPr="003E7289">
              <w:rPr>
                <w:rFonts w:ascii="Arial" w:eastAsia="Aptos" w:hAnsi="Arial" w:cs="Arial"/>
                <w:bCs/>
                <w:sz w:val="20"/>
                <w:szCs w:val="20"/>
                <w:lang w:val="sq-AL" w:eastAsia="en-US"/>
              </w:rPr>
              <w:t> </w:t>
            </w:r>
            <w:r w:rsidRPr="003E7289">
              <w:rPr>
                <w:rFonts w:ascii="Arial" w:eastAsia="Aptos" w:hAnsi="Arial" w:cs="Arial"/>
                <w:bCs/>
                <w:sz w:val="20"/>
                <w:szCs w:val="20"/>
                <w:lang w:val="sq-AL"/>
              </w:rPr>
              <w:t>€4.4 million</w:t>
            </w:r>
          </w:p>
        </w:tc>
        <w:tc>
          <w:tcPr>
            <w:tcW w:w="429" w:type="pct"/>
            <w:vAlign w:val="center"/>
          </w:tcPr>
          <w:p w14:paraId="7F32884E"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Cs/>
                <w:sz w:val="20"/>
                <w:szCs w:val="20"/>
                <w:lang w:val="sq-AL"/>
              </w:rPr>
              <w:t>≈</w:t>
            </w:r>
            <w:r w:rsidRPr="003E7289">
              <w:rPr>
                <w:rFonts w:ascii="Arial" w:eastAsia="Aptos" w:hAnsi="Arial" w:cs="Arial"/>
                <w:bCs/>
                <w:sz w:val="20"/>
                <w:szCs w:val="20"/>
                <w:lang w:val="sq-AL" w:eastAsia="en-US"/>
              </w:rPr>
              <w:t> </w:t>
            </w:r>
            <w:r w:rsidRPr="003E7289">
              <w:rPr>
                <w:rFonts w:ascii="Arial" w:eastAsia="Aptos" w:hAnsi="Arial" w:cs="Arial"/>
                <w:bCs/>
                <w:sz w:val="20"/>
                <w:szCs w:val="20"/>
                <w:lang w:val="sq-AL"/>
              </w:rPr>
              <w:t>€2.2 million</w:t>
            </w:r>
          </w:p>
        </w:tc>
        <w:tc>
          <w:tcPr>
            <w:tcW w:w="546" w:type="pct"/>
            <w:gridSpan w:val="3"/>
            <w:vAlign w:val="center"/>
          </w:tcPr>
          <w:p w14:paraId="50A421D4" w14:textId="77777777" w:rsidR="006B13EF" w:rsidRPr="003E7289" w:rsidRDefault="006B13EF" w:rsidP="00A70686">
            <w:pPr>
              <w:spacing w:before="0" w:line="240" w:lineRule="auto"/>
              <w:jc w:val="center"/>
              <w:rPr>
                <w:rFonts w:ascii="Arial" w:eastAsia="Aptos" w:hAnsi="Arial" w:cs="Arial"/>
                <w:sz w:val="20"/>
                <w:szCs w:val="20"/>
                <w:highlight w:val="yellow"/>
                <w:lang w:val="sq-AL" w:eastAsia="en-US"/>
              </w:rPr>
            </w:pPr>
            <w:r w:rsidRPr="003E7289">
              <w:rPr>
                <w:rFonts w:ascii="Arial" w:eastAsia="Aptos" w:hAnsi="Arial" w:cs="Arial"/>
                <w:sz w:val="20"/>
                <w:szCs w:val="20"/>
                <w:lang w:val="sq-AL"/>
              </w:rPr>
              <w:t>KfW/EU</w:t>
            </w:r>
          </w:p>
        </w:tc>
        <w:tc>
          <w:tcPr>
            <w:tcW w:w="681" w:type="pct"/>
            <w:gridSpan w:val="3"/>
            <w:vAlign w:val="center"/>
          </w:tcPr>
          <w:p w14:paraId="43B2A7D8" w14:textId="14DA3EB2" w:rsidR="006B13EF" w:rsidRPr="003E7289" w:rsidRDefault="0012200A" w:rsidP="0012200A">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Kompanitë Rajonale të Ujit</w:t>
            </w:r>
          </w:p>
        </w:tc>
        <w:tc>
          <w:tcPr>
            <w:tcW w:w="514" w:type="pct"/>
            <w:vAlign w:val="center"/>
          </w:tcPr>
          <w:p w14:paraId="37DDDD8A" w14:textId="1EA34332" w:rsidR="006B13EF" w:rsidRPr="003E7289" w:rsidRDefault="0012200A" w:rsidP="0012200A">
            <w:pPr>
              <w:spacing w:before="0" w:line="240" w:lineRule="auto"/>
              <w:jc w:val="center"/>
              <w:rPr>
                <w:rFonts w:ascii="Arial" w:eastAsia="Aptos" w:hAnsi="Arial" w:cs="Arial"/>
                <w:bCs/>
                <w:sz w:val="20"/>
                <w:szCs w:val="20"/>
                <w:lang w:val="sq-AL" w:eastAsia="en-US"/>
              </w:rPr>
            </w:pPr>
            <w:r w:rsidRPr="003E7289">
              <w:rPr>
                <w:rFonts w:ascii="Arial" w:eastAsia="Aptos" w:hAnsi="Arial" w:cs="Arial"/>
                <w:bCs/>
                <w:sz w:val="20"/>
                <w:szCs w:val="20"/>
                <w:lang w:val="sq-AL"/>
              </w:rPr>
              <w:t>Zgjidhjet digjitale të integruara në sistemet e menaxhimit të ujit</w:t>
            </w:r>
          </w:p>
        </w:tc>
        <w:tc>
          <w:tcPr>
            <w:tcW w:w="394" w:type="pct"/>
            <w:vAlign w:val="center"/>
          </w:tcPr>
          <w:p w14:paraId="5588C954" w14:textId="17E1D2EB" w:rsidR="006B13EF" w:rsidRPr="003E7289" w:rsidRDefault="00BE39C7" w:rsidP="00A70686">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sz w:val="20"/>
                <w:szCs w:val="20"/>
                <w:lang w:val="sq-AL"/>
              </w:rPr>
              <w:t>Strategjia</w:t>
            </w:r>
            <w:r w:rsidR="000D1635" w:rsidRPr="003E7289">
              <w:rPr>
                <w:rFonts w:ascii="Arial" w:eastAsia="Aptos" w:hAnsi="Arial" w:cs="Arial"/>
                <w:sz w:val="20"/>
                <w:szCs w:val="20"/>
                <w:lang w:val="sq-AL"/>
              </w:rPr>
              <w:t xml:space="preserve"> Kombëtare e Ujit 2017–2035</w:t>
            </w:r>
          </w:p>
        </w:tc>
      </w:tr>
      <w:tr w:rsidR="004807C9" w:rsidRPr="003E7289" w14:paraId="13698006" w14:textId="77777777" w:rsidTr="00C65386">
        <w:trPr>
          <w:cantSplit/>
          <w:trHeight w:val="20"/>
        </w:trPr>
        <w:tc>
          <w:tcPr>
            <w:tcW w:w="250" w:type="pct"/>
            <w:vAlign w:val="center"/>
          </w:tcPr>
          <w:p w14:paraId="57414487" w14:textId="77777777" w:rsidR="006B13EF" w:rsidRPr="003E7289" w:rsidRDefault="006B13EF" w:rsidP="00A70686">
            <w:pPr>
              <w:spacing w:before="0" w:line="240" w:lineRule="auto"/>
              <w:jc w:val="center"/>
              <w:rPr>
                <w:rFonts w:ascii="Arial" w:eastAsia="Aptos" w:hAnsi="Arial" w:cs="Arial"/>
                <w:b/>
                <w:bCs/>
                <w:sz w:val="20"/>
                <w:szCs w:val="20"/>
                <w:highlight w:val="green"/>
                <w:lang w:val="sq-AL" w:eastAsia="en-US"/>
              </w:rPr>
            </w:pPr>
            <w:r w:rsidRPr="003E7289">
              <w:rPr>
                <w:rFonts w:ascii="Arial" w:eastAsia="Aptos" w:hAnsi="Arial" w:cs="Arial"/>
                <w:b/>
                <w:bCs/>
                <w:sz w:val="20"/>
                <w:szCs w:val="20"/>
                <w:lang w:val="sq-AL"/>
              </w:rPr>
              <w:t>I.7.3.</w:t>
            </w:r>
          </w:p>
        </w:tc>
        <w:tc>
          <w:tcPr>
            <w:tcW w:w="676" w:type="pct"/>
            <w:gridSpan w:val="4"/>
            <w:vAlign w:val="center"/>
          </w:tcPr>
          <w:p w14:paraId="7DEEE3DA" w14:textId="4F11D1C0" w:rsidR="006B13EF" w:rsidRPr="003E7289" w:rsidRDefault="0012200A" w:rsidP="0012200A">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Përmirësimi i sistemeve të depozitimit, trajtimit dhe shpërndarjes në zonat rurale</w:t>
            </w:r>
          </w:p>
        </w:tc>
        <w:tc>
          <w:tcPr>
            <w:tcW w:w="540" w:type="pct"/>
            <w:gridSpan w:val="4"/>
            <w:vAlign w:val="center"/>
          </w:tcPr>
          <w:p w14:paraId="50A82937"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Cs/>
                <w:sz w:val="20"/>
                <w:szCs w:val="20"/>
                <w:lang w:val="sq-AL"/>
              </w:rPr>
              <w:t>2040</w:t>
            </w:r>
          </w:p>
        </w:tc>
        <w:tc>
          <w:tcPr>
            <w:tcW w:w="445" w:type="pct"/>
            <w:gridSpan w:val="3"/>
            <w:vAlign w:val="center"/>
          </w:tcPr>
          <w:p w14:paraId="5E42091B"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Cs/>
                <w:sz w:val="20"/>
                <w:szCs w:val="20"/>
                <w:lang w:val="sq-AL"/>
              </w:rPr>
              <w:t>≈</w:t>
            </w:r>
            <w:r w:rsidRPr="003E7289">
              <w:rPr>
                <w:rFonts w:ascii="Arial" w:eastAsia="Aptos" w:hAnsi="Arial" w:cs="Arial"/>
                <w:bCs/>
                <w:sz w:val="20"/>
                <w:szCs w:val="20"/>
                <w:lang w:val="sq-AL" w:eastAsia="en-US"/>
              </w:rPr>
              <w:t> </w:t>
            </w:r>
            <w:r w:rsidRPr="003E7289">
              <w:rPr>
                <w:rFonts w:ascii="Arial" w:eastAsia="Aptos" w:hAnsi="Arial" w:cs="Arial"/>
                <w:bCs/>
                <w:sz w:val="20"/>
                <w:szCs w:val="20"/>
                <w:lang w:val="sq-AL"/>
              </w:rPr>
              <w:t>€0.6 million</w:t>
            </w:r>
          </w:p>
        </w:tc>
        <w:tc>
          <w:tcPr>
            <w:tcW w:w="500" w:type="pct"/>
            <w:gridSpan w:val="4"/>
            <w:vAlign w:val="center"/>
          </w:tcPr>
          <w:p w14:paraId="266440C1"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Cs/>
                <w:sz w:val="20"/>
                <w:szCs w:val="20"/>
                <w:lang w:val="sq-AL"/>
              </w:rPr>
              <w:t>≈</w:t>
            </w:r>
            <w:r w:rsidRPr="003E7289">
              <w:rPr>
                <w:rFonts w:ascii="Arial" w:eastAsia="Aptos" w:hAnsi="Arial" w:cs="Arial"/>
                <w:bCs/>
                <w:sz w:val="20"/>
                <w:szCs w:val="20"/>
                <w:lang w:val="sq-AL" w:eastAsia="en-US"/>
              </w:rPr>
              <w:t> </w:t>
            </w:r>
            <w:r w:rsidRPr="003E7289">
              <w:rPr>
                <w:rFonts w:ascii="Arial" w:eastAsia="Aptos" w:hAnsi="Arial" w:cs="Arial"/>
                <w:bCs/>
                <w:sz w:val="20"/>
                <w:szCs w:val="20"/>
                <w:lang w:val="sq-AL"/>
              </w:rPr>
              <w:t>€0.6 million</w:t>
            </w:r>
          </w:p>
        </w:tc>
        <w:tc>
          <w:tcPr>
            <w:tcW w:w="429" w:type="pct"/>
            <w:vAlign w:val="center"/>
          </w:tcPr>
          <w:p w14:paraId="6F14EDD3"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Cs/>
                <w:sz w:val="20"/>
                <w:szCs w:val="20"/>
                <w:lang w:val="sq-AL"/>
              </w:rPr>
              <w:t>≈</w:t>
            </w:r>
            <w:r w:rsidRPr="003E7289">
              <w:rPr>
                <w:rFonts w:ascii="Arial" w:eastAsia="Aptos" w:hAnsi="Arial" w:cs="Arial"/>
                <w:bCs/>
                <w:sz w:val="20"/>
                <w:szCs w:val="20"/>
                <w:lang w:val="sq-AL" w:eastAsia="en-US"/>
              </w:rPr>
              <w:t> </w:t>
            </w:r>
            <w:r w:rsidRPr="003E7289">
              <w:rPr>
                <w:rFonts w:ascii="Arial" w:eastAsia="Aptos" w:hAnsi="Arial" w:cs="Arial"/>
                <w:bCs/>
                <w:sz w:val="20"/>
                <w:szCs w:val="20"/>
                <w:lang w:val="sq-AL"/>
              </w:rPr>
              <w:t>€0.6 million</w:t>
            </w:r>
          </w:p>
        </w:tc>
        <w:tc>
          <w:tcPr>
            <w:tcW w:w="546" w:type="pct"/>
            <w:gridSpan w:val="3"/>
            <w:vAlign w:val="center"/>
          </w:tcPr>
          <w:p w14:paraId="10F49CF5" w14:textId="77777777" w:rsidR="006B13EF" w:rsidRPr="003E7289" w:rsidRDefault="006B13EF" w:rsidP="00A70686">
            <w:pPr>
              <w:spacing w:before="0" w:line="240" w:lineRule="auto"/>
              <w:jc w:val="center"/>
              <w:rPr>
                <w:rFonts w:ascii="Arial" w:eastAsia="Aptos" w:hAnsi="Arial" w:cs="Arial"/>
                <w:sz w:val="20"/>
                <w:szCs w:val="20"/>
                <w:highlight w:val="yellow"/>
                <w:lang w:val="sq-AL" w:eastAsia="en-US"/>
              </w:rPr>
            </w:pPr>
            <w:r w:rsidRPr="003E7289">
              <w:rPr>
                <w:rFonts w:ascii="Arial" w:eastAsia="Aptos" w:hAnsi="Arial" w:cs="Arial"/>
                <w:sz w:val="20"/>
                <w:szCs w:val="20"/>
                <w:lang w:val="sq-AL"/>
              </w:rPr>
              <w:t>RWCP</w:t>
            </w:r>
          </w:p>
        </w:tc>
        <w:tc>
          <w:tcPr>
            <w:tcW w:w="681" w:type="pct"/>
            <w:gridSpan w:val="3"/>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2200A" w:rsidRPr="003E7289" w14:paraId="4F6C3E1D" w14:textId="77777777" w:rsidTr="0012200A">
              <w:trPr>
                <w:tblCellSpacing w:w="15" w:type="dxa"/>
              </w:trPr>
              <w:tc>
                <w:tcPr>
                  <w:tcW w:w="0" w:type="auto"/>
                  <w:vAlign w:val="center"/>
                  <w:hideMark/>
                </w:tcPr>
                <w:p w14:paraId="07227196" w14:textId="77777777" w:rsidR="0012200A" w:rsidRPr="003E7289" w:rsidRDefault="0012200A" w:rsidP="0012200A">
                  <w:pPr>
                    <w:spacing w:before="0" w:after="0" w:line="240" w:lineRule="auto"/>
                    <w:jc w:val="center"/>
                    <w:rPr>
                      <w:rFonts w:ascii="Arial" w:eastAsia="Aptos" w:hAnsi="Arial" w:cs="Arial"/>
                      <w:sz w:val="20"/>
                      <w:szCs w:val="20"/>
                      <w:lang w:val="sq-AL" w:eastAsia="ja-JP"/>
                    </w:rPr>
                  </w:pPr>
                </w:p>
              </w:tc>
            </w:tr>
          </w:tbl>
          <w:p w14:paraId="0697C856" w14:textId="77777777" w:rsidR="0012200A" w:rsidRPr="003E7289" w:rsidRDefault="0012200A" w:rsidP="0012200A">
            <w:pPr>
              <w:spacing w:before="0" w:line="240" w:lineRule="auto"/>
              <w:jc w:val="center"/>
              <w:rPr>
                <w:rFonts w:ascii="Arial" w:eastAsia="Aptos" w:hAnsi="Arial" w:cs="Arial"/>
                <w:vanish/>
                <w:sz w:val="20"/>
                <w:szCs w:val="20"/>
                <w:lang w:val="sq-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50"/>
            </w:tblGrid>
            <w:tr w:rsidR="0012200A" w:rsidRPr="003E7289" w14:paraId="36494AF6" w14:textId="77777777" w:rsidTr="0012200A">
              <w:trPr>
                <w:tblCellSpacing w:w="15" w:type="dxa"/>
              </w:trPr>
              <w:tc>
                <w:tcPr>
                  <w:tcW w:w="0" w:type="auto"/>
                  <w:vAlign w:val="center"/>
                  <w:hideMark/>
                </w:tcPr>
                <w:p w14:paraId="07ED5101" w14:textId="77777777" w:rsidR="0012200A" w:rsidRPr="003E7289" w:rsidRDefault="0012200A" w:rsidP="0012200A">
                  <w:pPr>
                    <w:spacing w:before="0" w:after="0" w:line="240" w:lineRule="auto"/>
                    <w:jc w:val="center"/>
                    <w:rPr>
                      <w:rFonts w:ascii="Arial" w:eastAsia="Aptos" w:hAnsi="Arial" w:cs="Arial"/>
                      <w:sz w:val="20"/>
                      <w:szCs w:val="20"/>
                      <w:lang w:val="sq-AL" w:eastAsia="ja-JP"/>
                    </w:rPr>
                  </w:pPr>
                  <w:r w:rsidRPr="003E7289">
                    <w:rPr>
                      <w:rFonts w:ascii="Arial" w:eastAsia="Aptos" w:hAnsi="Arial" w:cs="Arial"/>
                      <w:sz w:val="20"/>
                      <w:szCs w:val="20"/>
                      <w:lang w:val="sq-AL" w:eastAsia="ja-JP"/>
                    </w:rPr>
                    <w:t>Ministria e Mjedisit, Planifikimit Hapësinor dhe Infrastrukturës, Kompanitë Rajonale të Ujit, komunat</w:t>
                  </w:r>
                </w:p>
              </w:tc>
            </w:tr>
          </w:tbl>
          <w:p w14:paraId="13362CA9" w14:textId="4A645BCC" w:rsidR="006B13EF" w:rsidRPr="003E7289" w:rsidRDefault="006B13EF" w:rsidP="00A70686">
            <w:pPr>
              <w:spacing w:before="0" w:line="240" w:lineRule="auto"/>
              <w:jc w:val="center"/>
              <w:rPr>
                <w:rFonts w:ascii="Arial" w:eastAsia="Aptos" w:hAnsi="Arial" w:cs="Arial"/>
                <w:sz w:val="20"/>
                <w:szCs w:val="20"/>
                <w:lang w:val="sq-AL" w:eastAsia="en-US"/>
              </w:rPr>
            </w:pPr>
          </w:p>
        </w:tc>
        <w:tc>
          <w:tcPr>
            <w:tcW w:w="514" w:type="pct"/>
            <w:vAlign w:val="center"/>
          </w:tcPr>
          <w:p w14:paraId="205C1814" w14:textId="66AEC2AE" w:rsidR="006B13EF" w:rsidRPr="003E7289" w:rsidRDefault="0012200A" w:rsidP="0012200A">
            <w:pPr>
              <w:spacing w:before="0" w:line="240" w:lineRule="auto"/>
              <w:jc w:val="center"/>
              <w:rPr>
                <w:rFonts w:ascii="Arial" w:eastAsia="Aptos" w:hAnsi="Arial" w:cs="Arial"/>
                <w:bCs/>
                <w:sz w:val="20"/>
                <w:szCs w:val="20"/>
                <w:lang w:val="sq-AL" w:eastAsia="en-US"/>
              </w:rPr>
            </w:pPr>
            <w:r w:rsidRPr="003E7289">
              <w:rPr>
                <w:rFonts w:ascii="Arial" w:eastAsia="Aptos" w:hAnsi="Arial" w:cs="Arial"/>
                <w:bCs/>
                <w:sz w:val="20"/>
                <w:szCs w:val="20"/>
                <w:lang w:val="sq-AL"/>
              </w:rPr>
              <w:t>Sistemet e depozitimit, trajtimit dhe shpërndarjes në zonat rurale të përmirësuara</w:t>
            </w:r>
          </w:p>
        </w:tc>
        <w:tc>
          <w:tcPr>
            <w:tcW w:w="394" w:type="pct"/>
            <w:vAlign w:val="center"/>
          </w:tcPr>
          <w:p w14:paraId="08147217" w14:textId="4D653DB0" w:rsidR="006B13EF" w:rsidRPr="003E7289" w:rsidRDefault="00BE39C7" w:rsidP="00A70686">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sz w:val="20"/>
                <w:szCs w:val="20"/>
                <w:lang w:val="sq-AL"/>
              </w:rPr>
              <w:t>Strategjia</w:t>
            </w:r>
            <w:r w:rsidR="000D1635" w:rsidRPr="003E7289">
              <w:rPr>
                <w:rFonts w:ascii="Arial" w:eastAsia="Aptos" w:hAnsi="Arial" w:cs="Arial"/>
                <w:sz w:val="20"/>
                <w:szCs w:val="20"/>
                <w:lang w:val="sq-AL"/>
              </w:rPr>
              <w:t xml:space="preserve"> Kombëtare e Ujit 2017–2035</w:t>
            </w:r>
          </w:p>
        </w:tc>
      </w:tr>
      <w:tr w:rsidR="0012200A" w:rsidRPr="003E7289" w14:paraId="004457FB" w14:textId="77777777" w:rsidTr="00C65386">
        <w:trPr>
          <w:cantSplit/>
          <w:trHeight w:val="20"/>
        </w:trPr>
        <w:tc>
          <w:tcPr>
            <w:tcW w:w="926" w:type="pct"/>
            <w:gridSpan w:val="5"/>
            <w:shd w:val="clear" w:color="auto" w:fill="C6E7F6"/>
            <w:vAlign w:val="center"/>
          </w:tcPr>
          <w:p w14:paraId="51612B56" w14:textId="2C097C1F" w:rsidR="00C63DE6" w:rsidRPr="003E7289" w:rsidRDefault="00C63DE6" w:rsidP="00C63DE6">
            <w:pPr>
              <w:spacing w:before="0" w:line="240" w:lineRule="auto"/>
              <w:rPr>
                <w:rFonts w:ascii="Arial" w:eastAsia="Aptos" w:hAnsi="Arial" w:cs="Arial"/>
                <w:sz w:val="20"/>
                <w:szCs w:val="20"/>
                <w:lang w:val="sq-AL" w:eastAsia="en-US"/>
              </w:rPr>
            </w:pPr>
            <w:r w:rsidRPr="003E7289">
              <w:rPr>
                <w:rFonts w:ascii="Arial" w:eastAsia="Aptos" w:hAnsi="Arial" w:cs="Arial"/>
                <w:b/>
                <w:bCs/>
                <w:sz w:val="20"/>
                <w:szCs w:val="20"/>
                <w:lang w:val="sq-AL"/>
              </w:rPr>
              <w:lastRenderedPageBreak/>
              <w:t>Buxheti total për Objektivin specifik I.7:</w:t>
            </w:r>
          </w:p>
        </w:tc>
        <w:tc>
          <w:tcPr>
            <w:tcW w:w="4048" w:type="pct"/>
            <w:gridSpan w:val="20"/>
            <w:vAlign w:val="center"/>
          </w:tcPr>
          <w:p w14:paraId="17C8752F" w14:textId="0DFD1895" w:rsidR="00C63DE6" w:rsidRPr="003E7289" w:rsidRDefault="00C63DE6" w:rsidP="00C63DE6">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w:t>
            </w:r>
            <w:r w:rsidR="0012200A" w:rsidRPr="003E7289">
              <w:rPr>
                <w:rFonts w:ascii="Arial" w:eastAsia="Aptos" w:hAnsi="Arial" w:cs="Arial"/>
                <w:sz w:val="20"/>
                <w:szCs w:val="20"/>
                <w:lang w:val="sq-AL"/>
              </w:rPr>
              <w:t>përfshirë në</w:t>
            </w:r>
            <w:r w:rsidRPr="003E7289">
              <w:rPr>
                <w:rFonts w:ascii="Arial" w:eastAsia="Aptos" w:hAnsi="Arial" w:cs="Arial"/>
                <w:sz w:val="20"/>
                <w:szCs w:val="20"/>
                <w:lang w:val="sq-AL"/>
              </w:rPr>
              <w:t>€35.2 million</w:t>
            </w:r>
          </w:p>
        </w:tc>
      </w:tr>
      <w:tr w:rsidR="0012200A" w:rsidRPr="003E7289" w14:paraId="598DD1D7" w14:textId="77777777" w:rsidTr="00C65386">
        <w:trPr>
          <w:cantSplit/>
          <w:trHeight w:val="20"/>
        </w:trPr>
        <w:tc>
          <w:tcPr>
            <w:tcW w:w="926" w:type="pct"/>
            <w:gridSpan w:val="5"/>
            <w:shd w:val="clear" w:color="auto" w:fill="C6E7F6"/>
          </w:tcPr>
          <w:p w14:paraId="58EFEBBC" w14:textId="43722784" w:rsidR="00C63DE6" w:rsidRPr="003E7289" w:rsidRDefault="00C63DE6" w:rsidP="00C63DE6">
            <w:pPr>
              <w:spacing w:before="0" w:line="240" w:lineRule="auto"/>
              <w:rPr>
                <w:rFonts w:ascii="Arial" w:eastAsia="Aptos" w:hAnsi="Arial" w:cs="Arial"/>
                <w:sz w:val="20"/>
                <w:szCs w:val="20"/>
                <w:lang w:val="sq-AL" w:eastAsia="en-US"/>
              </w:rPr>
            </w:pPr>
            <w:r w:rsidRPr="003E7289">
              <w:rPr>
                <w:rFonts w:ascii="Arial" w:eastAsia="Aptos" w:hAnsi="Arial" w:cs="Arial"/>
                <w:b/>
                <w:bCs/>
                <w:sz w:val="20"/>
                <w:szCs w:val="20"/>
                <w:lang w:val="sq-AL"/>
              </w:rPr>
              <w:t>Nga kjo, kapital:</w:t>
            </w:r>
          </w:p>
        </w:tc>
        <w:tc>
          <w:tcPr>
            <w:tcW w:w="4048" w:type="pct"/>
            <w:gridSpan w:val="20"/>
            <w:vAlign w:val="center"/>
          </w:tcPr>
          <w:p w14:paraId="073363F1" w14:textId="77777777" w:rsidR="00C63DE6" w:rsidRPr="003E7289" w:rsidRDefault="00C63DE6" w:rsidP="00C63DE6">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 €11.736 million</w:t>
            </w:r>
          </w:p>
        </w:tc>
      </w:tr>
      <w:tr w:rsidR="0012200A" w:rsidRPr="003E7289" w14:paraId="3C09A64D" w14:textId="77777777" w:rsidTr="00C65386">
        <w:trPr>
          <w:cantSplit/>
          <w:trHeight w:val="20"/>
        </w:trPr>
        <w:tc>
          <w:tcPr>
            <w:tcW w:w="926" w:type="pct"/>
            <w:gridSpan w:val="5"/>
            <w:shd w:val="clear" w:color="auto" w:fill="C6E7F6"/>
          </w:tcPr>
          <w:p w14:paraId="30B81546" w14:textId="24963F8E" w:rsidR="00C63DE6" w:rsidRPr="003E7289" w:rsidRDefault="00C63DE6" w:rsidP="00C63DE6">
            <w:pPr>
              <w:spacing w:before="0" w:line="240" w:lineRule="auto"/>
              <w:rPr>
                <w:rFonts w:ascii="Arial" w:eastAsia="Aptos" w:hAnsi="Arial" w:cs="Arial"/>
                <w:sz w:val="20"/>
                <w:szCs w:val="20"/>
                <w:lang w:val="sq-AL" w:eastAsia="en-US"/>
              </w:rPr>
            </w:pPr>
            <w:r w:rsidRPr="003E7289">
              <w:rPr>
                <w:rFonts w:ascii="Arial" w:eastAsia="Aptos" w:hAnsi="Arial" w:cs="Arial"/>
                <w:b/>
                <w:bCs/>
                <w:sz w:val="20"/>
                <w:szCs w:val="20"/>
                <w:lang w:val="sq-AL"/>
              </w:rPr>
              <w:t>Nga kjo, shpenzime korrente:</w:t>
            </w:r>
          </w:p>
        </w:tc>
        <w:tc>
          <w:tcPr>
            <w:tcW w:w="4048" w:type="pct"/>
            <w:gridSpan w:val="20"/>
            <w:vAlign w:val="center"/>
          </w:tcPr>
          <w:p w14:paraId="2114F50D" w14:textId="77777777" w:rsidR="00C63DE6" w:rsidRPr="003E7289" w:rsidRDefault="00C63DE6" w:rsidP="00C63DE6">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0</w:t>
            </w:r>
          </w:p>
        </w:tc>
      </w:tr>
      <w:tr w:rsidR="00666AA0" w:rsidRPr="003E7289" w14:paraId="1872952A" w14:textId="77777777" w:rsidTr="00C65386">
        <w:trPr>
          <w:cantSplit/>
          <w:trHeight w:val="20"/>
        </w:trPr>
        <w:tc>
          <w:tcPr>
            <w:tcW w:w="250" w:type="pct"/>
            <w:shd w:val="clear" w:color="auto" w:fill="0F4761"/>
            <w:vAlign w:val="center"/>
          </w:tcPr>
          <w:p w14:paraId="593DA2C0" w14:textId="2C800AA4" w:rsidR="006B13EF" w:rsidRPr="003E7289" w:rsidRDefault="006B13EF" w:rsidP="00A70686">
            <w:pPr>
              <w:spacing w:before="0" w:line="240" w:lineRule="auto"/>
              <w:jc w:val="center"/>
              <w:rPr>
                <w:rFonts w:ascii="Arial" w:eastAsia="Aptos" w:hAnsi="Arial" w:cs="Arial"/>
                <w:b/>
                <w:bCs/>
                <w:color w:val="FFFFFF"/>
                <w:sz w:val="20"/>
                <w:szCs w:val="20"/>
                <w:lang w:val="sq-AL" w:eastAsia="en-US"/>
              </w:rPr>
            </w:pPr>
          </w:p>
        </w:tc>
        <w:tc>
          <w:tcPr>
            <w:tcW w:w="4724" w:type="pct"/>
            <w:gridSpan w:val="24"/>
            <w:shd w:val="clear" w:color="auto" w:fill="0F4761"/>
            <w:vAlign w:val="center"/>
          </w:tcPr>
          <w:p w14:paraId="2C99843B" w14:textId="699278B1" w:rsidR="006B13EF" w:rsidRPr="003E7289" w:rsidRDefault="0040465B" w:rsidP="00A70686">
            <w:pPr>
              <w:spacing w:before="0" w:line="240" w:lineRule="auto"/>
              <w:jc w:val="center"/>
              <w:rPr>
                <w:rFonts w:ascii="Arial" w:eastAsia="Aptos" w:hAnsi="Arial" w:cs="Arial"/>
                <w:b/>
                <w:bCs/>
                <w:color w:val="FFFFFF"/>
                <w:sz w:val="20"/>
                <w:szCs w:val="20"/>
                <w:highlight w:val="yellow"/>
                <w:lang w:val="sq-AL" w:eastAsia="en-US"/>
              </w:rPr>
            </w:pPr>
            <w:r w:rsidRPr="003E7289">
              <w:rPr>
                <w:rFonts w:ascii="Arial" w:eastAsia="Aptos" w:hAnsi="Arial" w:cs="Arial"/>
                <w:b/>
                <w:bCs/>
                <w:color w:val="FFFFFF"/>
                <w:sz w:val="20"/>
                <w:szCs w:val="20"/>
                <w:lang w:val="sq-AL"/>
              </w:rPr>
              <w:t>Prioriteti kyç për përshtatje</w:t>
            </w:r>
            <w:r w:rsidR="006B13EF" w:rsidRPr="003E7289">
              <w:rPr>
                <w:rFonts w:ascii="Arial" w:eastAsia="Aptos" w:hAnsi="Arial" w:cs="Arial"/>
                <w:b/>
                <w:bCs/>
                <w:color w:val="FFFFFF"/>
                <w:sz w:val="20"/>
                <w:szCs w:val="20"/>
                <w:lang w:val="sq-AL"/>
              </w:rPr>
              <w:t xml:space="preserve">: </w:t>
            </w:r>
            <w:r w:rsidR="0012200A" w:rsidRPr="003E7289">
              <w:rPr>
                <w:rFonts w:ascii="Arial" w:eastAsia="Aptos" w:hAnsi="Arial" w:cs="Arial"/>
                <w:b/>
                <w:bCs/>
                <w:color w:val="FFFFFF"/>
                <w:sz w:val="20"/>
                <w:szCs w:val="20"/>
                <w:lang w:val="sq-AL"/>
              </w:rPr>
              <w:t>Zvogëlimi i rrezikut nga thatësira dhe përmbytjet</w:t>
            </w:r>
          </w:p>
        </w:tc>
      </w:tr>
      <w:tr w:rsidR="00666AA0" w:rsidRPr="003E7289" w14:paraId="1D23CA86" w14:textId="77777777" w:rsidTr="00C65386">
        <w:trPr>
          <w:cantSplit/>
          <w:trHeight w:val="20"/>
        </w:trPr>
        <w:tc>
          <w:tcPr>
            <w:tcW w:w="250" w:type="pct"/>
            <w:shd w:val="clear" w:color="auto" w:fill="84CCEC"/>
            <w:vAlign w:val="center"/>
          </w:tcPr>
          <w:p w14:paraId="7ED13BE7" w14:textId="77777777" w:rsidR="006B13EF" w:rsidRPr="003E7289" w:rsidRDefault="006B13EF" w:rsidP="00A70686">
            <w:pPr>
              <w:spacing w:before="0" w:line="240" w:lineRule="auto"/>
              <w:jc w:val="center"/>
              <w:rPr>
                <w:rFonts w:ascii="Arial" w:eastAsia="Aptos" w:hAnsi="Arial" w:cs="Arial"/>
                <w:b/>
                <w:bCs/>
                <w:sz w:val="20"/>
                <w:szCs w:val="20"/>
                <w:highlight w:val="green"/>
                <w:lang w:val="sq-AL" w:eastAsia="en-US"/>
              </w:rPr>
            </w:pPr>
            <w:r w:rsidRPr="003E7289">
              <w:rPr>
                <w:rFonts w:ascii="Arial" w:eastAsia="Aptos" w:hAnsi="Arial" w:cs="Arial"/>
                <w:b/>
                <w:bCs/>
                <w:sz w:val="20"/>
                <w:szCs w:val="20"/>
                <w:lang w:val="sq-AL"/>
              </w:rPr>
              <w:t>I.10</w:t>
            </w:r>
          </w:p>
        </w:tc>
        <w:tc>
          <w:tcPr>
            <w:tcW w:w="4724" w:type="pct"/>
            <w:gridSpan w:val="24"/>
            <w:shd w:val="clear" w:color="auto" w:fill="84CCEC"/>
            <w:vAlign w:val="center"/>
          </w:tcPr>
          <w:p w14:paraId="3BF41058" w14:textId="3B7D97AF" w:rsidR="006B13EF" w:rsidRPr="003E7289" w:rsidRDefault="0012200A" w:rsidP="00A70686">
            <w:pPr>
              <w:spacing w:before="0" w:line="240" w:lineRule="auto"/>
              <w:jc w:val="center"/>
              <w:rPr>
                <w:rFonts w:ascii="Arial" w:eastAsia="Aptos" w:hAnsi="Arial" w:cs="Arial"/>
                <w:b/>
                <w:bCs/>
                <w:sz w:val="20"/>
                <w:szCs w:val="20"/>
                <w:highlight w:val="green"/>
                <w:lang w:val="sq-AL" w:eastAsia="en-US"/>
              </w:rPr>
            </w:pPr>
            <w:r w:rsidRPr="003E7289">
              <w:rPr>
                <w:rFonts w:ascii="Arial" w:eastAsia="Aptos" w:hAnsi="Arial" w:cs="Arial"/>
                <w:b/>
                <w:bCs/>
                <w:sz w:val="20"/>
                <w:szCs w:val="20"/>
                <w:lang w:val="sq-AL"/>
              </w:rPr>
              <w:t>Reformimi i qeverisjes së resurseve ujore me integrim të përshtatjes ndaj ndryshimeve klimatike</w:t>
            </w:r>
          </w:p>
        </w:tc>
      </w:tr>
      <w:tr w:rsidR="004807C9" w:rsidRPr="003E7289" w14:paraId="1562BE3B" w14:textId="77777777" w:rsidTr="00C65386">
        <w:trPr>
          <w:cantSplit/>
          <w:trHeight w:val="20"/>
        </w:trPr>
        <w:tc>
          <w:tcPr>
            <w:tcW w:w="926" w:type="pct"/>
            <w:gridSpan w:val="5"/>
            <w:vAlign w:val="center"/>
          </w:tcPr>
          <w:p w14:paraId="011D4642" w14:textId="6EF6816D" w:rsidR="006B13EF" w:rsidRPr="003E7289" w:rsidRDefault="0012200A" w:rsidP="0012200A">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Legjislacioni për menaxhimin e burimeve ujore</w:t>
            </w:r>
          </w:p>
        </w:tc>
        <w:tc>
          <w:tcPr>
            <w:tcW w:w="540" w:type="pct"/>
            <w:gridSpan w:val="4"/>
            <w:vAlign w:val="center"/>
          </w:tcPr>
          <w:p w14:paraId="5B1D01B4" w14:textId="7F328FFB" w:rsidR="006B13EF" w:rsidRPr="003E7289" w:rsidRDefault="0012200A" w:rsidP="0012200A">
            <w:pPr>
              <w:spacing w:before="0" w:line="240" w:lineRule="auto"/>
              <w:rPr>
                <w:rFonts w:ascii="Arial" w:eastAsia="Aptos" w:hAnsi="Arial" w:cs="Arial"/>
                <w:b/>
                <w:bCs/>
                <w:sz w:val="20"/>
                <w:szCs w:val="20"/>
                <w:highlight w:val="yellow"/>
                <w:lang w:val="sq-AL" w:eastAsia="en-US"/>
              </w:rPr>
            </w:pPr>
            <w:r w:rsidRPr="003E7289">
              <w:rPr>
                <w:rFonts w:ascii="Arial" w:eastAsia="Aptos" w:hAnsi="Arial" w:cs="Arial"/>
                <w:sz w:val="20"/>
                <w:szCs w:val="20"/>
                <w:lang w:val="sq-AL"/>
              </w:rPr>
              <w:t>Ligji ekzistues ka mangësi të konsiderueshme dhe nuk e transpozon Direktivën Kuadër për Ujërat (WFD)</w:t>
            </w:r>
          </w:p>
        </w:tc>
        <w:tc>
          <w:tcPr>
            <w:tcW w:w="1374" w:type="pct"/>
            <w:gridSpan w:val="8"/>
            <w:vAlign w:val="center"/>
          </w:tcPr>
          <w:p w14:paraId="02D74B49" w14:textId="4C99F99B" w:rsidR="006B13EF" w:rsidRPr="003E7289" w:rsidRDefault="0012200A" w:rsidP="0012200A">
            <w:pPr>
              <w:spacing w:before="0" w:line="240" w:lineRule="auto"/>
              <w:rPr>
                <w:rFonts w:ascii="Arial" w:eastAsia="Aptos" w:hAnsi="Arial" w:cs="Arial"/>
                <w:b/>
                <w:bCs/>
                <w:sz w:val="20"/>
                <w:szCs w:val="20"/>
                <w:highlight w:val="yellow"/>
                <w:lang w:val="sq-AL" w:eastAsia="en-US"/>
              </w:rPr>
            </w:pPr>
            <w:r w:rsidRPr="003E7289">
              <w:rPr>
                <w:rFonts w:ascii="Arial" w:eastAsia="Aptos" w:hAnsi="Arial" w:cs="Arial"/>
                <w:sz w:val="20"/>
                <w:szCs w:val="20"/>
                <w:lang w:val="sq-AL"/>
              </w:rPr>
              <w:t>Draft-ligji është përgatitur dhe është në konsultim</w:t>
            </w:r>
          </w:p>
        </w:tc>
        <w:tc>
          <w:tcPr>
            <w:tcW w:w="546" w:type="pct"/>
            <w:gridSpan w:val="3"/>
            <w:vAlign w:val="center"/>
          </w:tcPr>
          <w:p w14:paraId="186FD5E3" w14:textId="60388929" w:rsidR="006B13EF" w:rsidRPr="003E7289" w:rsidRDefault="0012200A" w:rsidP="0012200A">
            <w:pPr>
              <w:spacing w:before="0" w:line="240" w:lineRule="auto"/>
              <w:rPr>
                <w:rFonts w:ascii="Arial" w:eastAsia="Aptos" w:hAnsi="Arial" w:cs="Arial"/>
                <w:b/>
                <w:bCs/>
                <w:sz w:val="20"/>
                <w:szCs w:val="20"/>
                <w:highlight w:val="yellow"/>
                <w:lang w:val="sq-AL" w:eastAsia="en-US"/>
              </w:rPr>
            </w:pPr>
            <w:r w:rsidRPr="003E7289">
              <w:rPr>
                <w:rFonts w:ascii="Arial" w:eastAsia="Aptos" w:hAnsi="Arial" w:cs="Arial"/>
                <w:sz w:val="20"/>
                <w:szCs w:val="20"/>
                <w:lang w:val="sq-AL"/>
              </w:rPr>
              <w:t>Ligji i ri për Menaxhimin e Burimeve Ujore miratohet, duke transpozuar WFD-në dhe direktiva të tjera për ujin</w:t>
            </w:r>
            <w:r w:rsidR="006B13EF" w:rsidRPr="003E7289">
              <w:rPr>
                <w:rFonts w:ascii="Arial" w:eastAsia="Aptos" w:hAnsi="Arial" w:cs="Arial"/>
                <w:sz w:val="20"/>
                <w:szCs w:val="20"/>
                <w:lang w:val="sq-AL"/>
              </w:rPr>
              <w:t>.</w:t>
            </w:r>
          </w:p>
        </w:tc>
        <w:tc>
          <w:tcPr>
            <w:tcW w:w="1589" w:type="pct"/>
            <w:gridSpan w:val="5"/>
            <w:vAlign w:val="center"/>
          </w:tcPr>
          <w:p w14:paraId="156D18F2"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r w:rsidRPr="003E7289">
              <w:rPr>
                <w:rFonts w:ascii="Arial" w:hAnsi="Arial" w:cs="Arial"/>
                <w:sz w:val="20"/>
                <w:szCs w:val="20"/>
                <w:lang w:val="sq-AL"/>
              </w:rPr>
              <w:t>-</w:t>
            </w:r>
          </w:p>
        </w:tc>
      </w:tr>
      <w:tr w:rsidR="004807C9" w:rsidRPr="003E7289" w14:paraId="71F80797" w14:textId="77777777" w:rsidTr="00C65386">
        <w:trPr>
          <w:cantSplit/>
          <w:trHeight w:val="20"/>
        </w:trPr>
        <w:tc>
          <w:tcPr>
            <w:tcW w:w="926" w:type="pct"/>
            <w:gridSpan w:val="5"/>
            <w:vAlign w:val="center"/>
          </w:tcPr>
          <w:p w14:paraId="08288766"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Sub-legal acts for the management of water resources</w:t>
            </w:r>
          </w:p>
        </w:tc>
        <w:tc>
          <w:tcPr>
            <w:tcW w:w="540" w:type="pct"/>
            <w:gridSpan w:val="4"/>
            <w:vAlign w:val="center"/>
          </w:tcPr>
          <w:p w14:paraId="15DEFCBE"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r w:rsidRPr="003E7289">
              <w:rPr>
                <w:rFonts w:ascii="Arial" w:hAnsi="Arial" w:cs="Arial"/>
                <w:sz w:val="20"/>
                <w:szCs w:val="20"/>
                <w:lang w:val="sq-AL"/>
              </w:rPr>
              <w:t>-</w:t>
            </w:r>
          </w:p>
        </w:tc>
        <w:tc>
          <w:tcPr>
            <w:tcW w:w="1374" w:type="pct"/>
            <w:gridSpan w:val="8"/>
            <w:vAlign w:val="center"/>
          </w:tcPr>
          <w:p w14:paraId="2692D0B4"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r w:rsidRPr="003E7289">
              <w:rPr>
                <w:rFonts w:ascii="Arial" w:hAnsi="Arial" w:cs="Arial"/>
                <w:sz w:val="20"/>
                <w:szCs w:val="20"/>
                <w:lang w:val="sq-AL"/>
              </w:rPr>
              <w:t>-</w:t>
            </w:r>
          </w:p>
        </w:tc>
        <w:tc>
          <w:tcPr>
            <w:tcW w:w="546" w:type="pct"/>
            <w:gridSpan w:val="3"/>
            <w:vAlign w:val="center"/>
          </w:tcPr>
          <w:p w14:paraId="695D4E66"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r w:rsidRPr="003E7289">
              <w:rPr>
                <w:rFonts w:ascii="Arial" w:hAnsi="Arial" w:cs="Arial"/>
                <w:sz w:val="20"/>
                <w:szCs w:val="20"/>
                <w:lang w:val="sq-AL"/>
              </w:rPr>
              <w:t>-</w:t>
            </w:r>
          </w:p>
        </w:tc>
        <w:tc>
          <w:tcPr>
            <w:tcW w:w="1589" w:type="pct"/>
            <w:gridSpan w:val="5"/>
            <w:vAlign w:val="center"/>
          </w:tcPr>
          <w:p w14:paraId="3B95840F" w14:textId="50EAE731" w:rsidR="006B13EF" w:rsidRPr="003E7289" w:rsidRDefault="0012200A" w:rsidP="0012200A">
            <w:pPr>
              <w:spacing w:before="0" w:line="240" w:lineRule="auto"/>
              <w:rPr>
                <w:rFonts w:ascii="Arial" w:eastAsia="Aptos" w:hAnsi="Arial" w:cs="Arial"/>
                <w:b/>
                <w:bCs/>
                <w:sz w:val="20"/>
                <w:szCs w:val="20"/>
                <w:highlight w:val="yellow"/>
                <w:lang w:val="sq-AL" w:eastAsia="en-US"/>
              </w:rPr>
            </w:pPr>
            <w:r w:rsidRPr="003E7289">
              <w:rPr>
                <w:rFonts w:ascii="Arial" w:eastAsia="Aptos" w:hAnsi="Arial" w:cs="Arial"/>
                <w:sz w:val="20"/>
                <w:szCs w:val="20"/>
                <w:lang w:val="sq-AL"/>
              </w:rPr>
              <w:t>Përcaktohen nga ligji i ri</w:t>
            </w:r>
          </w:p>
        </w:tc>
      </w:tr>
      <w:tr w:rsidR="004807C9" w:rsidRPr="003E7289" w14:paraId="3A631779" w14:textId="77777777" w:rsidTr="00C65386">
        <w:trPr>
          <w:cantSplit/>
          <w:trHeight w:val="20"/>
        </w:trPr>
        <w:tc>
          <w:tcPr>
            <w:tcW w:w="926" w:type="pct"/>
            <w:gridSpan w:val="5"/>
            <w:vAlign w:val="center"/>
          </w:tcPr>
          <w:p w14:paraId="53482B62" w14:textId="0F2E177B" w:rsidR="006B13EF" w:rsidRPr="003E7289" w:rsidRDefault="0012200A" w:rsidP="0012200A">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Krijimi i Agjencisë për Menaxhimin e Resurseve Ujore (WRMA)</w:t>
            </w:r>
          </w:p>
        </w:tc>
        <w:tc>
          <w:tcPr>
            <w:tcW w:w="540" w:type="pct"/>
            <w:gridSpan w:val="4"/>
            <w:vAlign w:val="center"/>
          </w:tcPr>
          <w:p w14:paraId="12B52E70" w14:textId="67F8B05F" w:rsidR="006B13EF" w:rsidRPr="003E7289" w:rsidRDefault="0012200A" w:rsidP="0012200A">
            <w:pPr>
              <w:spacing w:before="0" w:line="240" w:lineRule="auto"/>
              <w:rPr>
                <w:rFonts w:ascii="Arial" w:eastAsia="Aptos" w:hAnsi="Arial" w:cs="Arial"/>
                <w:b/>
                <w:bCs/>
                <w:sz w:val="20"/>
                <w:szCs w:val="20"/>
                <w:highlight w:val="yellow"/>
                <w:lang w:val="sq-AL" w:eastAsia="en-US"/>
              </w:rPr>
            </w:pPr>
            <w:r w:rsidRPr="003E7289">
              <w:rPr>
                <w:rFonts w:ascii="Arial" w:eastAsia="Aptos" w:hAnsi="Arial" w:cs="Arial"/>
                <w:sz w:val="20"/>
                <w:szCs w:val="20"/>
                <w:lang w:val="sq-AL"/>
              </w:rPr>
              <w:t>Ekziston Departamenti për Autoritetin e Rajonit të Pellgjeve Lumore</w:t>
            </w:r>
          </w:p>
        </w:tc>
        <w:tc>
          <w:tcPr>
            <w:tcW w:w="1374" w:type="pct"/>
            <w:gridSpan w:val="8"/>
            <w:vAlign w:val="center"/>
          </w:tcPr>
          <w:p w14:paraId="4BC33E60" w14:textId="02B9810B" w:rsidR="006B13EF" w:rsidRPr="003E7289" w:rsidRDefault="0012200A" w:rsidP="0012200A">
            <w:pPr>
              <w:spacing w:before="0" w:line="240" w:lineRule="auto"/>
              <w:rPr>
                <w:rFonts w:ascii="Arial" w:eastAsia="Aptos" w:hAnsi="Arial" w:cs="Arial"/>
                <w:b/>
                <w:bCs/>
                <w:sz w:val="20"/>
                <w:szCs w:val="20"/>
                <w:highlight w:val="yellow"/>
                <w:lang w:val="sq-AL" w:eastAsia="en-US"/>
              </w:rPr>
            </w:pPr>
            <w:r w:rsidRPr="003E7289">
              <w:rPr>
                <w:rFonts w:ascii="Arial" w:eastAsia="Aptos" w:hAnsi="Arial" w:cs="Arial"/>
                <w:sz w:val="20"/>
                <w:szCs w:val="20"/>
                <w:lang w:val="sq-AL"/>
              </w:rPr>
              <w:t>Është propozuar struktura organizative dhe ka filluar planifikimi i burimeve njerëzore</w:t>
            </w:r>
          </w:p>
        </w:tc>
        <w:tc>
          <w:tcPr>
            <w:tcW w:w="546" w:type="pct"/>
            <w:gridSpan w:val="3"/>
            <w:vAlign w:val="center"/>
          </w:tcPr>
          <w:p w14:paraId="1C3CD1DA" w14:textId="70EE2295" w:rsidR="006B13EF" w:rsidRPr="003E7289" w:rsidRDefault="0012200A" w:rsidP="0012200A">
            <w:pPr>
              <w:spacing w:before="0" w:line="240" w:lineRule="auto"/>
              <w:rPr>
                <w:rFonts w:ascii="Arial" w:eastAsia="Aptos" w:hAnsi="Arial" w:cs="Arial"/>
                <w:b/>
                <w:bCs/>
                <w:sz w:val="20"/>
                <w:szCs w:val="20"/>
                <w:highlight w:val="yellow"/>
                <w:lang w:val="sq-AL" w:eastAsia="en-US"/>
              </w:rPr>
            </w:pPr>
            <w:r w:rsidRPr="003E7289">
              <w:rPr>
                <w:rFonts w:ascii="Arial" w:eastAsia="Aptos" w:hAnsi="Arial" w:cs="Arial"/>
                <w:sz w:val="20"/>
                <w:szCs w:val="20"/>
                <w:lang w:val="sq-AL"/>
              </w:rPr>
              <w:t>Punët përgatitore për strukturën organizative të WRMA përfundojnë. Agjencia është e funksionalizuar dhe e stafuar plotësisht</w:t>
            </w:r>
          </w:p>
        </w:tc>
        <w:tc>
          <w:tcPr>
            <w:tcW w:w="1589" w:type="pct"/>
            <w:gridSpan w:val="5"/>
            <w:vAlign w:val="center"/>
          </w:tcPr>
          <w:p w14:paraId="644B5E07" w14:textId="25697980" w:rsidR="006B13EF" w:rsidRPr="003E7289" w:rsidRDefault="0012200A" w:rsidP="00A70686">
            <w:pPr>
              <w:spacing w:before="0" w:line="240" w:lineRule="auto"/>
              <w:rPr>
                <w:rFonts w:ascii="Arial" w:eastAsia="Aptos" w:hAnsi="Arial" w:cs="Arial"/>
                <w:b/>
                <w:bCs/>
                <w:sz w:val="20"/>
                <w:szCs w:val="20"/>
                <w:highlight w:val="yellow"/>
                <w:lang w:val="sq-AL" w:eastAsia="en-US"/>
              </w:rPr>
            </w:pPr>
            <w:r w:rsidRPr="003E7289">
              <w:rPr>
                <w:rFonts w:ascii="Arial" w:eastAsia="Aptos" w:hAnsi="Arial" w:cs="Arial"/>
                <w:sz w:val="20"/>
                <w:szCs w:val="20"/>
                <w:lang w:val="sq-AL"/>
              </w:rPr>
              <w:t>Me staf të plotë.</w:t>
            </w:r>
          </w:p>
        </w:tc>
      </w:tr>
      <w:tr w:rsidR="00C65386" w:rsidRPr="003E7289" w14:paraId="5E9DC6F6" w14:textId="77777777" w:rsidTr="00C65386">
        <w:trPr>
          <w:cantSplit/>
          <w:trHeight w:val="20"/>
        </w:trPr>
        <w:tc>
          <w:tcPr>
            <w:tcW w:w="250" w:type="pct"/>
            <w:vMerge w:val="restart"/>
            <w:shd w:val="clear" w:color="auto" w:fill="C6E7F6"/>
            <w:vAlign w:val="center"/>
          </w:tcPr>
          <w:p w14:paraId="06884A23" w14:textId="48C26329"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Nr.</w:t>
            </w:r>
          </w:p>
        </w:tc>
        <w:tc>
          <w:tcPr>
            <w:tcW w:w="676" w:type="pct"/>
            <w:gridSpan w:val="4"/>
            <w:vMerge w:val="restart"/>
            <w:shd w:val="clear" w:color="auto" w:fill="C6E7F6"/>
            <w:vAlign w:val="center"/>
          </w:tcPr>
          <w:p w14:paraId="3590D7A3" w14:textId="416636E5" w:rsidR="000D1635" w:rsidRPr="003E7289" w:rsidRDefault="000D1635" w:rsidP="000D1635">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Veprimi</w:t>
            </w:r>
          </w:p>
        </w:tc>
        <w:tc>
          <w:tcPr>
            <w:tcW w:w="540" w:type="pct"/>
            <w:gridSpan w:val="4"/>
            <w:vMerge w:val="restart"/>
            <w:shd w:val="clear" w:color="auto" w:fill="C6E7F6"/>
            <w:vAlign w:val="center"/>
          </w:tcPr>
          <w:p w14:paraId="10AD6787" w14:textId="13E4F2C3"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Afati I fundit</w:t>
            </w:r>
          </w:p>
        </w:tc>
        <w:tc>
          <w:tcPr>
            <w:tcW w:w="1374" w:type="pct"/>
            <w:gridSpan w:val="8"/>
            <w:shd w:val="clear" w:color="auto" w:fill="C6E7F6"/>
            <w:vAlign w:val="center"/>
          </w:tcPr>
          <w:p w14:paraId="67695B51" w14:textId="69512A5C"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Buxheti</w:t>
            </w:r>
          </w:p>
        </w:tc>
        <w:tc>
          <w:tcPr>
            <w:tcW w:w="546" w:type="pct"/>
            <w:gridSpan w:val="3"/>
            <w:vMerge w:val="restart"/>
            <w:shd w:val="clear" w:color="auto" w:fill="C6E7F6"/>
            <w:vAlign w:val="center"/>
          </w:tcPr>
          <w:p w14:paraId="4FE111E2" w14:textId="5B8F630D"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Burimi i financimit</w:t>
            </w:r>
          </w:p>
        </w:tc>
        <w:tc>
          <w:tcPr>
            <w:tcW w:w="681" w:type="pct"/>
            <w:gridSpan w:val="3"/>
            <w:vMerge w:val="restart"/>
            <w:shd w:val="clear" w:color="auto" w:fill="C6E7F6"/>
            <w:vAlign w:val="center"/>
          </w:tcPr>
          <w:p w14:paraId="0877F4AE" w14:textId="42952D86"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Institucionet përgjegjëse dhe partnere</w:t>
            </w:r>
          </w:p>
        </w:tc>
        <w:tc>
          <w:tcPr>
            <w:tcW w:w="514" w:type="pct"/>
            <w:vMerge w:val="restart"/>
            <w:shd w:val="clear" w:color="auto" w:fill="C6E7F6"/>
            <w:vAlign w:val="center"/>
          </w:tcPr>
          <w:p w14:paraId="7CF26810" w14:textId="534387D4"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Rezultati i pritur</w:t>
            </w:r>
          </w:p>
        </w:tc>
        <w:tc>
          <w:tcPr>
            <w:tcW w:w="394" w:type="pct"/>
            <w:vMerge w:val="restart"/>
            <w:shd w:val="clear" w:color="auto" w:fill="C6E7F6"/>
            <w:vAlign w:val="center"/>
          </w:tcPr>
          <w:p w14:paraId="7A8F1822" w14:textId="0D368BDB"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Dokumenti strategjik referues</w:t>
            </w:r>
          </w:p>
        </w:tc>
      </w:tr>
      <w:tr w:rsidR="00C65386" w:rsidRPr="003E7289" w14:paraId="62240102" w14:textId="77777777" w:rsidTr="00C65386">
        <w:trPr>
          <w:cantSplit/>
          <w:trHeight w:val="20"/>
        </w:trPr>
        <w:tc>
          <w:tcPr>
            <w:tcW w:w="250" w:type="pct"/>
            <w:vMerge/>
            <w:vAlign w:val="center"/>
          </w:tcPr>
          <w:p w14:paraId="65E6B9E2" w14:textId="77777777" w:rsidR="006B13EF" w:rsidRPr="003E7289" w:rsidRDefault="006B13EF" w:rsidP="00A70686">
            <w:pPr>
              <w:spacing w:before="0" w:line="240" w:lineRule="auto"/>
              <w:jc w:val="center"/>
              <w:rPr>
                <w:rFonts w:ascii="Arial" w:eastAsia="Aptos" w:hAnsi="Arial" w:cs="Arial"/>
                <w:sz w:val="20"/>
                <w:szCs w:val="20"/>
                <w:lang w:val="sq-AL" w:eastAsia="en-US"/>
              </w:rPr>
            </w:pPr>
          </w:p>
        </w:tc>
        <w:tc>
          <w:tcPr>
            <w:tcW w:w="676" w:type="pct"/>
            <w:gridSpan w:val="4"/>
            <w:vMerge/>
            <w:vAlign w:val="center"/>
          </w:tcPr>
          <w:p w14:paraId="5F76103B"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p>
        </w:tc>
        <w:tc>
          <w:tcPr>
            <w:tcW w:w="540" w:type="pct"/>
            <w:gridSpan w:val="4"/>
            <w:vMerge/>
            <w:vAlign w:val="center"/>
          </w:tcPr>
          <w:p w14:paraId="4F598E4F"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p>
        </w:tc>
        <w:tc>
          <w:tcPr>
            <w:tcW w:w="445" w:type="pct"/>
            <w:gridSpan w:val="3"/>
            <w:shd w:val="clear" w:color="auto" w:fill="C6E7F6"/>
            <w:vAlign w:val="center"/>
          </w:tcPr>
          <w:p w14:paraId="39B55599"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2026</w:t>
            </w:r>
          </w:p>
        </w:tc>
        <w:tc>
          <w:tcPr>
            <w:tcW w:w="381" w:type="pct"/>
            <w:gridSpan w:val="2"/>
            <w:shd w:val="clear" w:color="auto" w:fill="C6E7F6"/>
            <w:vAlign w:val="center"/>
          </w:tcPr>
          <w:p w14:paraId="7CA1B3CF"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2027</w:t>
            </w:r>
          </w:p>
        </w:tc>
        <w:tc>
          <w:tcPr>
            <w:tcW w:w="548" w:type="pct"/>
            <w:gridSpan w:val="3"/>
            <w:shd w:val="clear" w:color="auto" w:fill="C6E7F6"/>
            <w:vAlign w:val="center"/>
          </w:tcPr>
          <w:p w14:paraId="627BF53F"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2028</w:t>
            </w:r>
          </w:p>
        </w:tc>
        <w:tc>
          <w:tcPr>
            <w:tcW w:w="546" w:type="pct"/>
            <w:gridSpan w:val="3"/>
            <w:vMerge/>
            <w:vAlign w:val="center"/>
          </w:tcPr>
          <w:p w14:paraId="487C6533"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p>
        </w:tc>
        <w:tc>
          <w:tcPr>
            <w:tcW w:w="681" w:type="pct"/>
            <w:gridSpan w:val="3"/>
            <w:vMerge/>
            <w:vAlign w:val="center"/>
          </w:tcPr>
          <w:p w14:paraId="67434445"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p>
        </w:tc>
        <w:tc>
          <w:tcPr>
            <w:tcW w:w="514" w:type="pct"/>
            <w:vMerge/>
            <w:vAlign w:val="center"/>
          </w:tcPr>
          <w:p w14:paraId="1A9EF6BE"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p>
        </w:tc>
        <w:tc>
          <w:tcPr>
            <w:tcW w:w="394" w:type="pct"/>
            <w:vMerge/>
            <w:vAlign w:val="center"/>
          </w:tcPr>
          <w:p w14:paraId="5F6C8B2C" w14:textId="77777777" w:rsidR="006B13EF" w:rsidRPr="003E7289" w:rsidRDefault="006B13EF" w:rsidP="00A70686">
            <w:pPr>
              <w:spacing w:before="0" w:line="240" w:lineRule="auto"/>
              <w:jc w:val="center"/>
              <w:rPr>
                <w:rFonts w:ascii="Arial" w:eastAsia="Aptos" w:hAnsi="Arial" w:cs="Arial"/>
                <w:b/>
                <w:bCs/>
                <w:sz w:val="20"/>
                <w:szCs w:val="20"/>
                <w:highlight w:val="yellow"/>
                <w:lang w:val="sq-AL" w:eastAsia="en-US"/>
              </w:rPr>
            </w:pPr>
          </w:p>
        </w:tc>
      </w:tr>
      <w:tr w:rsidR="004807C9" w:rsidRPr="003E7289" w14:paraId="5F0AFA0D" w14:textId="77777777" w:rsidTr="00C65386">
        <w:trPr>
          <w:cantSplit/>
          <w:trHeight w:val="20"/>
        </w:trPr>
        <w:tc>
          <w:tcPr>
            <w:tcW w:w="250" w:type="pct"/>
            <w:vAlign w:val="center"/>
          </w:tcPr>
          <w:p w14:paraId="1A478464"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I.10.1.</w:t>
            </w:r>
          </w:p>
        </w:tc>
        <w:tc>
          <w:tcPr>
            <w:tcW w:w="676" w:type="pct"/>
            <w:gridSpan w:val="4"/>
            <w:vAlign w:val="center"/>
          </w:tcPr>
          <w:p w14:paraId="44AEC1ED" w14:textId="4407C770" w:rsidR="006B13EF" w:rsidRPr="003E7289" w:rsidRDefault="0012200A" w:rsidP="0012200A">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Hartimi i legjislacionit për menaxhimin e burimeve ujore</w:t>
            </w:r>
          </w:p>
        </w:tc>
        <w:tc>
          <w:tcPr>
            <w:tcW w:w="540" w:type="pct"/>
            <w:gridSpan w:val="4"/>
            <w:vAlign w:val="center"/>
          </w:tcPr>
          <w:p w14:paraId="7F527384" w14:textId="77777777" w:rsidR="006B13EF" w:rsidRPr="003E7289" w:rsidRDefault="006B13EF" w:rsidP="00A70686">
            <w:pPr>
              <w:spacing w:before="0" w:line="240" w:lineRule="auto"/>
              <w:jc w:val="center"/>
              <w:rPr>
                <w:rFonts w:ascii="Arial" w:eastAsia="Aptos" w:hAnsi="Arial" w:cs="Arial"/>
                <w:bCs/>
                <w:sz w:val="20"/>
                <w:szCs w:val="20"/>
                <w:lang w:val="sq-AL" w:eastAsia="en-US"/>
              </w:rPr>
            </w:pPr>
            <w:r w:rsidRPr="003E7289">
              <w:rPr>
                <w:rFonts w:ascii="Arial" w:eastAsia="Aptos" w:hAnsi="Arial" w:cs="Arial"/>
                <w:bCs/>
                <w:sz w:val="20"/>
                <w:szCs w:val="20"/>
                <w:lang w:val="sq-AL"/>
              </w:rPr>
              <w:t>2030</w:t>
            </w:r>
          </w:p>
        </w:tc>
        <w:tc>
          <w:tcPr>
            <w:tcW w:w="445" w:type="pct"/>
            <w:gridSpan w:val="3"/>
            <w:vAlign w:val="center"/>
          </w:tcPr>
          <w:p w14:paraId="192687AA"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hAnsi="Arial" w:cs="Arial"/>
                <w:sz w:val="20"/>
                <w:szCs w:val="20"/>
                <w:lang w:val="sq-AL"/>
              </w:rPr>
              <w:t>≈ €0.15 mil</w:t>
            </w:r>
          </w:p>
        </w:tc>
        <w:tc>
          <w:tcPr>
            <w:tcW w:w="381" w:type="pct"/>
            <w:gridSpan w:val="2"/>
            <w:vAlign w:val="center"/>
          </w:tcPr>
          <w:p w14:paraId="762F5035"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hAnsi="Arial" w:cs="Arial"/>
                <w:sz w:val="20"/>
                <w:szCs w:val="20"/>
                <w:lang w:val="sq-AL"/>
              </w:rPr>
              <w:t xml:space="preserve">≈ €0.15 mil </w:t>
            </w:r>
          </w:p>
        </w:tc>
        <w:tc>
          <w:tcPr>
            <w:tcW w:w="548" w:type="pct"/>
            <w:gridSpan w:val="3"/>
            <w:vAlign w:val="center"/>
          </w:tcPr>
          <w:p w14:paraId="1024FE16"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hAnsi="Arial" w:cs="Arial"/>
                <w:sz w:val="20"/>
                <w:szCs w:val="20"/>
                <w:lang w:val="sq-AL"/>
              </w:rPr>
              <w:t>-</w:t>
            </w:r>
          </w:p>
        </w:tc>
        <w:tc>
          <w:tcPr>
            <w:tcW w:w="546" w:type="pct"/>
            <w:gridSpan w:val="3"/>
            <w:vAlign w:val="center"/>
          </w:tcPr>
          <w:p w14:paraId="76345D24" w14:textId="5FEC06F9" w:rsidR="006B13EF" w:rsidRPr="003E7289" w:rsidRDefault="0012200A" w:rsidP="0012200A">
            <w:pPr>
              <w:spacing w:before="0" w:line="240" w:lineRule="auto"/>
              <w:jc w:val="center"/>
              <w:rPr>
                <w:rFonts w:ascii="Arial" w:eastAsia="Aptos" w:hAnsi="Arial" w:cs="Arial"/>
                <w:sz w:val="20"/>
                <w:szCs w:val="20"/>
                <w:highlight w:val="yellow"/>
                <w:lang w:val="sq-AL" w:eastAsia="en-US"/>
              </w:rPr>
            </w:pPr>
            <w:r w:rsidRPr="003E7289">
              <w:rPr>
                <w:rFonts w:ascii="Arial" w:eastAsia="Aptos" w:hAnsi="Arial" w:cs="Arial"/>
                <w:sz w:val="20"/>
                <w:szCs w:val="20"/>
                <w:lang w:val="sq-AL"/>
              </w:rPr>
              <w:t>Qeveria e Kosovës / MMPHI</w:t>
            </w:r>
          </w:p>
        </w:tc>
        <w:tc>
          <w:tcPr>
            <w:tcW w:w="681" w:type="pct"/>
            <w:gridSpan w:val="3"/>
            <w:vAlign w:val="center"/>
          </w:tcPr>
          <w:p w14:paraId="51E63566" w14:textId="7BA97738" w:rsidR="006B13EF" w:rsidRPr="003E7289" w:rsidRDefault="0012200A" w:rsidP="0012200A">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Ministria e Mjedisit, Planifikimit Hapësinor dhe Infrastrukturës</w:t>
            </w:r>
          </w:p>
        </w:tc>
        <w:tc>
          <w:tcPr>
            <w:tcW w:w="514" w:type="pct"/>
            <w:vAlign w:val="center"/>
          </w:tcPr>
          <w:p w14:paraId="079B65B2" w14:textId="1B25CEEB" w:rsidR="006B13EF" w:rsidRPr="003E7289" w:rsidRDefault="0012200A" w:rsidP="0012200A">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Ligji i ri për Menaxhimin e Burimeve Ujore i miratuar</w:t>
            </w:r>
          </w:p>
        </w:tc>
        <w:tc>
          <w:tcPr>
            <w:tcW w:w="394" w:type="pct"/>
            <w:vAlign w:val="center"/>
          </w:tcPr>
          <w:p w14:paraId="6F9916C2" w14:textId="3FFC6B3E" w:rsidR="006B13EF" w:rsidRPr="003E7289" w:rsidRDefault="00BE39C7" w:rsidP="00A70686">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Strategjia</w:t>
            </w:r>
            <w:r w:rsidR="0012200A" w:rsidRPr="003E7289">
              <w:rPr>
                <w:rFonts w:ascii="Arial" w:eastAsia="Aptos" w:hAnsi="Arial" w:cs="Arial"/>
                <w:sz w:val="20"/>
                <w:szCs w:val="20"/>
                <w:lang w:val="sq-AL"/>
              </w:rPr>
              <w:t xml:space="preserve"> Kombëtare e Ujit 2017–2035</w:t>
            </w:r>
          </w:p>
        </w:tc>
      </w:tr>
      <w:tr w:rsidR="004807C9" w:rsidRPr="003E7289" w14:paraId="641711A2" w14:textId="77777777" w:rsidTr="00C65386">
        <w:trPr>
          <w:cantSplit/>
          <w:trHeight w:val="20"/>
        </w:trPr>
        <w:tc>
          <w:tcPr>
            <w:tcW w:w="250" w:type="pct"/>
            <w:vAlign w:val="center"/>
          </w:tcPr>
          <w:p w14:paraId="43279C04" w14:textId="77777777" w:rsidR="0012200A" w:rsidRPr="003E7289" w:rsidRDefault="0012200A" w:rsidP="0012200A">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I.10.2.</w:t>
            </w:r>
          </w:p>
        </w:tc>
        <w:tc>
          <w:tcPr>
            <w:tcW w:w="676" w:type="pct"/>
            <w:gridSpan w:val="4"/>
            <w:vAlign w:val="center"/>
          </w:tcPr>
          <w:p w14:paraId="61991061" w14:textId="5D115D71" w:rsidR="0012200A" w:rsidRPr="003E7289" w:rsidRDefault="0012200A" w:rsidP="0012200A">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Hartimi i akteve nënligjore për menaxhimin e burimeve ujore</w:t>
            </w:r>
          </w:p>
        </w:tc>
        <w:tc>
          <w:tcPr>
            <w:tcW w:w="540" w:type="pct"/>
            <w:gridSpan w:val="4"/>
            <w:vAlign w:val="center"/>
          </w:tcPr>
          <w:p w14:paraId="48164BA7" w14:textId="77777777" w:rsidR="0012200A" w:rsidRPr="003E7289" w:rsidRDefault="0012200A" w:rsidP="0012200A">
            <w:pPr>
              <w:spacing w:before="0" w:line="240" w:lineRule="auto"/>
              <w:jc w:val="center"/>
              <w:rPr>
                <w:rFonts w:ascii="Arial" w:eastAsia="Aptos" w:hAnsi="Arial" w:cs="Arial"/>
                <w:bCs/>
                <w:sz w:val="20"/>
                <w:szCs w:val="20"/>
                <w:lang w:val="sq-AL" w:eastAsia="en-US"/>
              </w:rPr>
            </w:pPr>
            <w:r w:rsidRPr="003E7289">
              <w:rPr>
                <w:rFonts w:ascii="Arial" w:eastAsia="Aptos" w:hAnsi="Arial" w:cs="Arial"/>
                <w:bCs/>
                <w:sz w:val="20"/>
                <w:szCs w:val="20"/>
                <w:lang w:val="sq-AL"/>
              </w:rPr>
              <w:t>2040</w:t>
            </w:r>
          </w:p>
        </w:tc>
        <w:tc>
          <w:tcPr>
            <w:tcW w:w="445" w:type="pct"/>
            <w:gridSpan w:val="3"/>
            <w:vAlign w:val="center"/>
          </w:tcPr>
          <w:p w14:paraId="1A612D85" w14:textId="77777777" w:rsidR="0012200A" w:rsidRPr="003E7289" w:rsidRDefault="0012200A" w:rsidP="0012200A">
            <w:pPr>
              <w:spacing w:before="0" w:line="240" w:lineRule="auto"/>
              <w:jc w:val="center"/>
              <w:rPr>
                <w:rFonts w:ascii="Arial" w:eastAsia="Aptos" w:hAnsi="Arial" w:cs="Arial"/>
                <w:b/>
                <w:bCs/>
                <w:sz w:val="20"/>
                <w:szCs w:val="20"/>
                <w:highlight w:val="yellow"/>
                <w:lang w:val="sq-AL" w:eastAsia="en-US"/>
              </w:rPr>
            </w:pPr>
            <w:r w:rsidRPr="003E7289">
              <w:rPr>
                <w:rFonts w:ascii="Arial" w:hAnsi="Arial" w:cs="Arial"/>
                <w:sz w:val="20"/>
                <w:szCs w:val="20"/>
                <w:lang w:val="sq-AL"/>
              </w:rPr>
              <w:t>-</w:t>
            </w:r>
          </w:p>
        </w:tc>
        <w:tc>
          <w:tcPr>
            <w:tcW w:w="381" w:type="pct"/>
            <w:gridSpan w:val="2"/>
            <w:vAlign w:val="center"/>
          </w:tcPr>
          <w:p w14:paraId="1D1C17B8" w14:textId="77777777" w:rsidR="0012200A" w:rsidRPr="003E7289" w:rsidRDefault="0012200A" w:rsidP="0012200A">
            <w:pPr>
              <w:spacing w:before="0" w:line="240" w:lineRule="auto"/>
              <w:jc w:val="center"/>
              <w:rPr>
                <w:rFonts w:ascii="Arial" w:eastAsia="Aptos" w:hAnsi="Arial" w:cs="Arial"/>
                <w:b/>
                <w:bCs/>
                <w:sz w:val="20"/>
                <w:szCs w:val="20"/>
                <w:highlight w:val="yellow"/>
                <w:lang w:val="sq-AL" w:eastAsia="en-US"/>
              </w:rPr>
            </w:pPr>
            <w:r w:rsidRPr="003E7289">
              <w:rPr>
                <w:rFonts w:ascii="Arial" w:hAnsi="Arial" w:cs="Arial"/>
                <w:sz w:val="20"/>
                <w:szCs w:val="20"/>
                <w:lang w:val="sq-AL"/>
              </w:rPr>
              <w:t xml:space="preserve">≈ €0.15 mil </w:t>
            </w:r>
          </w:p>
        </w:tc>
        <w:tc>
          <w:tcPr>
            <w:tcW w:w="548" w:type="pct"/>
            <w:gridSpan w:val="3"/>
            <w:vAlign w:val="center"/>
          </w:tcPr>
          <w:p w14:paraId="59C69D7F" w14:textId="77777777" w:rsidR="0012200A" w:rsidRPr="003E7289" w:rsidRDefault="0012200A" w:rsidP="0012200A">
            <w:pPr>
              <w:spacing w:before="0" w:line="240" w:lineRule="auto"/>
              <w:jc w:val="center"/>
              <w:rPr>
                <w:rFonts w:ascii="Arial" w:eastAsia="Aptos" w:hAnsi="Arial" w:cs="Arial"/>
                <w:b/>
                <w:bCs/>
                <w:sz w:val="20"/>
                <w:szCs w:val="20"/>
                <w:highlight w:val="yellow"/>
                <w:lang w:val="sq-AL" w:eastAsia="en-US"/>
              </w:rPr>
            </w:pPr>
            <w:r w:rsidRPr="003E7289">
              <w:rPr>
                <w:rFonts w:ascii="Arial" w:hAnsi="Arial" w:cs="Arial"/>
                <w:sz w:val="20"/>
                <w:szCs w:val="20"/>
                <w:lang w:val="sq-AL"/>
              </w:rPr>
              <w:t xml:space="preserve">≈ €0.25 mil </w:t>
            </w:r>
          </w:p>
        </w:tc>
        <w:tc>
          <w:tcPr>
            <w:tcW w:w="546" w:type="pct"/>
            <w:gridSpan w:val="3"/>
            <w:vAlign w:val="center"/>
          </w:tcPr>
          <w:p w14:paraId="3394FF0F" w14:textId="4F26ACB6" w:rsidR="0012200A" w:rsidRPr="003E7289" w:rsidRDefault="0012200A" w:rsidP="0012200A">
            <w:pPr>
              <w:spacing w:before="0" w:line="240" w:lineRule="auto"/>
              <w:jc w:val="center"/>
              <w:rPr>
                <w:rFonts w:ascii="Arial" w:eastAsia="Aptos" w:hAnsi="Arial" w:cs="Arial"/>
                <w:sz w:val="20"/>
                <w:szCs w:val="20"/>
                <w:highlight w:val="yellow"/>
                <w:lang w:val="sq-AL" w:eastAsia="en-US"/>
              </w:rPr>
            </w:pPr>
            <w:r w:rsidRPr="003E7289">
              <w:rPr>
                <w:rFonts w:ascii="Arial" w:eastAsia="Aptos" w:hAnsi="Arial" w:cs="Arial"/>
                <w:sz w:val="20"/>
                <w:szCs w:val="20"/>
                <w:lang w:val="sq-AL"/>
              </w:rPr>
              <w:t>Qeveria e Kosovës / MMPHI</w:t>
            </w:r>
          </w:p>
        </w:tc>
        <w:tc>
          <w:tcPr>
            <w:tcW w:w="681" w:type="pct"/>
            <w:gridSpan w:val="3"/>
          </w:tcPr>
          <w:p w14:paraId="7609A7D4" w14:textId="78D15E3E" w:rsidR="0012200A" w:rsidRPr="003E7289" w:rsidRDefault="0012200A" w:rsidP="0012200A">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Ministria e Mjedisit, Planifikimit Hapësinor dhe Infrastrukturës</w:t>
            </w:r>
          </w:p>
        </w:tc>
        <w:tc>
          <w:tcPr>
            <w:tcW w:w="514" w:type="pct"/>
            <w:vAlign w:val="center"/>
          </w:tcPr>
          <w:p w14:paraId="6B7877DC" w14:textId="61113187" w:rsidR="0012200A" w:rsidRPr="003E7289" w:rsidRDefault="0012200A" w:rsidP="0012200A">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Aktet nënligjore të miratuara</w:t>
            </w:r>
          </w:p>
        </w:tc>
        <w:tc>
          <w:tcPr>
            <w:tcW w:w="394" w:type="pct"/>
          </w:tcPr>
          <w:p w14:paraId="079B18E7" w14:textId="51AB0F5A" w:rsidR="0012200A" w:rsidRPr="003E7289" w:rsidRDefault="00BE39C7" w:rsidP="0012200A">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Strategjia</w:t>
            </w:r>
            <w:r w:rsidR="0012200A" w:rsidRPr="003E7289">
              <w:rPr>
                <w:rFonts w:ascii="Arial" w:eastAsia="Aptos" w:hAnsi="Arial" w:cs="Arial"/>
                <w:sz w:val="20"/>
                <w:szCs w:val="20"/>
                <w:lang w:val="sq-AL"/>
              </w:rPr>
              <w:t xml:space="preserve"> Kombëtare e Ujit 2017–2035</w:t>
            </w:r>
          </w:p>
        </w:tc>
      </w:tr>
      <w:tr w:rsidR="004807C9" w:rsidRPr="003E7289" w14:paraId="6959CED8" w14:textId="77777777" w:rsidTr="00C65386">
        <w:trPr>
          <w:cantSplit/>
          <w:trHeight w:val="20"/>
        </w:trPr>
        <w:tc>
          <w:tcPr>
            <w:tcW w:w="250" w:type="pct"/>
            <w:vAlign w:val="center"/>
          </w:tcPr>
          <w:p w14:paraId="640C6B23" w14:textId="77777777" w:rsidR="0012200A" w:rsidRPr="003E7289" w:rsidRDefault="0012200A" w:rsidP="0012200A">
            <w:pPr>
              <w:spacing w:before="0" w:line="240" w:lineRule="auto"/>
              <w:jc w:val="center"/>
              <w:rPr>
                <w:rFonts w:ascii="Arial" w:eastAsia="Aptos" w:hAnsi="Arial" w:cs="Arial"/>
                <w:b/>
                <w:bCs/>
                <w:sz w:val="20"/>
                <w:szCs w:val="20"/>
                <w:highlight w:val="green"/>
                <w:lang w:val="sq-AL" w:eastAsia="en-US"/>
              </w:rPr>
            </w:pPr>
            <w:r w:rsidRPr="003E7289">
              <w:rPr>
                <w:rFonts w:ascii="Arial" w:eastAsia="Aptos" w:hAnsi="Arial" w:cs="Arial"/>
                <w:b/>
                <w:bCs/>
                <w:sz w:val="20"/>
                <w:szCs w:val="20"/>
                <w:lang w:val="sq-AL"/>
              </w:rPr>
              <w:t>I.10.3.</w:t>
            </w:r>
          </w:p>
        </w:tc>
        <w:tc>
          <w:tcPr>
            <w:tcW w:w="676" w:type="pct"/>
            <w:gridSpan w:val="4"/>
            <w:vAlign w:val="center"/>
          </w:tcPr>
          <w:p w14:paraId="4B76FE26" w14:textId="7F545E00" w:rsidR="0012200A" w:rsidRPr="003E7289" w:rsidRDefault="0012200A" w:rsidP="0012200A">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Themelimi i Agjencisë për Menaxhimin e Resurseve Ujore (WRMA)</w:t>
            </w:r>
          </w:p>
        </w:tc>
        <w:tc>
          <w:tcPr>
            <w:tcW w:w="540" w:type="pct"/>
            <w:gridSpan w:val="4"/>
            <w:vAlign w:val="center"/>
          </w:tcPr>
          <w:p w14:paraId="2F00C8E1" w14:textId="77777777" w:rsidR="0012200A" w:rsidRPr="003E7289" w:rsidRDefault="0012200A" w:rsidP="0012200A">
            <w:pPr>
              <w:spacing w:before="0" w:line="240" w:lineRule="auto"/>
              <w:jc w:val="center"/>
              <w:rPr>
                <w:rFonts w:ascii="Arial" w:eastAsia="Aptos" w:hAnsi="Arial" w:cs="Arial"/>
                <w:bCs/>
                <w:sz w:val="20"/>
                <w:szCs w:val="20"/>
                <w:lang w:val="sq-AL" w:eastAsia="en-US"/>
              </w:rPr>
            </w:pPr>
            <w:r w:rsidRPr="003E7289">
              <w:rPr>
                <w:rFonts w:ascii="Arial" w:eastAsia="Aptos" w:hAnsi="Arial" w:cs="Arial"/>
                <w:bCs/>
                <w:sz w:val="20"/>
                <w:szCs w:val="20"/>
                <w:lang w:val="sq-AL"/>
              </w:rPr>
              <w:t>2040</w:t>
            </w:r>
          </w:p>
        </w:tc>
        <w:tc>
          <w:tcPr>
            <w:tcW w:w="445" w:type="pct"/>
            <w:gridSpan w:val="3"/>
            <w:vAlign w:val="center"/>
          </w:tcPr>
          <w:p w14:paraId="4C2727BE" w14:textId="77777777" w:rsidR="0012200A" w:rsidRPr="003E7289" w:rsidRDefault="0012200A" w:rsidP="0012200A">
            <w:pPr>
              <w:spacing w:before="0" w:line="240" w:lineRule="auto"/>
              <w:jc w:val="center"/>
              <w:rPr>
                <w:rFonts w:ascii="Arial" w:eastAsia="Aptos" w:hAnsi="Arial" w:cs="Arial"/>
                <w:b/>
                <w:bCs/>
                <w:sz w:val="20"/>
                <w:szCs w:val="20"/>
                <w:highlight w:val="yellow"/>
                <w:lang w:val="sq-AL" w:eastAsia="en-US"/>
              </w:rPr>
            </w:pPr>
            <w:r w:rsidRPr="003E7289">
              <w:rPr>
                <w:rFonts w:ascii="Arial" w:hAnsi="Arial" w:cs="Arial"/>
                <w:sz w:val="20"/>
                <w:szCs w:val="20"/>
                <w:lang w:val="sq-AL"/>
              </w:rPr>
              <w:t>-</w:t>
            </w:r>
          </w:p>
        </w:tc>
        <w:tc>
          <w:tcPr>
            <w:tcW w:w="381" w:type="pct"/>
            <w:gridSpan w:val="2"/>
            <w:vAlign w:val="center"/>
          </w:tcPr>
          <w:p w14:paraId="152C9338" w14:textId="77777777" w:rsidR="0012200A" w:rsidRPr="003E7289" w:rsidRDefault="0012200A" w:rsidP="0012200A">
            <w:pPr>
              <w:spacing w:before="0" w:line="240" w:lineRule="auto"/>
              <w:jc w:val="center"/>
              <w:rPr>
                <w:rFonts w:ascii="Arial" w:eastAsia="Aptos" w:hAnsi="Arial" w:cs="Arial"/>
                <w:b/>
                <w:bCs/>
                <w:sz w:val="20"/>
                <w:szCs w:val="20"/>
                <w:highlight w:val="yellow"/>
                <w:lang w:val="sq-AL" w:eastAsia="en-US"/>
              </w:rPr>
            </w:pPr>
            <w:r w:rsidRPr="003E7289">
              <w:rPr>
                <w:rFonts w:ascii="Arial" w:hAnsi="Arial" w:cs="Arial"/>
                <w:sz w:val="20"/>
                <w:szCs w:val="20"/>
                <w:lang w:val="sq-AL"/>
              </w:rPr>
              <w:t>≈ €0.5 mil</w:t>
            </w:r>
          </w:p>
        </w:tc>
        <w:tc>
          <w:tcPr>
            <w:tcW w:w="548" w:type="pct"/>
            <w:gridSpan w:val="3"/>
            <w:vAlign w:val="center"/>
          </w:tcPr>
          <w:p w14:paraId="6A189419" w14:textId="77777777" w:rsidR="0012200A" w:rsidRPr="003E7289" w:rsidRDefault="0012200A" w:rsidP="0012200A">
            <w:pPr>
              <w:spacing w:before="0" w:line="240" w:lineRule="auto"/>
              <w:jc w:val="center"/>
              <w:rPr>
                <w:rFonts w:ascii="Arial" w:eastAsia="Aptos" w:hAnsi="Arial" w:cs="Arial"/>
                <w:b/>
                <w:bCs/>
                <w:sz w:val="20"/>
                <w:szCs w:val="20"/>
                <w:highlight w:val="yellow"/>
                <w:lang w:val="sq-AL" w:eastAsia="en-US"/>
              </w:rPr>
            </w:pPr>
            <w:r w:rsidRPr="003E7289">
              <w:rPr>
                <w:rFonts w:ascii="Arial" w:hAnsi="Arial" w:cs="Arial"/>
                <w:sz w:val="20"/>
                <w:szCs w:val="20"/>
                <w:lang w:val="sq-AL"/>
              </w:rPr>
              <w:t>≈ €1 mil</w:t>
            </w:r>
          </w:p>
        </w:tc>
        <w:tc>
          <w:tcPr>
            <w:tcW w:w="546" w:type="pct"/>
            <w:gridSpan w:val="3"/>
            <w:vAlign w:val="center"/>
          </w:tcPr>
          <w:p w14:paraId="4BF66B3B" w14:textId="1F3807A7" w:rsidR="0012200A" w:rsidRPr="003E7289" w:rsidRDefault="0012200A" w:rsidP="0012200A">
            <w:pPr>
              <w:spacing w:before="0" w:line="240" w:lineRule="auto"/>
              <w:jc w:val="center"/>
              <w:rPr>
                <w:rFonts w:ascii="Arial" w:eastAsia="Aptos" w:hAnsi="Arial" w:cs="Arial"/>
                <w:sz w:val="20"/>
                <w:szCs w:val="20"/>
                <w:highlight w:val="yellow"/>
                <w:lang w:val="sq-AL" w:eastAsia="en-US"/>
              </w:rPr>
            </w:pPr>
            <w:r w:rsidRPr="003E7289">
              <w:rPr>
                <w:rFonts w:ascii="Arial" w:eastAsia="Aptos" w:hAnsi="Arial" w:cs="Arial"/>
                <w:sz w:val="20"/>
                <w:szCs w:val="20"/>
                <w:lang w:val="sq-AL"/>
              </w:rPr>
              <w:t>Qeveria e Kosovës / MMPHI</w:t>
            </w:r>
          </w:p>
        </w:tc>
        <w:tc>
          <w:tcPr>
            <w:tcW w:w="681" w:type="pct"/>
            <w:gridSpan w:val="3"/>
          </w:tcPr>
          <w:p w14:paraId="477CA2B4" w14:textId="4E09EF27" w:rsidR="0012200A" w:rsidRPr="003E7289" w:rsidRDefault="0012200A" w:rsidP="0012200A">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Ministria e Mjedisit, Planifikimit Hapësinor dhe Infrastrukturës</w:t>
            </w:r>
          </w:p>
        </w:tc>
        <w:tc>
          <w:tcPr>
            <w:tcW w:w="514" w:type="pct"/>
            <w:vAlign w:val="center"/>
          </w:tcPr>
          <w:p w14:paraId="137ABF4A" w14:textId="760D32FA" w:rsidR="0012200A" w:rsidRPr="003E7289" w:rsidRDefault="0012200A" w:rsidP="0012200A">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WRMA e themeluar dhe e stafuar plotësisht</w:t>
            </w:r>
          </w:p>
        </w:tc>
        <w:tc>
          <w:tcPr>
            <w:tcW w:w="394" w:type="pct"/>
          </w:tcPr>
          <w:p w14:paraId="670942F0" w14:textId="2A78C3C4" w:rsidR="0012200A" w:rsidRPr="003E7289" w:rsidRDefault="00BE39C7" w:rsidP="0012200A">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Strategjia</w:t>
            </w:r>
            <w:r w:rsidR="0012200A" w:rsidRPr="003E7289">
              <w:rPr>
                <w:rFonts w:ascii="Arial" w:eastAsia="Aptos" w:hAnsi="Arial" w:cs="Arial"/>
                <w:sz w:val="20"/>
                <w:szCs w:val="20"/>
                <w:lang w:val="sq-AL"/>
              </w:rPr>
              <w:t xml:space="preserve"> Kombëtare e Ujit 2017–2035</w:t>
            </w:r>
          </w:p>
        </w:tc>
      </w:tr>
      <w:tr w:rsidR="0012200A" w:rsidRPr="003E7289" w14:paraId="5E84A514" w14:textId="77777777" w:rsidTr="00C65386">
        <w:trPr>
          <w:cantSplit/>
          <w:trHeight w:val="20"/>
        </w:trPr>
        <w:tc>
          <w:tcPr>
            <w:tcW w:w="926" w:type="pct"/>
            <w:gridSpan w:val="5"/>
            <w:shd w:val="clear" w:color="auto" w:fill="C6E7F6"/>
            <w:vAlign w:val="center"/>
          </w:tcPr>
          <w:p w14:paraId="3561369F" w14:textId="01217689" w:rsidR="00C63DE6" w:rsidRPr="003E7289" w:rsidRDefault="00C63DE6" w:rsidP="00C63DE6">
            <w:pPr>
              <w:spacing w:before="0" w:line="240" w:lineRule="auto"/>
              <w:rPr>
                <w:rFonts w:ascii="Arial" w:eastAsia="Aptos" w:hAnsi="Arial" w:cs="Arial"/>
                <w:sz w:val="20"/>
                <w:szCs w:val="20"/>
                <w:lang w:val="sq-AL" w:eastAsia="en-US"/>
              </w:rPr>
            </w:pPr>
            <w:r w:rsidRPr="003E7289">
              <w:rPr>
                <w:rFonts w:ascii="Arial" w:eastAsia="Aptos" w:hAnsi="Arial" w:cs="Arial"/>
                <w:b/>
                <w:bCs/>
                <w:sz w:val="20"/>
                <w:szCs w:val="20"/>
                <w:lang w:val="sq-AL"/>
              </w:rPr>
              <w:t>Buxheti total për Objektivin specifik I.10:</w:t>
            </w:r>
          </w:p>
        </w:tc>
        <w:tc>
          <w:tcPr>
            <w:tcW w:w="4048" w:type="pct"/>
            <w:gridSpan w:val="20"/>
            <w:vAlign w:val="center"/>
          </w:tcPr>
          <w:p w14:paraId="6D7938CB" w14:textId="77777777" w:rsidR="00C63DE6" w:rsidRPr="003E7289" w:rsidRDefault="00C63DE6" w:rsidP="00C63DE6">
            <w:pPr>
              <w:spacing w:before="0" w:line="240" w:lineRule="auto"/>
              <w:jc w:val="center"/>
              <w:rPr>
                <w:rFonts w:ascii="Arial" w:eastAsia="Aptos" w:hAnsi="Arial" w:cs="Arial"/>
                <w:sz w:val="20"/>
                <w:szCs w:val="20"/>
                <w:highlight w:val="yellow"/>
                <w:lang w:val="sq-AL" w:eastAsia="en-US"/>
              </w:rPr>
            </w:pPr>
            <w:r w:rsidRPr="003E7289">
              <w:rPr>
                <w:rFonts w:ascii="Arial" w:eastAsia="Aptos" w:hAnsi="Arial" w:cs="Arial"/>
                <w:sz w:val="20"/>
                <w:szCs w:val="20"/>
                <w:lang w:val="sq-AL"/>
              </w:rPr>
              <w:t xml:space="preserve">≈ €1.9 million </w:t>
            </w:r>
          </w:p>
        </w:tc>
      </w:tr>
      <w:tr w:rsidR="0012200A" w:rsidRPr="003E7289" w14:paraId="6C993DB2" w14:textId="77777777" w:rsidTr="00C65386">
        <w:trPr>
          <w:cantSplit/>
          <w:trHeight w:val="20"/>
        </w:trPr>
        <w:tc>
          <w:tcPr>
            <w:tcW w:w="926" w:type="pct"/>
            <w:gridSpan w:val="5"/>
            <w:shd w:val="clear" w:color="auto" w:fill="C6E7F6"/>
          </w:tcPr>
          <w:p w14:paraId="21BDC84F" w14:textId="75D21FBD" w:rsidR="00C63DE6" w:rsidRPr="003E7289" w:rsidRDefault="00C63DE6" w:rsidP="00C63DE6">
            <w:pPr>
              <w:spacing w:before="0" w:line="240" w:lineRule="auto"/>
              <w:rPr>
                <w:rFonts w:ascii="Arial" w:eastAsia="Aptos" w:hAnsi="Arial" w:cs="Arial"/>
                <w:sz w:val="20"/>
                <w:szCs w:val="20"/>
                <w:lang w:val="sq-AL" w:eastAsia="en-US"/>
              </w:rPr>
            </w:pPr>
            <w:r w:rsidRPr="003E7289">
              <w:rPr>
                <w:rFonts w:ascii="Arial" w:eastAsia="Aptos" w:hAnsi="Arial" w:cs="Arial"/>
                <w:b/>
                <w:bCs/>
                <w:sz w:val="20"/>
                <w:szCs w:val="20"/>
                <w:lang w:val="sq-AL"/>
              </w:rPr>
              <w:t>Nga kjo, kapital:</w:t>
            </w:r>
          </w:p>
        </w:tc>
        <w:tc>
          <w:tcPr>
            <w:tcW w:w="4048" w:type="pct"/>
            <w:gridSpan w:val="20"/>
            <w:vAlign w:val="center"/>
          </w:tcPr>
          <w:p w14:paraId="08BA4297" w14:textId="1175214A" w:rsidR="00C63DE6" w:rsidRPr="003E7289" w:rsidRDefault="00C63DE6" w:rsidP="00C63DE6">
            <w:pPr>
              <w:spacing w:before="0" w:line="240" w:lineRule="auto"/>
              <w:jc w:val="center"/>
              <w:rPr>
                <w:rFonts w:ascii="Arial" w:eastAsia="Aptos" w:hAnsi="Arial" w:cs="Arial"/>
                <w:sz w:val="20"/>
                <w:szCs w:val="20"/>
                <w:highlight w:val="yellow"/>
                <w:lang w:val="sq-AL" w:eastAsia="en-US"/>
              </w:rPr>
            </w:pPr>
            <w:r w:rsidRPr="003E7289">
              <w:rPr>
                <w:rFonts w:ascii="Arial" w:eastAsia="Aptos" w:hAnsi="Arial" w:cs="Arial"/>
                <w:sz w:val="20"/>
                <w:szCs w:val="20"/>
                <w:lang w:val="sq-AL"/>
              </w:rPr>
              <w:t>-</w:t>
            </w:r>
          </w:p>
        </w:tc>
      </w:tr>
      <w:tr w:rsidR="0012200A" w:rsidRPr="003E7289" w14:paraId="6A3F9E3E" w14:textId="77777777" w:rsidTr="00C65386">
        <w:trPr>
          <w:cantSplit/>
          <w:trHeight w:val="20"/>
        </w:trPr>
        <w:tc>
          <w:tcPr>
            <w:tcW w:w="926" w:type="pct"/>
            <w:gridSpan w:val="5"/>
            <w:shd w:val="clear" w:color="auto" w:fill="C6E7F6"/>
          </w:tcPr>
          <w:p w14:paraId="4DE0C143" w14:textId="5DFAFF50" w:rsidR="00C63DE6" w:rsidRPr="003E7289" w:rsidRDefault="00C63DE6" w:rsidP="00C63DE6">
            <w:pPr>
              <w:spacing w:before="0" w:line="240" w:lineRule="auto"/>
              <w:rPr>
                <w:rFonts w:ascii="Arial" w:eastAsia="Aptos" w:hAnsi="Arial" w:cs="Arial"/>
                <w:sz w:val="20"/>
                <w:szCs w:val="20"/>
                <w:lang w:val="sq-AL" w:eastAsia="en-US"/>
              </w:rPr>
            </w:pPr>
            <w:r w:rsidRPr="003E7289">
              <w:rPr>
                <w:rFonts w:ascii="Arial" w:eastAsia="Aptos" w:hAnsi="Arial" w:cs="Arial"/>
                <w:b/>
                <w:bCs/>
                <w:sz w:val="20"/>
                <w:szCs w:val="20"/>
                <w:lang w:val="sq-AL"/>
              </w:rPr>
              <w:t>Nga kjo, shpenzime korrente:</w:t>
            </w:r>
          </w:p>
        </w:tc>
        <w:tc>
          <w:tcPr>
            <w:tcW w:w="4048" w:type="pct"/>
            <w:gridSpan w:val="20"/>
            <w:vAlign w:val="center"/>
          </w:tcPr>
          <w:p w14:paraId="4262FAE3" w14:textId="77777777" w:rsidR="00C63DE6" w:rsidRPr="003E7289" w:rsidRDefault="00C63DE6" w:rsidP="00C63DE6">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sz w:val="20"/>
                <w:szCs w:val="20"/>
                <w:lang w:val="sq-AL"/>
              </w:rPr>
              <w:t>≈ €1.9 million</w:t>
            </w:r>
          </w:p>
        </w:tc>
      </w:tr>
      <w:tr w:rsidR="00666AA0" w:rsidRPr="003E7289" w14:paraId="089B1C43" w14:textId="77777777" w:rsidTr="00C65386">
        <w:trPr>
          <w:cantSplit/>
          <w:trHeight w:val="20"/>
        </w:trPr>
        <w:tc>
          <w:tcPr>
            <w:tcW w:w="250" w:type="pct"/>
            <w:shd w:val="clear" w:color="auto" w:fill="84CCEC"/>
            <w:vAlign w:val="center"/>
          </w:tcPr>
          <w:p w14:paraId="25A6B12D"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I.11</w:t>
            </w:r>
          </w:p>
        </w:tc>
        <w:tc>
          <w:tcPr>
            <w:tcW w:w="4724" w:type="pct"/>
            <w:gridSpan w:val="24"/>
            <w:shd w:val="clear" w:color="auto" w:fill="84CCEC"/>
            <w:vAlign w:val="center"/>
          </w:tcPr>
          <w:p w14:paraId="06E7E078" w14:textId="65486D65" w:rsidR="006B13EF" w:rsidRPr="003E7289" w:rsidRDefault="0012200A" w:rsidP="00A70686">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Integrimi i planit të veprimit për thatësira në Kosovë në politikën kombëtare për klimë dhe ujë</w:t>
            </w:r>
          </w:p>
        </w:tc>
      </w:tr>
      <w:tr w:rsidR="004807C9" w:rsidRPr="003E7289" w14:paraId="578AA02B" w14:textId="77777777" w:rsidTr="00C65386">
        <w:trPr>
          <w:cantSplit/>
          <w:trHeight w:val="20"/>
        </w:trPr>
        <w:tc>
          <w:tcPr>
            <w:tcW w:w="1039" w:type="pct"/>
            <w:gridSpan w:val="6"/>
            <w:vAlign w:val="center"/>
          </w:tcPr>
          <w:p w14:paraId="4197E073" w14:textId="03654CA2" w:rsidR="006B13EF" w:rsidRPr="003E7289" w:rsidRDefault="0012200A" w:rsidP="0012200A">
            <w:pPr>
              <w:spacing w:before="0" w:line="240" w:lineRule="auto"/>
              <w:jc w:val="center"/>
              <w:rPr>
                <w:rFonts w:ascii="Arial" w:eastAsia="Aptos" w:hAnsi="Arial" w:cs="Arial"/>
                <w:b/>
                <w:bCs/>
                <w:sz w:val="20"/>
                <w:szCs w:val="20"/>
                <w:lang w:val="sq-AL" w:eastAsia="en-US"/>
              </w:rPr>
            </w:pPr>
            <w:r w:rsidRPr="003E7289">
              <w:rPr>
                <w:rFonts w:ascii="Arial" w:hAnsi="Arial" w:cs="Arial"/>
                <w:b/>
                <w:bCs/>
                <w:sz w:val="20"/>
                <w:szCs w:val="20"/>
                <w:lang w:val="sq-AL"/>
              </w:rPr>
              <w:t>Statusi i miratimit formal dhe zbatimit të Planit Kombëtar për Veprim ndaj Thatësirës dhe integrimit të tij në politikat kombëtare/strategjike</w:t>
            </w:r>
          </w:p>
        </w:tc>
        <w:tc>
          <w:tcPr>
            <w:tcW w:w="427" w:type="pct"/>
            <w:gridSpan w:val="3"/>
            <w:vAlign w:val="center"/>
          </w:tcPr>
          <w:p w14:paraId="7A8A78C3" w14:textId="225513AD" w:rsidR="006B13EF" w:rsidRPr="003E7289" w:rsidRDefault="0012200A" w:rsidP="0012200A">
            <w:pPr>
              <w:spacing w:before="0" w:line="240" w:lineRule="auto"/>
              <w:rPr>
                <w:rFonts w:ascii="Arial" w:eastAsia="Aptos" w:hAnsi="Arial" w:cs="Arial"/>
                <w:b/>
                <w:bCs/>
                <w:sz w:val="20"/>
                <w:szCs w:val="20"/>
                <w:lang w:val="sq-AL" w:eastAsia="en-US"/>
              </w:rPr>
            </w:pPr>
            <w:r w:rsidRPr="003E7289">
              <w:rPr>
                <w:rFonts w:ascii="Arial" w:hAnsi="Arial" w:cs="Arial"/>
                <w:sz w:val="20"/>
                <w:szCs w:val="20"/>
                <w:lang w:val="sq-AL"/>
              </w:rPr>
              <w:t>Plani i Veprimit për Menaxhimin e Thatësirës ekziston, por ende nuk është miratuar zyrtarisht.</w:t>
            </w:r>
          </w:p>
        </w:tc>
        <w:tc>
          <w:tcPr>
            <w:tcW w:w="1374" w:type="pct"/>
            <w:gridSpan w:val="8"/>
            <w:vAlign w:val="center"/>
          </w:tcPr>
          <w:p w14:paraId="2D47BAA4" w14:textId="1C90CFC9" w:rsidR="006B13EF" w:rsidRPr="003E7289" w:rsidRDefault="0012200A" w:rsidP="0012200A">
            <w:pPr>
              <w:spacing w:before="0" w:line="240" w:lineRule="auto"/>
              <w:rPr>
                <w:rFonts w:ascii="Arial" w:eastAsia="Aptos" w:hAnsi="Arial" w:cs="Arial"/>
                <w:b/>
                <w:bCs/>
                <w:sz w:val="20"/>
                <w:szCs w:val="20"/>
                <w:lang w:val="sq-AL" w:eastAsia="en-US"/>
              </w:rPr>
            </w:pPr>
            <w:r w:rsidRPr="003E7289">
              <w:rPr>
                <w:rFonts w:ascii="Arial" w:hAnsi="Arial" w:cs="Arial"/>
                <w:sz w:val="20"/>
                <w:szCs w:val="20"/>
                <w:lang w:val="sq-AL"/>
              </w:rPr>
              <w:t>Miratimi zyrtar nga MMPHI; integrimi i planit në draftet e politikave është në proces.</w:t>
            </w:r>
          </w:p>
        </w:tc>
        <w:tc>
          <w:tcPr>
            <w:tcW w:w="650" w:type="pct"/>
            <w:gridSpan w:val="4"/>
            <w:vAlign w:val="center"/>
          </w:tcPr>
          <w:p w14:paraId="49D43C30" w14:textId="330017F6" w:rsidR="006B13EF" w:rsidRPr="003E7289" w:rsidRDefault="0012200A" w:rsidP="0012200A">
            <w:pPr>
              <w:spacing w:before="0" w:line="240" w:lineRule="auto"/>
              <w:rPr>
                <w:rFonts w:ascii="Arial" w:eastAsia="Aptos" w:hAnsi="Arial" w:cs="Arial"/>
                <w:b/>
                <w:bCs/>
                <w:sz w:val="20"/>
                <w:szCs w:val="20"/>
                <w:lang w:val="sq-AL" w:eastAsia="en-US"/>
              </w:rPr>
            </w:pPr>
            <w:r w:rsidRPr="003E7289">
              <w:rPr>
                <w:rFonts w:ascii="Arial" w:hAnsi="Arial" w:cs="Arial"/>
                <w:sz w:val="20"/>
                <w:szCs w:val="20"/>
                <w:lang w:val="sq-AL"/>
              </w:rPr>
              <w:t>Plani i Veprimit për Thatësirën është miratuar zyrtarisht nga Ministria e Mjedisit, Planifikimit Hapësinor dhe Infrastrukturës (MMPHI). Një draft Strategjie Kombëtare për Menaxhimin e Thatësirës ose dokument i barasvlefshëm është përgatitur dhe është në konsultim me palët e interesit. Një Komitet Ndërsektorial për Thatësirën është themeluar për të udhëhequr integrimin në politika dhe për të mbikëqyrur koordinimin.</w:t>
            </w:r>
          </w:p>
        </w:tc>
        <w:tc>
          <w:tcPr>
            <w:tcW w:w="1485" w:type="pct"/>
            <w:gridSpan w:val="4"/>
            <w:vAlign w:val="center"/>
          </w:tcPr>
          <w:p w14:paraId="0F29F437" w14:textId="75FB0866" w:rsidR="006B13EF" w:rsidRPr="003E7289" w:rsidRDefault="00BE39C7" w:rsidP="0012200A">
            <w:pPr>
              <w:spacing w:before="0" w:line="240" w:lineRule="auto"/>
              <w:rPr>
                <w:rFonts w:ascii="Arial" w:eastAsia="Aptos" w:hAnsi="Arial" w:cs="Arial"/>
                <w:b/>
                <w:bCs/>
                <w:sz w:val="20"/>
                <w:szCs w:val="20"/>
                <w:lang w:val="sq-AL" w:eastAsia="en-US"/>
              </w:rPr>
            </w:pPr>
            <w:r w:rsidRPr="003E7289">
              <w:rPr>
                <w:rFonts w:ascii="Arial" w:hAnsi="Arial" w:cs="Arial"/>
                <w:sz w:val="20"/>
                <w:szCs w:val="20"/>
                <w:lang w:val="sq-AL"/>
              </w:rPr>
              <w:t>Strategjia</w:t>
            </w:r>
            <w:r w:rsidR="0012200A" w:rsidRPr="003E7289">
              <w:rPr>
                <w:rFonts w:ascii="Arial" w:hAnsi="Arial" w:cs="Arial"/>
                <w:sz w:val="20"/>
                <w:szCs w:val="20"/>
                <w:lang w:val="sq-AL"/>
              </w:rPr>
              <w:t xml:space="preserve"> Kombëtare për Menaxhimin e Thatësirës është miratuar dhe publikuar zyrtarisht, me përgjegjësi të qarta ligjore dhe institucionale të përcaktuara. Të paktën 50% e masave prioritare të Planit të Veprimit për Thatësirën (p.sh. përmirësimi i monitorimit, sistemet e paralajmërimit të hershëm, regjistrat e ndikimit) janë në zbatim. Komiteti për Thatësirën është funksional dhe zhvillon takime të rregullta koordinuese.</w:t>
            </w:r>
          </w:p>
        </w:tc>
      </w:tr>
      <w:tr w:rsidR="00C65386" w:rsidRPr="003E7289" w14:paraId="51614EFE" w14:textId="77777777" w:rsidTr="00C65386">
        <w:trPr>
          <w:cantSplit/>
          <w:trHeight w:val="20"/>
        </w:trPr>
        <w:tc>
          <w:tcPr>
            <w:tcW w:w="250" w:type="pct"/>
            <w:vMerge w:val="restart"/>
            <w:shd w:val="clear" w:color="auto" w:fill="C6E7F6"/>
            <w:vAlign w:val="center"/>
          </w:tcPr>
          <w:p w14:paraId="7C2F88AE" w14:textId="105D1F00"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Nr.</w:t>
            </w:r>
          </w:p>
        </w:tc>
        <w:tc>
          <w:tcPr>
            <w:tcW w:w="789" w:type="pct"/>
            <w:gridSpan w:val="5"/>
            <w:vMerge w:val="restart"/>
            <w:shd w:val="clear" w:color="auto" w:fill="C6E7F6"/>
            <w:vAlign w:val="center"/>
          </w:tcPr>
          <w:p w14:paraId="469B6D1A" w14:textId="097CCCF2"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Veprimi</w:t>
            </w:r>
          </w:p>
        </w:tc>
        <w:tc>
          <w:tcPr>
            <w:tcW w:w="427" w:type="pct"/>
            <w:gridSpan w:val="3"/>
            <w:vMerge w:val="restart"/>
            <w:shd w:val="clear" w:color="auto" w:fill="C6E7F6"/>
            <w:vAlign w:val="center"/>
          </w:tcPr>
          <w:p w14:paraId="53B55BE1" w14:textId="0C669B23"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Afati I fundit</w:t>
            </w:r>
          </w:p>
        </w:tc>
        <w:tc>
          <w:tcPr>
            <w:tcW w:w="1374" w:type="pct"/>
            <w:gridSpan w:val="8"/>
            <w:shd w:val="clear" w:color="auto" w:fill="C6E7F6"/>
            <w:vAlign w:val="center"/>
          </w:tcPr>
          <w:p w14:paraId="6F92B3FB" w14:textId="3F69651B"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Buxheti</w:t>
            </w:r>
          </w:p>
        </w:tc>
        <w:tc>
          <w:tcPr>
            <w:tcW w:w="650" w:type="pct"/>
            <w:gridSpan w:val="4"/>
            <w:vMerge w:val="restart"/>
            <w:shd w:val="clear" w:color="auto" w:fill="C6E7F6"/>
            <w:vAlign w:val="center"/>
          </w:tcPr>
          <w:p w14:paraId="6A0F9DF1" w14:textId="682A9DDE"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Burimi i financimit</w:t>
            </w:r>
          </w:p>
        </w:tc>
        <w:tc>
          <w:tcPr>
            <w:tcW w:w="576" w:type="pct"/>
            <w:gridSpan w:val="2"/>
            <w:vMerge w:val="restart"/>
            <w:shd w:val="clear" w:color="auto" w:fill="C6E7F6"/>
            <w:vAlign w:val="center"/>
          </w:tcPr>
          <w:p w14:paraId="742B06D5" w14:textId="3B27B93B"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Institucionet përgjegjëse dhe partnere</w:t>
            </w:r>
          </w:p>
        </w:tc>
        <w:tc>
          <w:tcPr>
            <w:tcW w:w="514" w:type="pct"/>
            <w:vMerge w:val="restart"/>
            <w:shd w:val="clear" w:color="auto" w:fill="C6E7F6"/>
            <w:vAlign w:val="center"/>
          </w:tcPr>
          <w:p w14:paraId="31B202E1" w14:textId="75C1EB95"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Rezultati i pritur</w:t>
            </w:r>
          </w:p>
        </w:tc>
        <w:tc>
          <w:tcPr>
            <w:tcW w:w="394" w:type="pct"/>
            <w:vMerge w:val="restart"/>
            <w:shd w:val="clear" w:color="auto" w:fill="C6E7F6"/>
            <w:vAlign w:val="center"/>
          </w:tcPr>
          <w:p w14:paraId="152541FD" w14:textId="2A4A1413"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Dokumenti strategjik referues</w:t>
            </w:r>
          </w:p>
        </w:tc>
      </w:tr>
      <w:tr w:rsidR="00782FD9" w:rsidRPr="003E7289" w14:paraId="7E2033D4" w14:textId="77777777" w:rsidTr="000815E7">
        <w:trPr>
          <w:cantSplit/>
          <w:trHeight w:val="20"/>
        </w:trPr>
        <w:tc>
          <w:tcPr>
            <w:tcW w:w="250" w:type="pct"/>
            <w:vMerge/>
            <w:vAlign w:val="center"/>
          </w:tcPr>
          <w:p w14:paraId="1D203613"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p>
        </w:tc>
        <w:tc>
          <w:tcPr>
            <w:tcW w:w="789" w:type="pct"/>
            <w:gridSpan w:val="5"/>
            <w:vMerge/>
            <w:vAlign w:val="center"/>
          </w:tcPr>
          <w:p w14:paraId="77C73B89"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p>
        </w:tc>
        <w:tc>
          <w:tcPr>
            <w:tcW w:w="427" w:type="pct"/>
            <w:gridSpan w:val="3"/>
            <w:vMerge/>
            <w:vAlign w:val="center"/>
          </w:tcPr>
          <w:p w14:paraId="3143DF4C"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p>
        </w:tc>
        <w:tc>
          <w:tcPr>
            <w:tcW w:w="445" w:type="pct"/>
            <w:gridSpan w:val="3"/>
            <w:shd w:val="clear" w:color="auto" w:fill="C6E7F6"/>
            <w:vAlign w:val="center"/>
          </w:tcPr>
          <w:p w14:paraId="13DA2913"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2026</w:t>
            </w:r>
          </w:p>
        </w:tc>
        <w:tc>
          <w:tcPr>
            <w:tcW w:w="381" w:type="pct"/>
            <w:gridSpan w:val="2"/>
            <w:shd w:val="clear" w:color="auto" w:fill="C6E7F6"/>
            <w:vAlign w:val="center"/>
          </w:tcPr>
          <w:p w14:paraId="336675CD"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2027</w:t>
            </w:r>
          </w:p>
        </w:tc>
        <w:tc>
          <w:tcPr>
            <w:tcW w:w="548" w:type="pct"/>
            <w:gridSpan w:val="3"/>
            <w:shd w:val="clear" w:color="auto" w:fill="C6E7F6"/>
            <w:vAlign w:val="center"/>
          </w:tcPr>
          <w:p w14:paraId="7CC20047"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2028</w:t>
            </w:r>
          </w:p>
        </w:tc>
        <w:tc>
          <w:tcPr>
            <w:tcW w:w="650" w:type="pct"/>
            <w:gridSpan w:val="4"/>
            <w:vMerge/>
            <w:vAlign w:val="center"/>
          </w:tcPr>
          <w:p w14:paraId="39919695"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p>
        </w:tc>
        <w:tc>
          <w:tcPr>
            <w:tcW w:w="576" w:type="pct"/>
            <w:gridSpan w:val="2"/>
            <w:vMerge/>
            <w:vAlign w:val="center"/>
          </w:tcPr>
          <w:p w14:paraId="214AB676"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p>
        </w:tc>
        <w:tc>
          <w:tcPr>
            <w:tcW w:w="514" w:type="pct"/>
            <w:vMerge/>
            <w:vAlign w:val="center"/>
          </w:tcPr>
          <w:p w14:paraId="4A4688A9"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p>
        </w:tc>
        <w:tc>
          <w:tcPr>
            <w:tcW w:w="394" w:type="pct"/>
            <w:vMerge/>
            <w:vAlign w:val="center"/>
          </w:tcPr>
          <w:p w14:paraId="0EF5934A"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p>
        </w:tc>
      </w:tr>
      <w:tr w:rsidR="00782FD9" w:rsidRPr="003E7289" w14:paraId="1DD37548" w14:textId="77777777" w:rsidTr="000815E7">
        <w:trPr>
          <w:cantSplit/>
          <w:trHeight w:val="20"/>
        </w:trPr>
        <w:tc>
          <w:tcPr>
            <w:tcW w:w="250" w:type="pct"/>
            <w:vAlign w:val="center"/>
          </w:tcPr>
          <w:p w14:paraId="347143D4"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I.11.1.</w:t>
            </w:r>
          </w:p>
        </w:tc>
        <w:tc>
          <w:tcPr>
            <w:tcW w:w="789" w:type="pct"/>
            <w:gridSpan w:val="5"/>
            <w:vAlign w:val="center"/>
          </w:tcPr>
          <w:p w14:paraId="7843E092" w14:textId="4A2A74C0" w:rsidR="006B13EF" w:rsidRPr="003E7289" w:rsidRDefault="0012200A" w:rsidP="0012200A">
            <w:pPr>
              <w:spacing w:before="0" w:line="240" w:lineRule="auto"/>
              <w:jc w:val="center"/>
              <w:rPr>
                <w:rFonts w:ascii="Arial" w:eastAsia="Aptos" w:hAnsi="Arial" w:cs="Arial"/>
                <w:b/>
                <w:sz w:val="20"/>
                <w:szCs w:val="20"/>
                <w:lang w:val="sq-AL" w:eastAsia="en-US"/>
              </w:rPr>
            </w:pPr>
            <w:r w:rsidRPr="003E7289">
              <w:rPr>
                <w:rFonts w:ascii="Arial" w:eastAsia="Aptos" w:hAnsi="Arial" w:cs="Arial"/>
                <w:b/>
                <w:sz w:val="20"/>
                <w:szCs w:val="20"/>
                <w:lang w:val="sq-AL"/>
              </w:rPr>
              <w:t>Miratimi formal i Planit të Veprimit për Thatësirën dhe integrimi në Strategjinë Kombëtare për Menaxhimin e Thatësirës (ose kornizë të barasvlefshme ligjore), shoqëruar me themelimin e Komitetit për Thatësirën</w:t>
            </w:r>
          </w:p>
        </w:tc>
        <w:tc>
          <w:tcPr>
            <w:tcW w:w="427" w:type="pct"/>
            <w:gridSpan w:val="3"/>
            <w:vAlign w:val="center"/>
          </w:tcPr>
          <w:p w14:paraId="5F0B48F5" w14:textId="77777777" w:rsidR="006B13EF" w:rsidRPr="003E7289" w:rsidRDefault="006B13EF" w:rsidP="00A70686">
            <w:pPr>
              <w:spacing w:before="0" w:line="240" w:lineRule="auto"/>
              <w:jc w:val="center"/>
              <w:rPr>
                <w:rFonts w:ascii="Arial" w:eastAsia="Aptos" w:hAnsi="Arial" w:cs="Arial"/>
                <w:bCs/>
                <w:sz w:val="20"/>
                <w:szCs w:val="20"/>
                <w:lang w:val="sq-AL" w:eastAsia="en-US"/>
              </w:rPr>
            </w:pPr>
            <w:r w:rsidRPr="003E7289">
              <w:rPr>
                <w:rFonts w:ascii="Arial" w:eastAsia="Aptos" w:hAnsi="Arial" w:cs="Arial"/>
                <w:bCs/>
                <w:sz w:val="20"/>
                <w:szCs w:val="20"/>
                <w:lang w:val="sq-AL"/>
              </w:rPr>
              <w:t>2040</w:t>
            </w:r>
          </w:p>
        </w:tc>
        <w:tc>
          <w:tcPr>
            <w:tcW w:w="445" w:type="pct"/>
            <w:gridSpan w:val="3"/>
            <w:vAlign w:val="center"/>
          </w:tcPr>
          <w:p w14:paraId="5AB90A7A" w14:textId="1C6F9AB3" w:rsidR="006B13EF" w:rsidRPr="003E7289" w:rsidRDefault="0012200A" w:rsidP="0012200A">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€300,000 (nisja e konsultimeve me palët e interesit, themelimi i Komitetit për Thatësirën)</w:t>
            </w:r>
          </w:p>
        </w:tc>
        <w:tc>
          <w:tcPr>
            <w:tcW w:w="381" w:type="pct"/>
            <w:gridSpan w:val="2"/>
            <w:vAlign w:val="center"/>
          </w:tcPr>
          <w:p w14:paraId="07D3CBBB" w14:textId="641D5ABE" w:rsidR="006B13EF" w:rsidRPr="003E7289" w:rsidRDefault="0012200A" w:rsidP="0012200A">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€450,000 (draftimi dhe konsultimi i Strategjisë Kombëtare për Thatësirën; fillimi i operimit të Komitetit)</w:t>
            </w:r>
          </w:p>
        </w:tc>
        <w:tc>
          <w:tcPr>
            <w:tcW w:w="548" w:type="pct"/>
            <w:gridSpan w:val="3"/>
            <w:vAlign w:val="center"/>
          </w:tcPr>
          <w:p w14:paraId="633B7D81" w14:textId="50E386B5" w:rsidR="006B13EF" w:rsidRPr="003E7289" w:rsidRDefault="0012200A" w:rsidP="0012200A">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€450,000 (finalizimi dhe miratimi i Strategjisë; institucionalizimi i Komitetit; nisja e aktiviteteve të monitorimit)</w:t>
            </w:r>
          </w:p>
        </w:tc>
        <w:tc>
          <w:tcPr>
            <w:tcW w:w="650" w:type="pct"/>
            <w:gridSpan w:val="4"/>
            <w:vAlign w:val="center"/>
          </w:tcPr>
          <w:p w14:paraId="7C4A9D05" w14:textId="2B8B41FA" w:rsidR="006B13EF" w:rsidRPr="003E7289" w:rsidRDefault="006B13EF" w:rsidP="00A70686">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eastAsia="en-US"/>
              </w:rPr>
              <w:t>M</w:t>
            </w:r>
            <w:r w:rsidR="0012200A" w:rsidRPr="003E7289">
              <w:rPr>
                <w:rFonts w:ascii="Arial" w:eastAsia="Aptos" w:hAnsi="Arial" w:cs="Arial"/>
                <w:sz w:val="20"/>
                <w:szCs w:val="20"/>
                <w:lang w:val="sq-AL" w:eastAsia="en-US"/>
              </w:rPr>
              <w:t>MPHI</w:t>
            </w:r>
          </w:p>
        </w:tc>
        <w:tc>
          <w:tcPr>
            <w:tcW w:w="576" w:type="pct"/>
            <w:gridSpan w:val="2"/>
            <w:vAlign w:val="center"/>
          </w:tcPr>
          <w:p w14:paraId="5576BCE1" w14:textId="1DF4E938" w:rsidR="006B13EF" w:rsidRPr="003E7289" w:rsidRDefault="0012200A" w:rsidP="00A70686">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MMPHI</w:t>
            </w:r>
          </w:p>
        </w:tc>
        <w:tc>
          <w:tcPr>
            <w:tcW w:w="514" w:type="pct"/>
            <w:vAlign w:val="center"/>
          </w:tcPr>
          <w:p w14:paraId="6DAFF061" w14:textId="3A7E14DC" w:rsidR="006B13EF" w:rsidRPr="003E7289" w:rsidRDefault="0012200A" w:rsidP="0012200A">
            <w:pPr>
              <w:spacing w:before="0" w:line="240" w:lineRule="auto"/>
              <w:jc w:val="center"/>
              <w:rPr>
                <w:rFonts w:ascii="Arial" w:eastAsia="Aptos" w:hAnsi="Arial" w:cs="Arial"/>
                <w:bCs/>
                <w:sz w:val="20"/>
                <w:szCs w:val="20"/>
                <w:lang w:val="sq-AL" w:eastAsia="en-US"/>
              </w:rPr>
            </w:pPr>
            <w:r w:rsidRPr="003E7289">
              <w:rPr>
                <w:rFonts w:ascii="Arial" w:eastAsia="Aptos" w:hAnsi="Arial" w:cs="Arial"/>
                <w:bCs/>
                <w:sz w:val="20"/>
                <w:szCs w:val="20"/>
                <w:lang w:val="sq-AL"/>
              </w:rPr>
              <w:t xml:space="preserve">Plani i Veprimit për Thatësirën miratohet zyrtarisht nga MMPHI. </w:t>
            </w:r>
            <w:r w:rsidR="00BE39C7" w:rsidRPr="003E7289">
              <w:rPr>
                <w:rFonts w:ascii="Arial" w:eastAsia="Aptos" w:hAnsi="Arial" w:cs="Arial"/>
                <w:bCs/>
                <w:sz w:val="20"/>
                <w:szCs w:val="20"/>
                <w:lang w:val="sq-AL"/>
              </w:rPr>
              <w:t>Strategjia</w:t>
            </w:r>
            <w:r w:rsidRPr="003E7289">
              <w:rPr>
                <w:rFonts w:ascii="Arial" w:eastAsia="Aptos" w:hAnsi="Arial" w:cs="Arial"/>
                <w:bCs/>
                <w:sz w:val="20"/>
                <w:szCs w:val="20"/>
                <w:lang w:val="sq-AL"/>
              </w:rPr>
              <w:t xml:space="preserve"> Kombëtare për Menaxhimin e Thatësirës (ose dokumenti i barasvlefshëm ligjor) përgatitet dhe miratohet zyrtarisht. Komiteti për Thatësirën themelohet dhe bëhet plotësisht funksional.</w:t>
            </w:r>
          </w:p>
        </w:tc>
        <w:tc>
          <w:tcPr>
            <w:tcW w:w="394" w:type="pct"/>
            <w:vAlign w:val="center"/>
          </w:tcPr>
          <w:p w14:paraId="11A5B9BE" w14:textId="44A8E183" w:rsidR="006B13EF" w:rsidRPr="003E7289" w:rsidRDefault="0012200A" w:rsidP="00A70686">
            <w:pPr>
              <w:spacing w:before="0" w:line="240" w:lineRule="auto"/>
              <w:jc w:val="center"/>
              <w:rPr>
                <w:rFonts w:ascii="Arial" w:eastAsia="Aptos" w:hAnsi="Arial" w:cs="Arial"/>
                <w:b/>
                <w:bCs/>
                <w:sz w:val="20"/>
                <w:szCs w:val="20"/>
                <w:lang w:val="sq-AL" w:eastAsia="en-US"/>
              </w:rPr>
            </w:pPr>
            <w:r w:rsidRPr="003E7289">
              <w:rPr>
                <w:rFonts w:ascii="Arial" w:hAnsi="Arial" w:cs="Arial"/>
                <w:sz w:val="20"/>
                <w:szCs w:val="20"/>
                <w:lang w:val="sq-AL"/>
              </w:rPr>
              <w:t>Plani i Veprimit për Thatësirën në Kosovë</w:t>
            </w:r>
          </w:p>
        </w:tc>
      </w:tr>
      <w:tr w:rsidR="0012200A" w:rsidRPr="003E7289" w14:paraId="52ACD8A1" w14:textId="77777777" w:rsidTr="00C65386">
        <w:trPr>
          <w:cantSplit/>
          <w:trHeight w:val="20"/>
        </w:trPr>
        <w:tc>
          <w:tcPr>
            <w:tcW w:w="1039" w:type="pct"/>
            <w:gridSpan w:val="6"/>
            <w:shd w:val="clear" w:color="auto" w:fill="C6E7F6"/>
            <w:vAlign w:val="center"/>
          </w:tcPr>
          <w:p w14:paraId="54471B07" w14:textId="35892B05" w:rsidR="00C63DE6" w:rsidRPr="003E7289" w:rsidRDefault="00C63DE6" w:rsidP="00C63DE6">
            <w:pPr>
              <w:spacing w:before="0" w:line="240" w:lineRule="auto"/>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Buxheti total për Objektivin specifik I.11:</w:t>
            </w:r>
          </w:p>
        </w:tc>
        <w:tc>
          <w:tcPr>
            <w:tcW w:w="3935" w:type="pct"/>
            <w:gridSpan w:val="19"/>
            <w:vAlign w:val="center"/>
          </w:tcPr>
          <w:p w14:paraId="46E4CD82" w14:textId="77777777" w:rsidR="00C63DE6" w:rsidRPr="003E7289" w:rsidRDefault="00C63DE6" w:rsidP="00C63DE6">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 €1.2 million</w:t>
            </w:r>
            <w:r w:rsidRPr="003E7289" w:rsidDel="005414EA">
              <w:rPr>
                <w:rFonts w:ascii="Arial" w:eastAsia="Aptos" w:hAnsi="Arial" w:cs="Arial"/>
                <w:sz w:val="20"/>
                <w:szCs w:val="20"/>
                <w:lang w:val="sq-AL"/>
              </w:rPr>
              <w:t xml:space="preserve"> </w:t>
            </w:r>
          </w:p>
        </w:tc>
      </w:tr>
      <w:tr w:rsidR="0012200A" w:rsidRPr="003E7289" w14:paraId="6995B685" w14:textId="77777777" w:rsidTr="00C65386">
        <w:trPr>
          <w:cantSplit/>
          <w:trHeight w:val="20"/>
        </w:trPr>
        <w:tc>
          <w:tcPr>
            <w:tcW w:w="1039" w:type="pct"/>
            <w:gridSpan w:val="6"/>
            <w:shd w:val="clear" w:color="auto" w:fill="C6E7F6"/>
          </w:tcPr>
          <w:p w14:paraId="4BFF819D" w14:textId="71DDA8DC" w:rsidR="00C63DE6" w:rsidRPr="003E7289" w:rsidRDefault="00C63DE6" w:rsidP="00C63DE6">
            <w:pPr>
              <w:spacing w:before="0" w:line="240" w:lineRule="auto"/>
              <w:rPr>
                <w:rFonts w:ascii="Arial" w:eastAsia="Aptos" w:hAnsi="Arial" w:cs="Arial"/>
                <w:b/>
                <w:bCs/>
                <w:sz w:val="20"/>
                <w:szCs w:val="20"/>
                <w:lang w:val="sq-AL" w:eastAsia="en-US"/>
              </w:rPr>
            </w:pPr>
            <w:r w:rsidRPr="003E7289">
              <w:rPr>
                <w:rFonts w:ascii="Arial" w:eastAsia="Aptos" w:hAnsi="Arial" w:cs="Arial"/>
                <w:b/>
                <w:bCs/>
                <w:sz w:val="20"/>
                <w:szCs w:val="20"/>
                <w:lang w:val="sq-AL"/>
              </w:rPr>
              <w:t>Nga kjo, kapital:</w:t>
            </w:r>
          </w:p>
        </w:tc>
        <w:tc>
          <w:tcPr>
            <w:tcW w:w="3935" w:type="pct"/>
            <w:gridSpan w:val="19"/>
            <w:vAlign w:val="center"/>
          </w:tcPr>
          <w:p w14:paraId="241C37CF" w14:textId="77777777" w:rsidR="00C63DE6" w:rsidRPr="003E7289" w:rsidRDefault="00C63DE6" w:rsidP="00C63DE6">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€0</w:t>
            </w:r>
          </w:p>
        </w:tc>
      </w:tr>
      <w:tr w:rsidR="0012200A" w:rsidRPr="003E7289" w14:paraId="0B63CDB0" w14:textId="77777777" w:rsidTr="00C65386">
        <w:trPr>
          <w:cantSplit/>
          <w:trHeight w:val="20"/>
        </w:trPr>
        <w:tc>
          <w:tcPr>
            <w:tcW w:w="1039" w:type="pct"/>
            <w:gridSpan w:val="6"/>
            <w:shd w:val="clear" w:color="auto" w:fill="C6E7F6"/>
          </w:tcPr>
          <w:p w14:paraId="2F88009B" w14:textId="2F4CEF68" w:rsidR="00C63DE6" w:rsidRPr="003E7289" w:rsidRDefault="00C63DE6" w:rsidP="00C63DE6">
            <w:pPr>
              <w:spacing w:before="0" w:line="240" w:lineRule="auto"/>
              <w:rPr>
                <w:rFonts w:ascii="Arial" w:eastAsia="Aptos" w:hAnsi="Arial" w:cs="Arial"/>
                <w:b/>
                <w:bCs/>
                <w:sz w:val="20"/>
                <w:szCs w:val="20"/>
                <w:lang w:val="sq-AL" w:eastAsia="en-US"/>
              </w:rPr>
            </w:pPr>
            <w:r w:rsidRPr="003E7289">
              <w:rPr>
                <w:rFonts w:ascii="Arial" w:eastAsia="Aptos" w:hAnsi="Arial" w:cs="Arial"/>
                <w:b/>
                <w:bCs/>
                <w:sz w:val="20"/>
                <w:szCs w:val="20"/>
                <w:lang w:val="sq-AL"/>
              </w:rPr>
              <w:t>Nga kjo, shpenzime korrente:</w:t>
            </w:r>
          </w:p>
        </w:tc>
        <w:tc>
          <w:tcPr>
            <w:tcW w:w="3935" w:type="pct"/>
            <w:gridSpan w:val="19"/>
            <w:vAlign w:val="center"/>
          </w:tcPr>
          <w:p w14:paraId="0F8C108E" w14:textId="77777777" w:rsidR="00C63DE6" w:rsidRPr="003E7289" w:rsidRDefault="00C63DE6" w:rsidP="00C63DE6">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 €1.2 million</w:t>
            </w:r>
          </w:p>
        </w:tc>
      </w:tr>
      <w:tr w:rsidR="0012200A" w:rsidRPr="003E7289" w14:paraId="1763AA03" w14:textId="77777777" w:rsidTr="00C65386">
        <w:trPr>
          <w:cantSplit/>
          <w:trHeight w:val="20"/>
        </w:trPr>
        <w:tc>
          <w:tcPr>
            <w:tcW w:w="729" w:type="pct"/>
            <w:gridSpan w:val="3"/>
            <w:shd w:val="clear" w:color="auto" w:fill="84CCEC"/>
            <w:vAlign w:val="center"/>
          </w:tcPr>
          <w:p w14:paraId="0ED691F6"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I.12</w:t>
            </w:r>
          </w:p>
        </w:tc>
        <w:tc>
          <w:tcPr>
            <w:tcW w:w="4245" w:type="pct"/>
            <w:gridSpan w:val="22"/>
            <w:shd w:val="clear" w:color="auto" w:fill="84CCEC"/>
            <w:vAlign w:val="center"/>
          </w:tcPr>
          <w:p w14:paraId="58AA469C" w14:textId="4EF3D16E" w:rsidR="006B13EF" w:rsidRPr="003E7289" w:rsidRDefault="0012200A"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Hartimi i planeve për menaxhimin e rrezikut nga përmbytjet dhe zbatimi i masave prioritare për mbrojtje nga përmbytjet</w:t>
            </w:r>
          </w:p>
        </w:tc>
      </w:tr>
      <w:tr w:rsidR="004807C9" w:rsidRPr="003E7289" w14:paraId="7B29D012" w14:textId="77777777" w:rsidTr="00C65386">
        <w:trPr>
          <w:cantSplit/>
          <w:trHeight w:val="20"/>
        </w:trPr>
        <w:tc>
          <w:tcPr>
            <w:tcW w:w="1215" w:type="pct"/>
            <w:gridSpan w:val="7"/>
            <w:vAlign w:val="center"/>
          </w:tcPr>
          <w:p w14:paraId="657DF8AC" w14:textId="3AEAE456" w:rsidR="006B13EF" w:rsidRPr="003E7289" w:rsidRDefault="0012200A" w:rsidP="0012200A">
            <w:pPr>
              <w:spacing w:before="0" w:line="240" w:lineRule="auto"/>
              <w:jc w:val="center"/>
              <w:rPr>
                <w:rFonts w:ascii="Arial" w:eastAsia="Aptos" w:hAnsi="Arial" w:cs="Arial"/>
                <w:b/>
                <w:bCs/>
                <w:sz w:val="20"/>
                <w:szCs w:val="20"/>
                <w:lang w:val="sq-AL"/>
              </w:rPr>
            </w:pPr>
            <w:r w:rsidRPr="003E7289">
              <w:rPr>
                <w:rFonts w:ascii="Arial" w:eastAsia="Aptos" w:hAnsi="Arial" w:cs="Arial"/>
                <w:b/>
                <w:bCs/>
                <w:sz w:val="20"/>
                <w:szCs w:val="20"/>
                <w:lang w:val="sq-AL"/>
              </w:rPr>
              <w:t>Numri i pellgjeve lumore me Plane të Menaxhimit të Rrezikut nga Përmbytjet (FRMP) të miratuara</w:t>
            </w:r>
          </w:p>
        </w:tc>
        <w:tc>
          <w:tcPr>
            <w:tcW w:w="250" w:type="pct"/>
            <w:gridSpan w:val="2"/>
            <w:vAlign w:val="center"/>
          </w:tcPr>
          <w:p w14:paraId="2CB9D88B" w14:textId="77777777" w:rsidR="006B13EF" w:rsidRPr="003E7289" w:rsidRDefault="006B13EF" w:rsidP="00A70686">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0</w:t>
            </w:r>
          </w:p>
        </w:tc>
        <w:tc>
          <w:tcPr>
            <w:tcW w:w="1374" w:type="pct"/>
            <w:gridSpan w:val="8"/>
            <w:vAlign w:val="center"/>
          </w:tcPr>
          <w:p w14:paraId="70B52236" w14:textId="0A6D25B0" w:rsidR="006B13EF" w:rsidRPr="003E7289" w:rsidRDefault="0012200A" w:rsidP="0012200A">
            <w:pPr>
              <w:spacing w:before="0" w:line="240" w:lineRule="auto"/>
              <w:rPr>
                <w:rFonts w:ascii="Arial" w:hAnsi="Arial" w:cs="Arial"/>
                <w:sz w:val="20"/>
                <w:szCs w:val="20"/>
                <w:lang w:val="sq-AL"/>
              </w:rPr>
            </w:pPr>
            <w:r w:rsidRPr="003E7289">
              <w:rPr>
                <w:rFonts w:ascii="Arial" w:hAnsi="Arial" w:cs="Arial"/>
                <w:sz w:val="20"/>
                <w:szCs w:val="20"/>
                <w:lang w:val="sq-AL"/>
              </w:rPr>
              <w:t xml:space="preserve">2 </w:t>
            </w:r>
            <w:r w:rsidR="004807C9" w:rsidRPr="003E7289">
              <w:rPr>
                <w:rFonts w:ascii="Arial" w:hAnsi="Arial" w:cs="Arial"/>
                <w:sz w:val="20"/>
                <w:szCs w:val="20"/>
                <w:lang w:val="sq-AL"/>
              </w:rPr>
              <w:t>P</w:t>
            </w:r>
            <w:r w:rsidRPr="003E7289">
              <w:rPr>
                <w:rFonts w:ascii="Arial" w:hAnsi="Arial" w:cs="Arial"/>
                <w:sz w:val="20"/>
                <w:szCs w:val="20"/>
                <w:lang w:val="sq-AL"/>
              </w:rPr>
              <w:t>ellgje lumore</w:t>
            </w:r>
          </w:p>
        </w:tc>
        <w:tc>
          <w:tcPr>
            <w:tcW w:w="650" w:type="pct"/>
            <w:gridSpan w:val="4"/>
            <w:vAlign w:val="center"/>
          </w:tcPr>
          <w:p w14:paraId="6FEE6A06" w14:textId="24651302" w:rsidR="006B13EF" w:rsidRPr="003E7289" w:rsidRDefault="0012200A" w:rsidP="0012200A">
            <w:pPr>
              <w:spacing w:before="0" w:line="240" w:lineRule="auto"/>
              <w:rPr>
                <w:rFonts w:ascii="Arial" w:eastAsia="Aptos" w:hAnsi="Arial" w:cs="Arial"/>
                <w:sz w:val="20"/>
                <w:szCs w:val="20"/>
                <w:lang w:val="sq-AL"/>
              </w:rPr>
            </w:pPr>
            <w:r w:rsidRPr="003E7289">
              <w:rPr>
                <w:rFonts w:ascii="Arial" w:eastAsia="Aptos" w:hAnsi="Arial" w:cs="Arial"/>
                <w:sz w:val="20"/>
                <w:szCs w:val="20"/>
                <w:lang w:val="sq-AL"/>
              </w:rPr>
              <w:t>Fillon zbatimi i FRMP-ve: zonifikimi i zonave të rrezikuara nga përmbytjet, kufizime në lejet ndërtimore, fillimi i punimeve strukturore fillestare dhe integrimi në planet hapësi</w:t>
            </w:r>
          </w:p>
        </w:tc>
        <w:tc>
          <w:tcPr>
            <w:tcW w:w="1485" w:type="pct"/>
            <w:gridSpan w:val="4"/>
            <w:vAlign w:val="center"/>
          </w:tcPr>
          <w:p w14:paraId="2866647D" w14:textId="3D38584E" w:rsidR="006B13EF" w:rsidRPr="003E7289" w:rsidRDefault="0012200A" w:rsidP="0012200A">
            <w:pPr>
              <w:spacing w:before="0" w:line="240" w:lineRule="auto"/>
              <w:rPr>
                <w:rFonts w:ascii="Arial" w:hAnsi="Arial" w:cs="Arial"/>
                <w:sz w:val="20"/>
                <w:szCs w:val="20"/>
                <w:lang w:val="sq-AL"/>
              </w:rPr>
            </w:pPr>
            <w:r w:rsidRPr="003E7289">
              <w:rPr>
                <w:rFonts w:ascii="Arial" w:hAnsi="Arial" w:cs="Arial"/>
                <w:sz w:val="20"/>
                <w:szCs w:val="20"/>
                <w:lang w:val="sq-AL"/>
              </w:rPr>
              <w:t>Të gjitha pellgjet lumore (Lepenci, Drini i Bardhë, Ibri, Morava e Binçës) kanë FRMP të miratuara dhe në zbatim</w:t>
            </w:r>
          </w:p>
        </w:tc>
      </w:tr>
      <w:tr w:rsidR="004807C9" w:rsidRPr="003E7289" w14:paraId="70B44A55" w14:textId="77777777" w:rsidTr="00C65386">
        <w:trPr>
          <w:cantSplit/>
          <w:trHeight w:val="20"/>
        </w:trPr>
        <w:tc>
          <w:tcPr>
            <w:tcW w:w="1215" w:type="pct"/>
            <w:gridSpan w:val="7"/>
            <w:vAlign w:val="center"/>
          </w:tcPr>
          <w:p w14:paraId="0E203961" w14:textId="285708D8" w:rsidR="006B13EF" w:rsidRPr="003E7289" w:rsidRDefault="0012200A" w:rsidP="0012200A">
            <w:pPr>
              <w:spacing w:before="0" w:line="240" w:lineRule="auto"/>
              <w:jc w:val="center"/>
              <w:rPr>
                <w:rFonts w:ascii="Arial" w:eastAsia="Aptos" w:hAnsi="Arial" w:cs="Arial"/>
                <w:b/>
                <w:bCs/>
                <w:sz w:val="20"/>
                <w:szCs w:val="20"/>
                <w:lang w:val="sq-AL"/>
              </w:rPr>
            </w:pPr>
            <w:r w:rsidRPr="003E7289">
              <w:rPr>
                <w:rFonts w:ascii="Arial" w:eastAsia="Aptos" w:hAnsi="Arial" w:cs="Arial"/>
                <w:b/>
                <w:bCs/>
                <w:sz w:val="20"/>
                <w:szCs w:val="20"/>
                <w:lang w:val="sq-AL"/>
              </w:rPr>
              <w:t>Numri i projekteve prioritare për infrastrukturë mbrojtëse nga përmbytjet të përfunduara (p.sh., digat mbrojtëse, rezervuarët e pritjes, muret mbrojtëse)</w:t>
            </w:r>
          </w:p>
        </w:tc>
        <w:tc>
          <w:tcPr>
            <w:tcW w:w="250" w:type="pct"/>
            <w:gridSpan w:val="2"/>
            <w:vAlign w:val="center"/>
          </w:tcPr>
          <w:p w14:paraId="0545F504" w14:textId="77777777" w:rsidR="006B13EF" w:rsidRPr="003E7289" w:rsidRDefault="006B13EF" w:rsidP="00A70686">
            <w:pPr>
              <w:spacing w:before="0" w:line="240" w:lineRule="auto"/>
              <w:jc w:val="center"/>
              <w:rPr>
                <w:rFonts w:ascii="Arial" w:eastAsia="Aptos" w:hAnsi="Arial" w:cs="Arial"/>
                <w:sz w:val="20"/>
                <w:szCs w:val="20"/>
                <w:lang w:val="sq-AL"/>
              </w:rPr>
            </w:pPr>
            <w:r w:rsidRPr="003E7289">
              <w:rPr>
                <w:rFonts w:ascii="Arial" w:hAnsi="Arial" w:cs="Arial"/>
                <w:sz w:val="20"/>
                <w:szCs w:val="20"/>
                <w:lang w:val="sq-AL"/>
              </w:rPr>
              <w:t>0</w:t>
            </w:r>
          </w:p>
        </w:tc>
        <w:tc>
          <w:tcPr>
            <w:tcW w:w="1374" w:type="pct"/>
            <w:gridSpan w:val="8"/>
            <w:vAlign w:val="center"/>
          </w:tcPr>
          <w:p w14:paraId="67D54576" w14:textId="5264F2CA" w:rsidR="006B13EF" w:rsidRPr="003E7289" w:rsidRDefault="0012200A" w:rsidP="0012200A">
            <w:pPr>
              <w:spacing w:before="0" w:line="240" w:lineRule="auto"/>
              <w:rPr>
                <w:rFonts w:ascii="Arial" w:hAnsi="Arial" w:cs="Arial"/>
                <w:sz w:val="20"/>
                <w:szCs w:val="20"/>
                <w:lang w:val="sq-AL"/>
              </w:rPr>
            </w:pPr>
            <w:r w:rsidRPr="003E7289">
              <w:rPr>
                <w:rFonts w:ascii="Arial" w:hAnsi="Arial" w:cs="Arial"/>
                <w:sz w:val="20"/>
                <w:szCs w:val="20"/>
                <w:lang w:val="sq-AL"/>
              </w:rPr>
              <w:t>Së paku 5 projekte prioritare</w:t>
            </w:r>
          </w:p>
        </w:tc>
        <w:tc>
          <w:tcPr>
            <w:tcW w:w="650" w:type="pct"/>
            <w:gridSpan w:val="4"/>
            <w:vAlign w:val="center"/>
          </w:tcPr>
          <w:p w14:paraId="7BD6A3BE" w14:textId="5FBD44E7" w:rsidR="006B13EF" w:rsidRPr="003E7289" w:rsidRDefault="0012200A" w:rsidP="0012200A">
            <w:pPr>
              <w:spacing w:before="0" w:line="240" w:lineRule="auto"/>
              <w:rPr>
                <w:rFonts w:ascii="Arial" w:eastAsia="Aptos" w:hAnsi="Arial" w:cs="Arial"/>
                <w:sz w:val="20"/>
                <w:szCs w:val="20"/>
                <w:lang w:val="sq-AL"/>
              </w:rPr>
            </w:pPr>
            <w:r w:rsidRPr="003E7289">
              <w:rPr>
                <w:rFonts w:ascii="Arial" w:eastAsia="Aptos" w:hAnsi="Arial" w:cs="Arial"/>
                <w:sz w:val="20"/>
                <w:szCs w:val="20"/>
                <w:lang w:val="sq-AL"/>
              </w:rPr>
              <w:t>Të gjitha masat kritike prioritare të përfunduara në zonat me rrezik të lartë</w:t>
            </w:r>
          </w:p>
        </w:tc>
        <w:tc>
          <w:tcPr>
            <w:tcW w:w="1485" w:type="pct"/>
            <w:gridSpan w:val="4"/>
            <w:vAlign w:val="center"/>
          </w:tcPr>
          <w:p w14:paraId="7454B518" w14:textId="125B0177" w:rsidR="006B13EF" w:rsidRPr="003E7289" w:rsidRDefault="0012200A" w:rsidP="0012200A">
            <w:pPr>
              <w:spacing w:before="0" w:line="240" w:lineRule="auto"/>
              <w:rPr>
                <w:rFonts w:ascii="Arial" w:hAnsi="Arial" w:cs="Arial"/>
                <w:sz w:val="20"/>
                <w:szCs w:val="20"/>
                <w:lang w:val="sq-AL"/>
              </w:rPr>
            </w:pPr>
            <w:r w:rsidRPr="003E7289">
              <w:rPr>
                <w:rFonts w:ascii="Arial" w:hAnsi="Arial" w:cs="Arial"/>
                <w:sz w:val="20"/>
                <w:szCs w:val="20"/>
                <w:lang w:val="sq-AL"/>
              </w:rPr>
              <w:t>Të gjitha projektet prioritare për infrastrukturë mbrojtëse nga përmbytjet janë të përfunduara</w:t>
            </w:r>
          </w:p>
        </w:tc>
      </w:tr>
      <w:tr w:rsidR="00C65386" w:rsidRPr="003E7289" w14:paraId="668CCCBE" w14:textId="77777777" w:rsidTr="00C65386">
        <w:trPr>
          <w:cantSplit/>
          <w:trHeight w:val="20"/>
        </w:trPr>
        <w:tc>
          <w:tcPr>
            <w:tcW w:w="729" w:type="pct"/>
            <w:gridSpan w:val="3"/>
            <w:vMerge w:val="restart"/>
            <w:shd w:val="clear" w:color="auto" w:fill="C6E7F6"/>
            <w:vAlign w:val="center"/>
          </w:tcPr>
          <w:p w14:paraId="4F949F61" w14:textId="5D3A8EBF"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Nr.</w:t>
            </w:r>
          </w:p>
        </w:tc>
        <w:tc>
          <w:tcPr>
            <w:tcW w:w="486" w:type="pct"/>
            <w:gridSpan w:val="4"/>
            <w:vMerge w:val="restart"/>
            <w:shd w:val="clear" w:color="auto" w:fill="C6E7F6"/>
            <w:vAlign w:val="center"/>
          </w:tcPr>
          <w:p w14:paraId="13B339DD" w14:textId="02C64068"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Veprimi</w:t>
            </w:r>
          </w:p>
        </w:tc>
        <w:tc>
          <w:tcPr>
            <w:tcW w:w="250" w:type="pct"/>
            <w:gridSpan w:val="2"/>
            <w:vMerge w:val="restart"/>
            <w:shd w:val="clear" w:color="auto" w:fill="C6E7F6"/>
            <w:vAlign w:val="center"/>
          </w:tcPr>
          <w:p w14:paraId="5DBF7CCB" w14:textId="739F8930"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Afati I fundit</w:t>
            </w:r>
          </w:p>
        </w:tc>
        <w:tc>
          <w:tcPr>
            <w:tcW w:w="1374" w:type="pct"/>
            <w:gridSpan w:val="8"/>
            <w:shd w:val="clear" w:color="auto" w:fill="C6E7F6"/>
            <w:vAlign w:val="center"/>
          </w:tcPr>
          <w:p w14:paraId="162369B7" w14:textId="38A6E1A0"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Buxheti</w:t>
            </w:r>
          </w:p>
        </w:tc>
        <w:tc>
          <w:tcPr>
            <w:tcW w:w="650" w:type="pct"/>
            <w:gridSpan w:val="4"/>
            <w:vMerge w:val="restart"/>
            <w:shd w:val="clear" w:color="auto" w:fill="C6E7F6"/>
            <w:vAlign w:val="center"/>
          </w:tcPr>
          <w:p w14:paraId="679B4F85" w14:textId="79846DE1"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Burimi i financimit</w:t>
            </w:r>
          </w:p>
        </w:tc>
        <w:tc>
          <w:tcPr>
            <w:tcW w:w="576" w:type="pct"/>
            <w:gridSpan w:val="2"/>
            <w:vMerge w:val="restart"/>
            <w:shd w:val="clear" w:color="auto" w:fill="C6E7F6"/>
            <w:vAlign w:val="center"/>
          </w:tcPr>
          <w:p w14:paraId="4C468A71" w14:textId="688CD8E7"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Institucionet përgjegjëse dhe partnere</w:t>
            </w:r>
          </w:p>
        </w:tc>
        <w:tc>
          <w:tcPr>
            <w:tcW w:w="514" w:type="pct"/>
            <w:vMerge w:val="restart"/>
            <w:shd w:val="clear" w:color="auto" w:fill="C6E7F6"/>
            <w:vAlign w:val="center"/>
          </w:tcPr>
          <w:p w14:paraId="4939E4D2" w14:textId="43A67A0D"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Rezultati i pritur</w:t>
            </w:r>
          </w:p>
        </w:tc>
        <w:tc>
          <w:tcPr>
            <w:tcW w:w="394" w:type="pct"/>
            <w:vMerge w:val="restart"/>
            <w:shd w:val="clear" w:color="auto" w:fill="C6E7F6"/>
            <w:vAlign w:val="center"/>
          </w:tcPr>
          <w:p w14:paraId="4D0C28FA" w14:textId="2C89D7E2"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Dokumenti strategjik referues</w:t>
            </w:r>
          </w:p>
        </w:tc>
      </w:tr>
      <w:tr w:rsidR="000815E7" w:rsidRPr="003E7289" w14:paraId="55441806" w14:textId="77777777" w:rsidTr="000815E7">
        <w:trPr>
          <w:cantSplit/>
          <w:trHeight w:val="20"/>
        </w:trPr>
        <w:tc>
          <w:tcPr>
            <w:tcW w:w="729" w:type="pct"/>
            <w:gridSpan w:val="3"/>
            <w:vMerge/>
            <w:vAlign w:val="center"/>
          </w:tcPr>
          <w:p w14:paraId="429791A1"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p>
        </w:tc>
        <w:tc>
          <w:tcPr>
            <w:tcW w:w="486" w:type="pct"/>
            <w:gridSpan w:val="4"/>
            <w:vMerge/>
            <w:vAlign w:val="center"/>
          </w:tcPr>
          <w:p w14:paraId="4BBAA9F3"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p>
        </w:tc>
        <w:tc>
          <w:tcPr>
            <w:tcW w:w="250" w:type="pct"/>
            <w:gridSpan w:val="2"/>
            <w:vMerge/>
            <w:vAlign w:val="center"/>
          </w:tcPr>
          <w:p w14:paraId="5316AEA9"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p>
        </w:tc>
        <w:tc>
          <w:tcPr>
            <w:tcW w:w="445" w:type="pct"/>
            <w:gridSpan w:val="3"/>
            <w:shd w:val="clear" w:color="auto" w:fill="C6E7F6"/>
            <w:vAlign w:val="center"/>
          </w:tcPr>
          <w:p w14:paraId="28376C00"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2026</w:t>
            </w:r>
          </w:p>
        </w:tc>
        <w:tc>
          <w:tcPr>
            <w:tcW w:w="500" w:type="pct"/>
            <w:gridSpan w:val="4"/>
            <w:shd w:val="clear" w:color="auto" w:fill="C6E7F6"/>
            <w:vAlign w:val="center"/>
          </w:tcPr>
          <w:p w14:paraId="71371756"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2027</w:t>
            </w:r>
          </w:p>
        </w:tc>
        <w:tc>
          <w:tcPr>
            <w:tcW w:w="429" w:type="pct"/>
            <w:shd w:val="clear" w:color="auto" w:fill="C6E7F6"/>
            <w:vAlign w:val="center"/>
          </w:tcPr>
          <w:p w14:paraId="69872830"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2028</w:t>
            </w:r>
          </w:p>
        </w:tc>
        <w:tc>
          <w:tcPr>
            <w:tcW w:w="650" w:type="pct"/>
            <w:gridSpan w:val="4"/>
            <w:vMerge/>
            <w:vAlign w:val="center"/>
          </w:tcPr>
          <w:p w14:paraId="011DB3A6"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p>
        </w:tc>
        <w:tc>
          <w:tcPr>
            <w:tcW w:w="576" w:type="pct"/>
            <w:gridSpan w:val="2"/>
            <w:vMerge/>
            <w:vAlign w:val="center"/>
          </w:tcPr>
          <w:p w14:paraId="6B81A498"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p>
        </w:tc>
        <w:tc>
          <w:tcPr>
            <w:tcW w:w="514" w:type="pct"/>
            <w:vMerge/>
            <w:vAlign w:val="center"/>
          </w:tcPr>
          <w:p w14:paraId="67944B63"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p>
        </w:tc>
        <w:tc>
          <w:tcPr>
            <w:tcW w:w="394" w:type="pct"/>
            <w:vMerge/>
            <w:vAlign w:val="center"/>
          </w:tcPr>
          <w:p w14:paraId="3F1CF732" w14:textId="77777777" w:rsidR="006B13EF" w:rsidRPr="003E7289" w:rsidRDefault="006B13EF" w:rsidP="00A70686">
            <w:pPr>
              <w:spacing w:before="0" w:line="240" w:lineRule="auto"/>
              <w:jc w:val="center"/>
              <w:rPr>
                <w:rFonts w:ascii="Arial" w:eastAsia="Aptos" w:hAnsi="Arial" w:cs="Arial"/>
                <w:b/>
                <w:bCs/>
                <w:sz w:val="20"/>
                <w:szCs w:val="20"/>
                <w:lang w:val="sq-AL" w:eastAsia="en-US"/>
              </w:rPr>
            </w:pPr>
          </w:p>
        </w:tc>
      </w:tr>
      <w:tr w:rsidR="000815E7" w:rsidRPr="003E7289" w14:paraId="60499908" w14:textId="77777777" w:rsidTr="000815E7">
        <w:trPr>
          <w:cantSplit/>
          <w:trHeight w:val="20"/>
        </w:trPr>
        <w:tc>
          <w:tcPr>
            <w:tcW w:w="729" w:type="pct"/>
            <w:gridSpan w:val="3"/>
            <w:vAlign w:val="center"/>
          </w:tcPr>
          <w:p w14:paraId="2E37DE0E" w14:textId="77777777" w:rsidR="006B13EF" w:rsidRPr="003E7289" w:rsidRDefault="006B13EF" w:rsidP="00A70686">
            <w:pPr>
              <w:spacing w:before="0" w:line="240" w:lineRule="auto"/>
              <w:jc w:val="center"/>
              <w:rPr>
                <w:rFonts w:ascii="Arial" w:eastAsia="Aptos" w:hAnsi="Arial" w:cs="Arial"/>
                <w:b/>
                <w:bCs/>
                <w:sz w:val="20"/>
                <w:szCs w:val="20"/>
                <w:lang w:val="sq-AL"/>
              </w:rPr>
            </w:pPr>
            <w:r w:rsidRPr="003E7289">
              <w:rPr>
                <w:rFonts w:ascii="Arial" w:eastAsia="Aptos" w:hAnsi="Arial" w:cs="Arial"/>
                <w:b/>
                <w:bCs/>
                <w:sz w:val="20"/>
                <w:szCs w:val="20"/>
                <w:lang w:val="sq-AL"/>
              </w:rPr>
              <w:t>I.12.3.</w:t>
            </w:r>
          </w:p>
        </w:tc>
        <w:tc>
          <w:tcPr>
            <w:tcW w:w="486" w:type="pct"/>
            <w:gridSpan w:val="4"/>
            <w:vAlign w:val="center"/>
          </w:tcPr>
          <w:p w14:paraId="304E9BD9" w14:textId="308378B9" w:rsidR="006B13EF" w:rsidRPr="003E7289" w:rsidRDefault="00A4252B" w:rsidP="00A4252B">
            <w:pPr>
              <w:spacing w:before="0" w:line="240" w:lineRule="auto"/>
              <w:jc w:val="center"/>
              <w:rPr>
                <w:rFonts w:ascii="Arial" w:eastAsia="Aptos" w:hAnsi="Arial" w:cs="Arial"/>
                <w:b/>
                <w:bCs/>
                <w:sz w:val="20"/>
                <w:szCs w:val="20"/>
                <w:lang w:val="sq-AL"/>
              </w:rPr>
            </w:pPr>
            <w:r w:rsidRPr="003E7289">
              <w:rPr>
                <w:rFonts w:ascii="Arial" w:eastAsia="Aptos" w:hAnsi="Arial" w:cs="Arial"/>
                <w:b/>
                <w:bCs/>
                <w:sz w:val="20"/>
                <w:szCs w:val="20"/>
                <w:lang w:val="sq-AL"/>
              </w:rPr>
              <w:t>Zbatimi i Planeve për Menaxhimin e Rrezikut nga Përmbytjet (FRMP) në pellgjet lumore</w:t>
            </w:r>
          </w:p>
        </w:tc>
        <w:tc>
          <w:tcPr>
            <w:tcW w:w="250" w:type="pct"/>
            <w:gridSpan w:val="2"/>
            <w:vAlign w:val="center"/>
          </w:tcPr>
          <w:p w14:paraId="52BDA8BA" w14:textId="77777777" w:rsidR="006B13EF" w:rsidRPr="003E7289" w:rsidRDefault="006B13EF" w:rsidP="00A70686">
            <w:pPr>
              <w:spacing w:before="0" w:line="240" w:lineRule="auto"/>
              <w:jc w:val="center"/>
              <w:rPr>
                <w:rFonts w:ascii="Arial" w:eastAsia="Aptos" w:hAnsi="Arial" w:cs="Arial"/>
                <w:bCs/>
                <w:sz w:val="20"/>
                <w:szCs w:val="20"/>
                <w:lang w:val="sq-AL"/>
              </w:rPr>
            </w:pPr>
            <w:r w:rsidRPr="003E7289">
              <w:rPr>
                <w:rFonts w:ascii="Arial" w:eastAsia="Aptos" w:hAnsi="Arial" w:cs="Arial"/>
                <w:bCs/>
                <w:sz w:val="20"/>
                <w:szCs w:val="20"/>
                <w:lang w:val="sq-AL"/>
              </w:rPr>
              <w:t>2032</w:t>
            </w:r>
          </w:p>
        </w:tc>
        <w:tc>
          <w:tcPr>
            <w:tcW w:w="445" w:type="pct"/>
            <w:gridSpan w:val="3"/>
            <w:vAlign w:val="center"/>
          </w:tcPr>
          <w:p w14:paraId="50FEB9B1" w14:textId="77777777" w:rsidR="006B13EF" w:rsidRPr="003E7289" w:rsidRDefault="006B13EF" w:rsidP="00A70686">
            <w:pPr>
              <w:spacing w:before="0" w:line="240" w:lineRule="auto"/>
              <w:jc w:val="center"/>
              <w:rPr>
                <w:rFonts w:ascii="Arial" w:eastAsia="Aptos" w:hAnsi="Arial" w:cs="Arial"/>
                <w:b/>
                <w:bCs/>
                <w:sz w:val="20"/>
                <w:szCs w:val="20"/>
                <w:lang w:val="sq-AL"/>
              </w:rPr>
            </w:pPr>
            <w:r w:rsidRPr="003E7289">
              <w:rPr>
                <w:rFonts w:ascii="Arial" w:eastAsia="Aptos" w:hAnsi="Arial" w:cs="Arial"/>
                <w:b/>
                <w:bCs/>
                <w:sz w:val="20"/>
                <w:szCs w:val="20"/>
                <w:lang w:val="sq-AL"/>
              </w:rPr>
              <w:t>-</w:t>
            </w:r>
          </w:p>
        </w:tc>
        <w:tc>
          <w:tcPr>
            <w:tcW w:w="500" w:type="pct"/>
            <w:gridSpan w:val="4"/>
            <w:vAlign w:val="center"/>
          </w:tcPr>
          <w:p w14:paraId="57269823" w14:textId="77777777" w:rsidR="006B13EF" w:rsidRPr="003E7289" w:rsidRDefault="006B13EF" w:rsidP="00A70686">
            <w:pPr>
              <w:spacing w:before="0" w:line="240" w:lineRule="auto"/>
              <w:jc w:val="center"/>
              <w:rPr>
                <w:rFonts w:ascii="Arial" w:eastAsia="Aptos" w:hAnsi="Arial" w:cs="Arial"/>
                <w:b/>
                <w:bCs/>
                <w:sz w:val="20"/>
                <w:szCs w:val="20"/>
                <w:lang w:val="sq-AL"/>
              </w:rPr>
            </w:pPr>
            <w:r w:rsidRPr="003E7289">
              <w:rPr>
                <w:rFonts w:ascii="Arial" w:eastAsia="Aptos" w:hAnsi="Arial" w:cs="Arial"/>
                <w:b/>
                <w:bCs/>
                <w:sz w:val="20"/>
                <w:szCs w:val="20"/>
                <w:lang w:val="sq-AL"/>
              </w:rPr>
              <w:t>-</w:t>
            </w:r>
          </w:p>
        </w:tc>
        <w:tc>
          <w:tcPr>
            <w:tcW w:w="429" w:type="pct"/>
            <w:vAlign w:val="center"/>
          </w:tcPr>
          <w:p w14:paraId="7EA75293" w14:textId="77777777" w:rsidR="006B13EF" w:rsidRPr="003E7289" w:rsidRDefault="006B13EF" w:rsidP="00A70686">
            <w:pPr>
              <w:spacing w:before="0" w:line="240" w:lineRule="auto"/>
              <w:jc w:val="center"/>
              <w:rPr>
                <w:rFonts w:ascii="Arial" w:eastAsia="Aptos" w:hAnsi="Arial" w:cs="Arial"/>
                <w:b/>
                <w:bCs/>
                <w:sz w:val="20"/>
                <w:szCs w:val="20"/>
                <w:lang w:val="sq-AL"/>
              </w:rPr>
            </w:pPr>
            <w:r w:rsidRPr="003E7289">
              <w:rPr>
                <w:rFonts w:ascii="Arial" w:eastAsia="Aptos" w:hAnsi="Arial" w:cs="Arial"/>
                <w:b/>
                <w:bCs/>
                <w:sz w:val="20"/>
                <w:szCs w:val="20"/>
                <w:lang w:val="sq-AL"/>
              </w:rPr>
              <w:t>-</w:t>
            </w:r>
          </w:p>
        </w:tc>
        <w:tc>
          <w:tcPr>
            <w:tcW w:w="650" w:type="pct"/>
            <w:gridSpan w:val="4"/>
            <w:vAlign w:val="center"/>
          </w:tcPr>
          <w:p w14:paraId="7417C5C3" w14:textId="5BF00C1A" w:rsidR="006B13EF" w:rsidRPr="003E7289" w:rsidRDefault="00A4252B" w:rsidP="00A4252B">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BE/WBIF/Qeveria e Kosovës</w:t>
            </w:r>
          </w:p>
        </w:tc>
        <w:tc>
          <w:tcPr>
            <w:tcW w:w="576" w:type="pct"/>
            <w:gridSpan w:val="2"/>
            <w:vAlign w:val="center"/>
          </w:tcPr>
          <w:p w14:paraId="4F0ACD7D" w14:textId="1A3A56DD" w:rsidR="006B13EF" w:rsidRPr="003E7289" w:rsidRDefault="00A4252B" w:rsidP="00A4252B">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Ministria e Mjedisit, Planifikimit Hapësinor dhe Infrastrukturës</w:t>
            </w:r>
          </w:p>
        </w:tc>
        <w:tc>
          <w:tcPr>
            <w:tcW w:w="514" w:type="pct"/>
            <w:vAlign w:val="center"/>
          </w:tcPr>
          <w:p w14:paraId="6C7A13CB" w14:textId="72D3F75E" w:rsidR="006B13EF" w:rsidRPr="003E7289" w:rsidRDefault="00A4252B" w:rsidP="00A4252B">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Të gjitha pellgjet lumore kanë FRMP të zbatuara</w:t>
            </w:r>
          </w:p>
        </w:tc>
        <w:tc>
          <w:tcPr>
            <w:tcW w:w="394" w:type="pct"/>
            <w:vAlign w:val="center"/>
          </w:tcPr>
          <w:p w14:paraId="2256355B" w14:textId="11F313AB" w:rsidR="006B13EF" w:rsidRPr="003E7289" w:rsidRDefault="00BE39C7" w:rsidP="00A70686">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Strategjia</w:t>
            </w:r>
            <w:r w:rsidR="0012200A" w:rsidRPr="003E7289">
              <w:rPr>
                <w:rFonts w:ascii="Arial" w:eastAsia="Aptos" w:hAnsi="Arial" w:cs="Arial"/>
                <w:sz w:val="20"/>
                <w:szCs w:val="20"/>
                <w:lang w:val="sq-AL"/>
              </w:rPr>
              <w:t xml:space="preserve"> Kombëtare e Ujit 2017–2035</w:t>
            </w:r>
          </w:p>
        </w:tc>
      </w:tr>
      <w:tr w:rsidR="000815E7" w:rsidRPr="003E7289" w14:paraId="550B099A" w14:textId="77777777" w:rsidTr="000815E7">
        <w:trPr>
          <w:cantSplit/>
          <w:trHeight w:val="20"/>
        </w:trPr>
        <w:tc>
          <w:tcPr>
            <w:tcW w:w="729" w:type="pct"/>
            <w:gridSpan w:val="3"/>
            <w:vAlign w:val="center"/>
          </w:tcPr>
          <w:p w14:paraId="0280B1DC" w14:textId="77777777" w:rsidR="006B13EF" w:rsidRPr="003E7289" w:rsidRDefault="006B13EF" w:rsidP="00A70686">
            <w:pPr>
              <w:spacing w:before="0" w:line="240" w:lineRule="auto"/>
              <w:jc w:val="center"/>
              <w:rPr>
                <w:rFonts w:ascii="Arial" w:eastAsia="Aptos" w:hAnsi="Arial" w:cs="Arial"/>
                <w:b/>
                <w:bCs/>
                <w:sz w:val="20"/>
                <w:szCs w:val="20"/>
                <w:lang w:val="sq-AL"/>
              </w:rPr>
            </w:pPr>
            <w:r w:rsidRPr="003E7289">
              <w:rPr>
                <w:rFonts w:ascii="Arial" w:eastAsia="Aptos" w:hAnsi="Arial" w:cs="Arial"/>
                <w:b/>
                <w:bCs/>
                <w:sz w:val="20"/>
                <w:szCs w:val="20"/>
                <w:lang w:val="sq-AL"/>
              </w:rPr>
              <w:lastRenderedPageBreak/>
              <w:t>I.12.4.</w:t>
            </w:r>
          </w:p>
        </w:tc>
        <w:tc>
          <w:tcPr>
            <w:tcW w:w="486" w:type="pct"/>
            <w:gridSpan w:val="4"/>
            <w:vAlign w:val="center"/>
          </w:tcPr>
          <w:p w14:paraId="1E33F242" w14:textId="778CA0D7" w:rsidR="006B13EF" w:rsidRPr="003E7289" w:rsidRDefault="00A4252B" w:rsidP="00A4252B">
            <w:pPr>
              <w:spacing w:before="0" w:line="240" w:lineRule="auto"/>
              <w:jc w:val="center"/>
              <w:rPr>
                <w:rFonts w:ascii="Arial" w:eastAsia="Aptos" w:hAnsi="Arial" w:cs="Arial"/>
                <w:b/>
                <w:bCs/>
                <w:sz w:val="20"/>
                <w:szCs w:val="20"/>
                <w:lang w:val="sq-AL"/>
              </w:rPr>
            </w:pPr>
            <w:r w:rsidRPr="003E7289">
              <w:rPr>
                <w:rFonts w:ascii="Arial" w:eastAsia="Aptos" w:hAnsi="Arial" w:cs="Arial"/>
                <w:b/>
                <w:bCs/>
                <w:sz w:val="20"/>
                <w:szCs w:val="20"/>
                <w:lang w:val="sq-AL"/>
              </w:rPr>
              <w:t>Integrimi i Projektimit dhe Zbatimit të Masave Prioritare për Mbrojtje nga Përmbytjet</w:t>
            </w:r>
          </w:p>
        </w:tc>
        <w:tc>
          <w:tcPr>
            <w:tcW w:w="250" w:type="pct"/>
            <w:gridSpan w:val="2"/>
            <w:vAlign w:val="center"/>
          </w:tcPr>
          <w:p w14:paraId="49E17D55" w14:textId="77777777" w:rsidR="006B13EF" w:rsidRPr="003E7289" w:rsidRDefault="006B13EF" w:rsidP="00A70686">
            <w:pPr>
              <w:spacing w:before="0" w:line="240" w:lineRule="auto"/>
              <w:jc w:val="center"/>
              <w:rPr>
                <w:rFonts w:ascii="Arial" w:eastAsia="Aptos" w:hAnsi="Arial" w:cs="Arial"/>
                <w:bCs/>
                <w:sz w:val="20"/>
                <w:szCs w:val="20"/>
                <w:lang w:val="sq-AL"/>
              </w:rPr>
            </w:pPr>
            <w:r w:rsidRPr="003E7289">
              <w:rPr>
                <w:rFonts w:ascii="Arial" w:eastAsia="Aptos" w:hAnsi="Arial" w:cs="Arial"/>
                <w:bCs/>
                <w:sz w:val="20"/>
                <w:szCs w:val="20"/>
                <w:lang w:val="sq-AL"/>
              </w:rPr>
              <w:t>2040</w:t>
            </w:r>
          </w:p>
        </w:tc>
        <w:tc>
          <w:tcPr>
            <w:tcW w:w="445" w:type="pct"/>
            <w:gridSpan w:val="3"/>
            <w:vAlign w:val="center"/>
          </w:tcPr>
          <w:p w14:paraId="6A920EED" w14:textId="77777777" w:rsidR="006B13EF" w:rsidRPr="003E7289" w:rsidRDefault="006B13EF" w:rsidP="00A70686">
            <w:pPr>
              <w:spacing w:before="0" w:line="240" w:lineRule="auto"/>
              <w:jc w:val="center"/>
              <w:rPr>
                <w:rFonts w:ascii="Arial" w:eastAsia="Aptos" w:hAnsi="Arial" w:cs="Arial"/>
                <w:b/>
                <w:bCs/>
                <w:sz w:val="20"/>
                <w:szCs w:val="20"/>
                <w:lang w:val="sq-AL"/>
              </w:rPr>
            </w:pPr>
            <w:r w:rsidRPr="003E7289">
              <w:rPr>
                <w:rFonts w:ascii="Arial" w:eastAsia="Aptos" w:hAnsi="Arial" w:cs="Arial"/>
                <w:b/>
                <w:bCs/>
                <w:sz w:val="20"/>
                <w:szCs w:val="20"/>
                <w:lang w:val="sq-AL"/>
              </w:rPr>
              <w:t>-</w:t>
            </w:r>
          </w:p>
        </w:tc>
        <w:tc>
          <w:tcPr>
            <w:tcW w:w="500" w:type="pct"/>
            <w:gridSpan w:val="4"/>
            <w:vAlign w:val="center"/>
          </w:tcPr>
          <w:p w14:paraId="00538D44" w14:textId="77777777" w:rsidR="006B13EF" w:rsidRPr="003E7289" w:rsidRDefault="006B13EF" w:rsidP="00A70686">
            <w:pPr>
              <w:spacing w:before="0" w:line="240" w:lineRule="auto"/>
              <w:jc w:val="center"/>
              <w:rPr>
                <w:rFonts w:ascii="Arial" w:eastAsia="Aptos" w:hAnsi="Arial" w:cs="Arial"/>
                <w:b/>
                <w:bCs/>
                <w:sz w:val="20"/>
                <w:szCs w:val="20"/>
                <w:lang w:val="sq-AL"/>
              </w:rPr>
            </w:pPr>
            <w:r w:rsidRPr="003E7289">
              <w:rPr>
                <w:rFonts w:ascii="Arial" w:eastAsia="Aptos" w:hAnsi="Arial" w:cs="Arial"/>
                <w:b/>
                <w:bCs/>
                <w:sz w:val="20"/>
                <w:szCs w:val="20"/>
                <w:lang w:val="sq-AL"/>
              </w:rPr>
              <w:t>-</w:t>
            </w:r>
          </w:p>
        </w:tc>
        <w:tc>
          <w:tcPr>
            <w:tcW w:w="429" w:type="pct"/>
            <w:vAlign w:val="center"/>
          </w:tcPr>
          <w:p w14:paraId="205F2426" w14:textId="77777777" w:rsidR="006B13EF" w:rsidRPr="003E7289" w:rsidRDefault="006B13EF" w:rsidP="00A70686">
            <w:pPr>
              <w:spacing w:before="0" w:line="240" w:lineRule="auto"/>
              <w:jc w:val="center"/>
              <w:rPr>
                <w:rFonts w:ascii="Arial" w:eastAsia="Aptos" w:hAnsi="Arial" w:cs="Arial"/>
                <w:b/>
                <w:bCs/>
                <w:sz w:val="20"/>
                <w:szCs w:val="20"/>
                <w:lang w:val="sq-AL"/>
              </w:rPr>
            </w:pPr>
            <w:r w:rsidRPr="003E7289">
              <w:rPr>
                <w:rFonts w:ascii="Arial" w:eastAsia="Aptos" w:hAnsi="Arial" w:cs="Arial"/>
                <w:b/>
                <w:bCs/>
                <w:sz w:val="20"/>
                <w:szCs w:val="20"/>
                <w:lang w:val="sq-AL"/>
              </w:rPr>
              <w:t>-</w:t>
            </w:r>
          </w:p>
        </w:tc>
        <w:tc>
          <w:tcPr>
            <w:tcW w:w="650" w:type="pct"/>
            <w:gridSpan w:val="4"/>
            <w:vAlign w:val="center"/>
          </w:tcPr>
          <w:p w14:paraId="7CFA935B" w14:textId="5372FA01" w:rsidR="006B13EF" w:rsidRPr="003E7289" w:rsidRDefault="00A4252B" w:rsidP="00A4252B">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BE/WBIF/Qeveria e Kosovës</w:t>
            </w:r>
          </w:p>
        </w:tc>
        <w:tc>
          <w:tcPr>
            <w:tcW w:w="576" w:type="pct"/>
            <w:gridSpan w:val="2"/>
          </w:tcPr>
          <w:p w14:paraId="33F3F236" w14:textId="77777777" w:rsidR="006B13EF" w:rsidRPr="003E7289" w:rsidRDefault="006B13EF" w:rsidP="00A70686">
            <w:pPr>
              <w:spacing w:before="0" w:line="240" w:lineRule="auto"/>
              <w:jc w:val="center"/>
              <w:rPr>
                <w:rFonts w:ascii="Arial" w:eastAsia="Aptos" w:hAnsi="Arial" w:cs="Arial"/>
                <w:sz w:val="20"/>
                <w:szCs w:val="20"/>
                <w:lang w:val="sq-AL"/>
              </w:rPr>
            </w:pPr>
          </w:p>
        </w:tc>
        <w:tc>
          <w:tcPr>
            <w:tcW w:w="514" w:type="pct"/>
            <w:vAlign w:val="center"/>
          </w:tcPr>
          <w:p w14:paraId="309FC7AD" w14:textId="656CC31A" w:rsidR="006B13EF" w:rsidRPr="003E7289" w:rsidRDefault="00A4252B" w:rsidP="00A4252B">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Të gjitha zonat prioritare ndaj rrezikut nga përmbytjet kanë masa mbrojtëse të projektuara, zonat me rrezik të lartë kanë barriera strukturore të ndërtuara dhe infrastruktura prioritare për mbrojtje nga përmbytjet (diga, rezervuarë pritës, mure mbrojtëse) është funksionale</w:t>
            </w:r>
          </w:p>
        </w:tc>
        <w:tc>
          <w:tcPr>
            <w:tcW w:w="394" w:type="pct"/>
            <w:vAlign w:val="center"/>
          </w:tcPr>
          <w:p w14:paraId="7CBC0B50" w14:textId="35462F22" w:rsidR="006B13EF" w:rsidRPr="003E7289" w:rsidRDefault="00BE39C7" w:rsidP="00A70686">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Strategjia</w:t>
            </w:r>
            <w:r w:rsidR="0012200A" w:rsidRPr="003E7289">
              <w:rPr>
                <w:rFonts w:ascii="Arial" w:eastAsia="Aptos" w:hAnsi="Arial" w:cs="Arial"/>
                <w:sz w:val="20"/>
                <w:szCs w:val="20"/>
                <w:lang w:val="sq-AL"/>
              </w:rPr>
              <w:t xml:space="preserve"> Kombëtare e Ujit 2017–2035</w:t>
            </w:r>
          </w:p>
        </w:tc>
      </w:tr>
      <w:tr w:rsidR="0012200A" w:rsidRPr="003E7289" w14:paraId="69DB76E9" w14:textId="77777777" w:rsidTr="00C65386">
        <w:trPr>
          <w:cantSplit/>
          <w:trHeight w:val="20"/>
        </w:trPr>
        <w:tc>
          <w:tcPr>
            <w:tcW w:w="1215" w:type="pct"/>
            <w:gridSpan w:val="7"/>
            <w:shd w:val="clear" w:color="auto" w:fill="C6E7F6"/>
            <w:vAlign w:val="center"/>
          </w:tcPr>
          <w:p w14:paraId="237C376F" w14:textId="297FB9DC" w:rsidR="00C63DE6" w:rsidRPr="003E7289" w:rsidRDefault="00C63DE6" w:rsidP="00C63DE6">
            <w:pPr>
              <w:spacing w:before="0" w:line="240" w:lineRule="auto"/>
              <w:rPr>
                <w:rFonts w:ascii="Arial" w:eastAsia="Aptos" w:hAnsi="Arial" w:cs="Arial"/>
                <w:b/>
                <w:bCs/>
                <w:sz w:val="20"/>
                <w:szCs w:val="20"/>
                <w:lang w:val="sq-AL" w:eastAsia="en-US"/>
              </w:rPr>
            </w:pPr>
            <w:r w:rsidRPr="003E7289">
              <w:rPr>
                <w:rFonts w:ascii="Arial" w:eastAsia="Aptos" w:hAnsi="Arial" w:cs="Arial"/>
                <w:b/>
                <w:bCs/>
                <w:sz w:val="20"/>
                <w:szCs w:val="20"/>
                <w:lang w:val="sq-AL"/>
              </w:rPr>
              <w:t>Buxheti total për Objektivin specifik I.12:</w:t>
            </w:r>
          </w:p>
        </w:tc>
        <w:tc>
          <w:tcPr>
            <w:tcW w:w="3759" w:type="pct"/>
            <w:gridSpan w:val="18"/>
            <w:vAlign w:val="center"/>
          </w:tcPr>
          <w:p w14:paraId="6F6752AC" w14:textId="77777777" w:rsidR="00C63DE6" w:rsidRPr="003E7289" w:rsidRDefault="00C63DE6" w:rsidP="00C63DE6">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w:t>
            </w:r>
          </w:p>
        </w:tc>
      </w:tr>
      <w:tr w:rsidR="0012200A" w:rsidRPr="003E7289" w14:paraId="714B332D" w14:textId="77777777" w:rsidTr="00C65386">
        <w:trPr>
          <w:cantSplit/>
          <w:trHeight w:val="20"/>
        </w:trPr>
        <w:tc>
          <w:tcPr>
            <w:tcW w:w="1215" w:type="pct"/>
            <w:gridSpan w:val="7"/>
            <w:shd w:val="clear" w:color="auto" w:fill="C6E7F6"/>
          </w:tcPr>
          <w:p w14:paraId="236DAE2D" w14:textId="709EFAC2" w:rsidR="00C63DE6" w:rsidRPr="003E7289" w:rsidRDefault="00C63DE6" w:rsidP="00C63DE6">
            <w:pPr>
              <w:spacing w:before="0" w:line="240" w:lineRule="auto"/>
              <w:rPr>
                <w:rFonts w:ascii="Arial" w:eastAsia="Aptos" w:hAnsi="Arial" w:cs="Arial"/>
                <w:b/>
                <w:bCs/>
                <w:sz w:val="20"/>
                <w:szCs w:val="20"/>
                <w:lang w:val="sq-AL" w:eastAsia="en-US"/>
              </w:rPr>
            </w:pPr>
            <w:r w:rsidRPr="003E7289">
              <w:rPr>
                <w:rFonts w:ascii="Arial" w:eastAsia="Aptos" w:hAnsi="Arial" w:cs="Arial"/>
                <w:b/>
                <w:bCs/>
                <w:sz w:val="20"/>
                <w:szCs w:val="20"/>
                <w:lang w:val="sq-AL"/>
              </w:rPr>
              <w:t>Nga kjo, kapital:</w:t>
            </w:r>
          </w:p>
        </w:tc>
        <w:tc>
          <w:tcPr>
            <w:tcW w:w="3759" w:type="pct"/>
            <w:gridSpan w:val="18"/>
            <w:vAlign w:val="center"/>
          </w:tcPr>
          <w:p w14:paraId="41BFAC8B" w14:textId="77777777" w:rsidR="00C63DE6" w:rsidRPr="003E7289" w:rsidRDefault="00C63DE6" w:rsidP="00C63DE6">
            <w:pPr>
              <w:spacing w:before="0" w:line="240" w:lineRule="auto"/>
              <w:jc w:val="center"/>
              <w:rPr>
                <w:rFonts w:ascii="Arial" w:eastAsia="Aptos" w:hAnsi="Arial" w:cs="Arial"/>
                <w:b/>
                <w:bCs/>
                <w:sz w:val="20"/>
                <w:szCs w:val="20"/>
                <w:lang w:val="sq-AL" w:eastAsia="en-US"/>
              </w:rPr>
            </w:pPr>
          </w:p>
        </w:tc>
      </w:tr>
      <w:tr w:rsidR="0012200A" w:rsidRPr="003E7289" w14:paraId="37C73748" w14:textId="77777777" w:rsidTr="00C65386">
        <w:trPr>
          <w:cantSplit/>
          <w:trHeight w:val="20"/>
        </w:trPr>
        <w:tc>
          <w:tcPr>
            <w:tcW w:w="1215" w:type="pct"/>
            <w:gridSpan w:val="7"/>
            <w:shd w:val="clear" w:color="auto" w:fill="C6E7F6"/>
          </w:tcPr>
          <w:p w14:paraId="6CF727A7" w14:textId="086BC560" w:rsidR="00C63DE6" w:rsidRPr="003E7289" w:rsidRDefault="00C63DE6" w:rsidP="00C63DE6">
            <w:pPr>
              <w:spacing w:before="0" w:line="240" w:lineRule="auto"/>
              <w:rPr>
                <w:rFonts w:ascii="Arial" w:eastAsia="Aptos" w:hAnsi="Arial" w:cs="Arial"/>
                <w:b/>
                <w:bCs/>
                <w:sz w:val="20"/>
                <w:szCs w:val="20"/>
                <w:lang w:val="sq-AL" w:eastAsia="en-US"/>
              </w:rPr>
            </w:pPr>
            <w:r w:rsidRPr="003E7289">
              <w:rPr>
                <w:rFonts w:ascii="Arial" w:eastAsia="Aptos" w:hAnsi="Arial" w:cs="Arial"/>
                <w:b/>
                <w:bCs/>
                <w:sz w:val="20"/>
                <w:szCs w:val="20"/>
                <w:lang w:val="sq-AL"/>
              </w:rPr>
              <w:t>Nga kjo, shpenzime korrente:</w:t>
            </w:r>
          </w:p>
        </w:tc>
        <w:tc>
          <w:tcPr>
            <w:tcW w:w="3759" w:type="pct"/>
            <w:gridSpan w:val="18"/>
            <w:vAlign w:val="center"/>
          </w:tcPr>
          <w:p w14:paraId="60B9177E" w14:textId="77777777" w:rsidR="00C63DE6" w:rsidRPr="003E7289" w:rsidRDefault="00C63DE6" w:rsidP="00C63DE6">
            <w:pPr>
              <w:spacing w:before="0" w:line="240" w:lineRule="auto"/>
              <w:jc w:val="center"/>
              <w:rPr>
                <w:rFonts w:ascii="Arial" w:eastAsia="Aptos" w:hAnsi="Arial" w:cs="Arial"/>
                <w:b/>
                <w:bCs/>
                <w:sz w:val="20"/>
                <w:szCs w:val="20"/>
                <w:lang w:val="sq-AL" w:eastAsia="en-US"/>
              </w:rPr>
            </w:pPr>
          </w:p>
        </w:tc>
      </w:tr>
      <w:tr w:rsidR="000815E7" w:rsidRPr="003E7289" w14:paraId="0B3DB838" w14:textId="77777777" w:rsidTr="000815E7">
        <w:trPr>
          <w:cantSplit/>
          <w:trHeight w:val="20"/>
        </w:trPr>
        <w:tc>
          <w:tcPr>
            <w:tcW w:w="256" w:type="pct"/>
            <w:gridSpan w:val="2"/>
            <w:shd w:val="clear" w:color="auto" w:fill="84CCEC"/>
            <w:vAlign w:val="center"/>
          </w:tcPr>
          <w:p w14:paraId="1BE34B45" w14:textId="77777777" w:rsidR="000815E7" w:rsidRPr="003E7289" w:rsidRDefault="000815E7" w:rsidP="00893F62">
            <w:pPr>
              <w:spacing w:before="0" w:line="240" w:lineRule="auto"/>
              <w:jc w:val="center"/>
              <w:rPr>
                <w:rFonts w:ascii="Arial" w:eastAsia="Aptos" w:hAnsi="Arial" w:cs="Arial"/>
                <w:b/>
                <w:bCs/>
                <w:sz w:val="20"/>
                <w:szCs w:val="20"/>
                <w:highlight w:val="green"/>
                <w:lang w:val="sq-AL" w:eastAsia="en-US"/>
              </w:rPr>
            </w:pPr>
            <w:r w:rsidRPr="003E7289">
              <w:rPr>
                <w:rFonts w:ascii="Arial" w:eastAsia="Aptos" w:hAnsi="Arial" w:cs="Arial"/>
                <w:b/>
                <w:bCs/>
                <w:sz w:val="20"/>
                <w:szCs w:val="20"/>
                <w:lang w:val="sq-AL"/>
              </w:rPr>
              <w:t>I.13</w:t>
            </w:r>
          </w:p>
        </w:tc>
        <w:tc>
          <w:tcPr>
            <w:tcW w:w="4744" w:type="pct"/>
            <w:gridSpan w:val="23"/>
            <w:shd w:val="clear" w:color="auto" w:fill="84CCEC"/>
            <w:vAlign w:val="center"/>
          </w:tcPr>
          <w:p w14:paraId="79CB6710" w14:textId="77777777" w:rsidR="000815E7" w:rsidRPr="003E7289" w:rsidRDefault="000815E7" w:rsidP="00893F62">
            <w:pPr>
              <w:spacing w:before="0" w:line="240" w:lineRule="auto"/>
              <w:jc w:val="center"/>
              <w:rPr>
                <w:rFonts w:ascii="Arial" w:eastAsia="Aptos" w:hAnsi="Arial" w:cs="Arial"/>
                <w:b/>
                <w:bCs/>
                <w:sz w:val="20"/>
                <w:szCs w:val="20"/>
                <w:highlight w:val="green"/>
                <w:lang w:val="sq-AL" w:eastAsia="en-US"/>
              </w:rPr>
            </w:pPr>
            <w:r w:rsidRPr="003E7289">
              <w:rPr>
                <w:rFonts w:ascii="Arial" w:eastAsia="Aptos" w:hAnsi="Arial" w:cs="Arial"/>
                <w:b/>
                <w:bCs/>
                <w:sz w:val="20"/>
                <w:szCs w:val="20"/>
                <w:lang w:val="sq-AL"/>
              </w:rPr>
              <w:t>Studim Kombëtar mbi Integrimin e Zgjidhjeve të Bazuar në Natyrë (NbS) në Menaxhimin e Rrezikut nga Përmbytjet</w:t>
            </w:r>
          </w:p>
        </w:tc>
      </w:tr>
      <w:tr w:rsidR="000815E7" w:rsidRPr="003E7289" w14:paraId="21EF3E83" w14:textId="77777777" w:rsidTr="00C65386">
        <w:trPr>
          <w:cantSplit/>
          <w:trHeight w:val="20"/>
        </w:trPr>
        <w:tc>
          <w:tcPr>
            <w:tcW w:w="768" w:type="pct"/>
            <w:gridSpan w:val="4"/>
            <w:vAlign w:val="center"/>
          </w:tcPr>
          <w:p w14:paraId="59D0E2EE" w14:textId="77777777" w:rsidR="000815E7" w:rsidRPr="003E7289" w:rsidRDefault="000815E7" w:rsidP="00893F62">
            <w:pPr>
              <w:spacing w:before="0" w:line="240" w:lineRule="auto"/>
              <w:jc w:val="center"/>
              <w:rPr>
                <w:rFonts w:ascii="Arial" w:eastAsia="Aptos" w:hAnsi="Arial" w:cs="Arial"/>
                <w:i/>
                <w:iCs/>
                <w:sz w:val="20"/>
                <w:szCs w:val="20"/>
                <w:highlight w:val="green"/>
                <w:lang w:val="sq-AL" w:eastAsia="en-US"/>
              </w:rPr>
            </w:pPr>
            <w:r w:rsidRPr="003E7289">
              <w:rPr>
                <w:rFonts w:ascii="Arial" w:eastAsia="Aptos" w:hAnsi="Arial" w:cs="Arial"/>
                <w:b/>
                <w:bCs/>
                <w:sz w:val="20"/>
                <w:szCs w:val="20"/>
                <w:lang w:val="sq-AL"/>
              </w:rPr>
              <w:lastRenderedPageBreak/>
              <w:t>Përqindja e progresit në zhvillimin dhe zbatimin e Studimit Kombëtar mbi Zgjidhjet e Bazuar në Natyrë (NbS) për Menaxhimin e Rrezikut nga Përmbytjet</w:t>
            </w:r>
          </w:p>
        </w:tc>
        <w:tc>
          <w:tcPr>
            <w:tcW w:w="460" w:type="pct"/>
            <w:gridSpan w:val="4"/>
            <w:vAlign w:val="center"/>
          </w:tcPr>
          <w:p w14:paraId="3D9EB335" w14:textId="77777777" w:rsidR="000815E7" w:rsidRPr="003E7289" w:rsidRDefault="000815E7" w:rsidP="00893F62">
            <w:pPr>
              <w:spacing w:before="0" w:line="240" w:lineRule="auto"/>
              <w:rPr>
                <w:rFonts w:ascii="Arial" w:eastAsia="Aptos" w:hAnsi="Arial" w:cs="Arial"/>
                <w:sz w:val="20"/>
                <w:szCs w:val="20"/>
                <w:lang w:val="sq-AL" w:eastAsia="en-US"/>
              </w:rPr>
            </w:pPr>
            <w:r w:rsidRPr="003E7289">
              <w:rPr>
                <w:rFonts w:ascii="Arial" w:eastAsia="Aptos" w:hAnsi="Arial" w:cs="Arial"/>
                <w:sz w:val="20"/>
                <w:szCs w:val="20"/>
                <w:lang w:val="sq-AL"/>
              </w:rPr>
              <w:t>0%</w:t>
            </w:r>
          </w:p>
        </w:tc>
        <w:tc>
          <w:tcPr>
            <w:tcW w:w="692" w:type="pct"/>
            <w:gridSpan w:val="5"/>
            <w:vAlign w:val="center"/>
          </w:tcPr>
          <w:p w14:paraId="0C4DBD91" w14:textId="77777777" w:rsidR="000815E7" w:rsidRPr="003E7289" w:rsidRDefault="000815E7" w:rsidP="00893F62">
            <w:pPr>
              <w:spacing w:before="0" w:line="240" w:lineRule="auto"/>
              <w:rPr>
                <w:rFonts w:ascii="Arial" w:eastAsia="Aptos" w:hAnsi="Arial" w:cs="Arial"/>
                <w:sz w:val="20"/>
                <w:szCs w:val="20"/>
                <w:lang w:val="sq-AL" w:eastAsia="en-US"/>
              </w:rPr>
            </w:pPr>
            <w:r w:rsidRPr="003E7289">
              <w:rPr>
                <w:rFonts w:ascii="Arial" w:eastAsia="Aptos" w:hAnsi="Arial" w:cs="Arial"/>
                <w:sz w:val="20"/>
                <w:szCs w:val="20"/>
                <w:lang w:val="sq-AL"/>
              </w:rPr>
              <w:t>100% e studimit e përfunduar dhe e shpërndarë</w:t>
            </w:r>
          </w:p>
        </w:tc>
        <w:tc>
          <w:tcPr>
            <w:tcW w:w="948" w:type="pct"/>
            <w:gridSpan w:val="5"/>
            <w:vAlign w:val="center"/>
          </w:tcPr>
          <w:p w14:paraId="1D6E17D4" w14:textId="77777777" w:rsidR="000815E7" w:rsidRPr="003E7289" w:rsidRDefault="000815E7" w:rsidP="00893F62">
            <w:pPr>
              <w:spacing w:before="0" w:line="240" w:lineRule="auto"/>
              <w:rPr>
                <w:rFonts w:ascii="Arial" w:eastAsia="Aptos" w:hAnsi="Arial" w:cs="Arial"/>
                <w:sz w:val="20"/>
                <w:szCs w:val="20"/>
                <w:lang w:val="sq-AL" w:eastAsia="en-US"/>
              </w:rPr>
            </w:pPr>
            <w:r w:rsidRPr="003E7289">
              <w:rPr>
                <w:rFonts w:ascii="Arial" w:eastAsia="Aptos" w:hAnsi="Arial" w:cs="Arial"/>
                <w:sz w:val="20"/>
                <w:szCs w:val="20"/>
                <w:lang w:val="sq-AL"/>
              </w:rPr>
              <w:t>Të paktën 50% e rekomandimeve nga studimi të reflektohen në planet kombëtare ose komunale për menaxhimin e rrezikut nga përmbytjet</w:t>
            </w:r>
          </w:p>
        </w:tc>
        <w:tc>
          <w:tcPr>
            <w:tcW w:w="2133" w:type="pct"/>
            <w:gridSpan w:val="7"/>
            <w:vAlign w:val="center"/>
          </w:tcPr>
          <w:p w14:paraId="2394E3AE" w14:textId="77777777" w:rsidR="000815E7" w:rsidRPr="003E7289" w:rsidRDefault="000815E7" w:rsidP="00893F62">
            <w:pPr>
              <w:spacing w:before="0" w:line="240" w:lineRule="auto"/>
              <w:rPr>
                <w:rFonts w:ascii="Arial" w:eastAsia="Aptos" w:hAnsi="Arial" w:cs="Arial"/>
                <w:sz w:val="20"/>
                <w:szCs w:val="20"/>
                <w:lang w:val="sq-AL" w:eastAsia="en-US"/>
              </w:rPr>
            </w:pPr>
            <w:r w:rsidRPr="003E7289">
              <w:rPr>
                <w:rFonts w:ascii="Arial" w:eastAsia="Aptos" w:hAnsi="Arial" w:cs="Arial"/>
                <w:sz w:val="20"/>
                <w:szCs w:val="20"/>
                <w:lang w:val="sq-AL"/>
              </w:rPr>
              <w:t>Të paktën 80% e rekomandimeve nga studimi të integrohen plotësisht në kuadrot e qeverisjes së ujërave dhe në planifikimin urban/rural</w:t>
            </w:r>
          </w:p>
        </w:tc>
      </w:tr>
      <w:tr w:rsidR="00C65386" w:rsidRPr="003E7289" w14:paraId="74DE0D0B" w14:textId="77777777" w:rsidTr="00C65386">
        <w:trPr>
          <w:cantSplit/>
          <w:trHeight w:val="20"/>
        </w:trPr>
        <w:tc>
          <w:tcPr>
            <w:tcW w:w="256" w:type="pct"/>
            <w:gridSpan w:val="2"/>
            <w:vMerge w:val="restart"/>
            <w:shd w:val="clear" w:color="auto" w:fill="C6E7F6"/>
            <w:vAlign w:val="center"/>
          </w:tcPr>
          <w:p w14:paraId="723DF92F" w14:textId="77777777" w:rsidR="000815E7" w:rsidRPr="003E7289" w:rsidRDefault="000815E7" w:rsidP="00893F62">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Nr.</w:t>
            </w:r>
          </w:p>
        </w:tc>
        <w:tc>
          <w:tcPr>
            <w:tcW w:w="511" w:type="pct"/>
            <w:gridSpan w:val="2"/>
            <w:vMerge w:val="restart"/>
            <w:shd w:val="clear" w:color="auto" w:fill="C6E7F6"/>
            <w:vAlign w:val="center"/>
          </w:tcPr>
          <w:p w14:paraId="4E8D78DC" w14:textId="77777777" w:rsidR="000815E7" w:rsidRPr="003E7289" w:rsidRDefault="000815E7" w:rsidP="00893F62">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Veprimi</w:t>
            </w:r>
          </w:p>
        </w:tc>
        <w:tc>
          <w:tcPr>
            <w:tcW w:w="460" w:type="pct"/>
            <w:gridSpan w:val="4"/>
            <w:vMerge w:val="restart"/>
            <w:shd w:val="clear" w:color="auto" w:fill="C6E7F6"/>
            <w:vAlign w:val="center"/>
          </w:tcPr>
          <w:p w14:paraId="24626245" w14:textId="77777777" w:rsidR="000815E7" w:rsidRPr="003E7289" w:rsidRDefault="000815E7" w:rsidP="00893F62">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Afati I fundit</w:t>
            </w:r>
          </w:p>
        </w:tc>
        <w:tc>
          <w:tcPr>
            <w:tcW w:w="1110" w:type="pct"/>
            <w:gridSpan w:val="7"/>
            <w:shd w:val="clear" w:color="auto" w:fill="C6E7F6"/>
            <w:vAlign w:val="center"/>
          </w:tcPr>
          <w:p w14:paraId="6D60BC71" w14:textId="77777777" w:rsidR="000815E7" w:rsidRPr="003E7289" w:rsidRDefault="000815E7" w:rsidP="00893F62">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Buxheti</w:t>
            </w:r>
          </w:p>
        </w:tc>
        <w:tc>
          <w:tcPr>
            <w:tcW w:w="530" w:type="pct"/>
            <w:gridSpan w:val="3"/>
            <w:vMerge w:val="restart"/>
            <w:shd w:val="clear" w:color="auto" w:fill="C6E7F6"/>
            <w:vAlign w:val="center"/>
          </w:tcPr>
          <w:p w14:paraId="332A30EA" w14:textId="77777777" w:rsidR="000815E7" w:rsidRPr="003E7289" w:rsidRDefault="000815E7" w:rsidP="00893F62">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Burimi i financimit</w:t>
            </w:r>
          </w:p>
        </w:tc>
        <w:tc>
          <w:tcPr>
            <w:tcW w:w="482" w:type="pct"/>
            <w:vMerge w:val="restart"/>
            <w:shd w:val="clear" w:color="auto" w:fill="C6E7F6"/>
            <w:vAlign w:val="center"/>
          </w:tcPr>
          <w:p w14:paraId="74A35034" w14:textId="77777777" w:rsidR="000815E7" w:rsidRPr="003E7289" w:rsidRDefault="000815E7" w:rsidP="00893F62">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Institucionet përgjegjëse dhe partnere</w:t>
            </w:r>
          </w:p>
        </w:tc>
        <w:tc>
          <w:tcPr>
            <w:tcW w:w="510" w:type="pct"/>
            <w:gridSpan w:val="3"/>
            <w:vMerge w:val="restart"/>
            <w:shd w:val="clear" w:color="auto" w:fill="C6E7F6"/>
            <w:vAlign w:val="center"/>
          </w:tcPr>
          <w:p w14:paraId="3848DADE" w14:textId="77777777" w:rsidR="000815E7" w:rsidRPr="003E7289" w:rsidRDefault="000815E7" w:rsidP="00893F62">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Rezultati i pritur</w:t>
            </w:r>
          </w:p>
        </w:tc>
        <w:tc>
          <w:tcPr>
            <w:tcW w:w="1140" w:type="pct"/>
            <w:gridSpan w:val="3"/>
            <w:vMerge w:val="restart"/>
            <w:shd w:val="clear" w:color="auto" w:fill="C6E7F6"/>
            <w:vAlign w:val="center"/>
          </w:tcPr>
          <w:p w14:paraId="5E0159C7" w14:textId="77777777" w:rsidR="000815E7" w:rsidRPr="003E7289" w:rsidRDefault="000815E7" w:rsidP="00893F62">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Dokumenti strategjik referues</w:t>
            </w:r>
          </w:p>
        </w:tc>
      </w:tr>
      <w:tr w:rsidR="000815E7" w:rsidRPr="003E7289" w14:paraId="2B52488E" w14:textId="77777777" w:rsidTr="000815E7">
        <w:trPr>
          <w:cantSplit/>
          <w:trHeight w:val="20"/>
        </w:trPr>
        <w:tc>
          <w:tcPr>
            <w:tcW w:w="256" w:type="pct"/>
            <w:gridSpan w:val="2"/>
            <w:vMerge/>
            <w:vAlign w:val="center"/>
          </w:tcPr>
          <w:p w14:paraId="05A75277" w14:textId="77777777" w:rsidR="000815E7" w:rsidRPr="003E7289" w:rsidRDefault="000815E7" w:rsidP="00893F62">
            <w:pPr>
              <w:spacing w:before="0" w:line="240" w:lineRule="auto"/>
              <w:jc w:val="center"/>
              <w:rPr>
                <w:rFonts w:ascii="Arial" w:eastAsia="Aptos" w:hAnsi="Arial" w:cs="Arial"/>
                <w:sz w:val="20"/>
                <w:szCs w:val="20"/>
                <w:lang w:val="sq-AL" w:eastAsia="en-US"/>
              </w:rPr>
            </w:pPr>
          </w:p>
        </w:tc>
        <w:tc>
          <w:tcPr>
            <w:tcW w:w="511" w:type="pct"/>
            <w:gridSpan w:val="2"/>
            <w:vMerge/>
            <w:vAlign w:val="center"/>
          </w:tcPr>
          <w:p w14:paraId="7F134F42" w14:textId="77777777" w:rsidR="000815E7" w:rsidRPr="003E7289" w:rsidRDefault="000815E7" w:rsidP="00893F62">
            <w:pPr>
              <w:spacing w:before="0" w:line="240" w:lineRule="auto"/>
              <w:jc w:val="center"/>
              <w:rPr>
                <w:rFonts w:ascii="Arial" w:eastAsia="Aptos" w:hAnsi="Arial" w:cs="Arial"/>
                <w:b/>
                <w:bCs/>
                <w:sz w:val="20"/>
                <w:szCs w:val="20"/>
                <w:lang w:val="sq-AL" w:eastAsia="en-US"/>
              </w:rPr>
            </w:pPr>
          </w:p>
        </w:tc>
        <w:tc>
          <w:tcPr>
            <w:tcW w:w="460" w:type="pct"/>
            <w:gridSpan w:val="4"/>
            <w:vMerge/>
            <w:vAlign w:val="center"/>
          </w:tcPr>
          <w:p w14:paraId="22D48160" w14:textId="77777777" w:rsidR="000815E7" w:rsidRPr="003E7289" w:rsidRDefault="000815E7" w:rsidP="00893F62">
            <w:pPr>
              <w:spacing w:before="0" w:line="240" w:lineRule="auto"/>
              <w:jc w:val="center"/>
              <w:rPr>
                <w:rFonts w:ascii="Arial" w:eastAsia="Aptos" w:hAnsi="Arial" w:cs="Arial"/>
                <w:b/>
                <w:bCs/>
                <w:sz w:val="20"/>
                <w:szCs w:val="20"/>
                <w:highlight w:val="yellow"/>
                <w:lang w:val="sq-AL" w:eastAsia="en-US"/>
              </w:rPr>
            </w:pPr>
          </w:p>
        </w:tc>
        <w:tc>
          <w:tcPr>
            <w:tcW w:w="360" w:type="pct"/>
            <w:gridSpan w:val="2"/>
            <w:tcBorders>
              <w:bottom w:val="single" w:sz="4" w:space="0" w:color="auto"/>
            </w:tcBorders>
            <w:shd w:val="clear" w:color="auto" w:fill="C6E7F6"/>
            <w:vAlign w:val="center"/>
          </w:tcPr>
          <w:p w14:paraId="4D741704" w14:textId="77777777" w:rsidR="000815E7" w:rsidRPr="003E7289" w:rsidRDefault="000815E7" w:rsidP="00893F62">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2026</w:t>
            </w:r>
          </w:p>
        </w:tc>
        <w:tc>
          <w:tcPr>
            <w:tcW w:w="306" w:type="pct"/>
            <w:tcBorders>
              <w:bottom w:val="single" w:sz="4" w:space="0" w:color="auto"/>
            </w:tcBorders>
            <w:shd w:val="clear" w:color="auto" w:fill="C6E7F6"/>
            <w:vAlign w:val="center"/>
          </w:tcPr>
          <w:p w14:paraId="79A3D7CE" w14:textId="77777777" w:rsidR="000815E7" w:rsidRPr="003E7289" w:rsidRDefault="000815E7" w:rsidP="00893F62">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2027</w:t>
            </w:r>
          </w:p>
        </w:tc>
        <w:tc>
          <w:tcPr>
            <w:tcW w:w="444" w:type="pct"/>
            <w:gridSpan w:val="4"/>
            <w:tcBorders>
              <w:bottom w:val="single" w:sz="4" w:space="0" w:color="auto"/>
            </w:tcBorders>
            <w:shd w:val="clear" w:color="auto" w:fill="C6E7F6"/>
            <w:vAlign w:val="center"/>
          </w:tcPr>
          <w:p w14:paraId="1D9AF47F" w14:textId="77777777" w:rsidR="000815E7" w:rsidRPr="003E7289" w:rsidRDefault="000815E7" w:rsidP="00893F62">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2028</w:t>
            </w:r>
          </w:p>
        </w:tc>
        <w:tc>
          <w:tcPr>
            <w:tcW w:w="530" w:type="pct"/>
            <w:gridSpan w:val="3"/>
            <w:vMerge/>
            <w:vAlign w:val="center"/>
          </w:tcPr>
          <w:p w14:paraId="5CA26CF3" w14:textId="77777777" w:rsidR="000815E7" w:rsidRPr="003E7289" w:rsidRDefault="000815E7" w:rsidP="00893F62">
            <w:pPr>
              <w:spacing w:before="0" w:line="240" w:lineRule="auto"/>
              <w:jc w:val="center"/>
              <w:rPr>
                <w:rFonts w:ascii="Arial" w:eastAsia="Aptos" w:hAnsi="Arial" w:cs="Arial"/>
                <w:b/>
                <w:bCs/>
                <w:sz w:val="20"/>
                <w:szCs w:val="20"/>
                <w:highlight w:val="yellow"/>
                <w:lang w:val="sq-AL" w:eastAsia="en-US"/>
              </w:rPr>
            </w:pPr>
          </w:p>
        </w:tc>
        <w:tc>
          <w:tcPr>
            <w:tcW w:w="482" w:type="pct"/>
            <w:vMerge/>
            <w:vAlign w:val="center"/>
          </w:tcPr>
          <w:p w14:paraId="5E3A84AF" w14:textId="77777777" w:rsidR="000815E7" w:rsidRPr="003E7289" w:rsidRDefault="000815E7" w:rsidP="00893F62">
            <w:pPr>
              <w:spacing w:before="0" w:line="240" w:lineRule="auto"/>
              <w:jc w:val="center"/>
              <w:rPr>
                <w:rFonts w:ascii="Arial" w:eastAsia="Aptos" w:hAnsi="Arial" w:cs="Arial"/>
                <w:b/>
                <w:bCs/>
                <w:sz w:val="20"/>
                <w:szCs w:val="20"/>
                <w:highlight w:val="yellow"/>
                <w:lang w:val="sq-AL" w:eastAsia="en-US"/>
              </w:rPr>
            </w:pPr>
          </w:p>
        </w:tc>
        <w:tc>
          <w:tcPr>
            <w:tcW w:w="510" w:type="pct"/>
            <w:gridSpan w:val="3"/>
            <w:vMerge/>
            <w:vAlign w:val="center"/>
          </w:tcPr>
          <w:p w14:paraId="060128AF" w14:textId="77777777" w:rsidR="000815E7" w:rsidRPr="003E7289" w:rsidRDefault="000815E7" w:rsidP="00893F62">
            <w:pPr>
              <w:spacing w:before="0" w:line="240" w:lineRule="auto"/>
              <w:jc w:val="center"/>
              <w:rPr>
                <w:rFonts w:ascii="Arial" w:eastAsia="Aptos" w:hAnsi="Arial" w:cs="Arial"/>
                <w:b/>
                <w:bCs/>
                <w:sz w:val="20"/>
                <w:szCs w:val="20"/>
                <w:highlight w:val="yellow"/>
                <w:lang w:val="sq-AL" w:eastAsia="en-US"/>
              </w:rPr>
            </w:pPr>
          </w:p>
        </w:tc>
        <w:tc>
          <w:tcPr>
            <w:tcW w:w="1140" w:type="pct"/>
            <w:gridSpan w:val="3"/>
            <w:vMerge/>
            <w:vAlign w:val="center"/>
          </w:tcPr>
          <w:p w14:paraId="758285C2" w14:textId="77777777" w:rsidR="000815E7" w:rsidRPr="003E7289" w:rsidRDefault="000815E7" w:rsidP="00893F62">
            <w:pPr>
              <w:spacing w:before="0" w:line="240" w:lineRule="auto"/>
              <w:jc w:val="center"/>
              <w:rPr>
                <w:rFonts w:ascii="Arial" w:eastAsia="Aptos" w:hAnsi="Arial" w:cs="Arial"/>
                <w:b/>
                <w:bCs/>
                <w:sz w:val="20"/>
                <w:szCs w:val="20"/>
                <w:highlight w:val="yellow"/>
                <w:lang w:val="sq-AL" w:eastAsia="en-US"/>
              </w:rPr>
            </w:pPr>
          </w:p>
        </w:tc>
      </w:tr>
      <w:tr w:rsidR="000815E7" w:rsidRPr="003E7289" w14:paraId="4C509112" w14:textId="77777777" w:rsidTr="000815E7">
        <w:trPr>
          <w:cantSplit/>
          <w:trHeight w:val="20"/>
        </w:trPr>
        <w:tc>
          <w:tcPr>
            <w:tcW w:w="256" w:type="pct"/>
            <w:gridSpan w:val="2"/>
            <w:vAlign w:val="center"/>
          </w:tcPr>
          <w:p w14:paraId="0EB64AC7" w14:textId="77777777" w:rsidR="000815E7" w:rsidRPr="003E7289" w:rsidRDefault="000815E7" w:rsidP="00893F62">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I.13.1.</w:t>
            </w:r>
          </w:p>
        </w:tc>
        <w:tc>
          <w:tcPr>
            <w:tcW w:w="511" w:type="pct"/>
            <w:gridSpan w:val="2"/>
            <w:vAlign w:val="center"/>
          </w:tcPr>
          <w:p w14:paraId="025F69F2" w14:textId="77777777" w:rsidR="000815E7" w:rsidRPr="003E7289" w:rsidRDefault="000815E7" w:rsidP="00893F62">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 xml:space="preserve">Hartimi i studimit, rishikimi i të dhënave dhe përcaktimi hapësinor i prioriteteve: </w:t>
            </w:r>
            <w:r w:rsidRPr="003E7289">
              <w:rPr>
                <w:rFonts w:ascii="Arial" w:eastAsia="Aptos" w:hAnsi="Arial" w:cs="Arial"/>
                <w:sz w:val="20"/>
                <w:szCs w:val="20"/>
                <w:lang w:val="sq-AL"/>
              </w:rPr>
              <w:t xml:space="preserve">zhvillimi i kornizës metodologjike, verifikimi i të dhënave të disponueshme, përdorimi sistematik i hartave ekzistuese të rrezikut nga përmbytjet dhe përcaktimi i vendeve prioritare. Përfshin përgatitjen e fletëve informative për opsionet NbS (p.sh. ripyllëzimi, restaurimi i kënetave, </w:t>
            </w:r>
            <w:r w:rsidRPr="003E7289">
              <w:rPr>
                <w:rFonts w:ascii="Arial" w:eastAsia="Aptos" w:hAnsi="Arial" w:cs="Arial"/>
                <w:sz w:val="20"/>
                <w:szCs w:val="20"/>
                <w:lang w:val="sq-AL"/>
              </w:rPr>
              <w:lastRenderedPageBreak/>
              <w:t>stabilizimi i brigjeve lumore, infrastruktura e gjelbër urbane, sistemet e qëndrueshme të drenazhimit – SUDS, trotuaret e përshkueshme) si dhe një vlerësim paraprak i kostos dhe përfitimeve.</w:t>
            </w:r>
          </w:p>
        </w:tc>
        <w:tc>
          <w:tcPr>
            <w:tcW w:w="460" w:type="pct"/>
            <w:gridSpan w:val="4"/>
            <w:tcBorders>
              <w:right w:val="single" w:sz="4" w:space="0" w:color="auto"/>
            </w:tcBorders>
            <w:vAlign w:val="center"/>
          </w:tcPr>
          <w:p w14:paraId="21701E7D" w14:textId="77777777" w:rsidR="000815E7" w:rsidRPr="003E7289" w:rsidRDefault="000815E7" w:rsidP="00893F62">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sz w:val="20"/>
                <w:szCs w:val="20"/>
                <w:lang w:val="sq-AL"/>
              </w:rPr>
              <w:lastRenderedPageBreak/>
              <w:t>2027</w:t>
            </w:r>
          </w:p>
        </w:tc>
        <w:tc>
          <w:tcPr>
            <w:tcW w:w="360" w:type="pct"/>
            <w:gridSpan w:val="2"/>
            <w:tcBorders>
              <w:top w:val="single" w:sz="4" w:space="0" w:color="auto"/>
              <w:left w:val="single" w:sz="4" w:space="0" w:color="auto"/>
              <w:bottom w:val="single" w:sz="4" w:space="0" w:color="auto"/>
              <w:right w:val="single" w:sz="4" w:space="0" w:color="auto"/>
            </w:tcBorders>
            <w:vAlign w:val="center"/>
          </w:tcPr>
          <w:p w14:paraId="654E7661" w14:textId="77777777" w:rsidR="000815E7" w:rsidRPr="003E7289" w:rsidRDefault="000815E7" w:rsidP="00893F62">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color w:val="000000"/>
                <w:sz w:val="20"/>
                <w:szCs w:val="20"/>
                <w:lang w:val="sq-AL"/>
              </w:rPr>
              <w:t>13,000 €</w:t>
            </w:r>
          </w:p>
        </w:tc>
        <w:tc>
          <w:tcPr>
            <w:tcW w:w="306" w:type="pct"/>
            <w:tcBorders>
              <w:top w:val="single" w:sz="4" w:space="0" w:color="auto"/>
              <w:left w:val="single" w:sz="4" w:space="0" w:color="auto"/>
              <w:bottom w:val="single" w:sz="4" w:space="0" w:color="auto"/>
              <w:right w:val="single" w:sz="4" w:space="0" w:color="auto"/>
            </w:tcBorders>
            <w:vAlign w:val="center"/>
          </w:tcPr>
          <w:p w14:paraId="0E205756" w14:textId="77777777" w:rsidR="000815E7" w:rsidRPr="003E7289" w:rsidRDefault="000815E7" w:rsidP="00893F62">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color w:val="000000"/>
                <w:sz w:val="20"/>
                <w:szCs w:val="20"/>
                <w:lang w:val="sq-AL"/>
              </w:rPr>
              <w:t>-</w:t>
            </w:r>
          </w:p>
        </w:tc>
        <w:tc>
          <w:tcPr>
            <w:tcW w:w="444" w:type="pct"/>
            <w:gridSpan w:val="4"/>
            <w:tcBorders>
              <w:top w:val="single" w:sz="4" w:space="0" w:color="auto"/>
              <w:left w:val="single" w:sz="4" w:space="0" w:color="auto"/>
              <w:bottom w:val="single" w:sz="4" w:space="0" w:color="auto"/>
              <w:right w:val="single" w:sz="4" w:space="0" w:color="auto"/>
            </w:tcBorders>
            <w:vAlign w:val="center"/>
          </w:tcPr>
          <w:p w14:paraId="09C32788" w14:textId="77777777" w:rsidR="000815E7" w:rsidRPr="003E7289" w:rsidRDefault="000815E7" w:rsidP="00893F62">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color w:val="000000"/>
                <w:sz w:val="20"/>
                <w:szCs w:val="20"/>
                <w:lang w:val="sq-AL"/>
              </w:rPr>
              <w:t>-</w:t>
            </w:r>
          </w:p>
        </w:tc>
        <w:tc>
          <w:tcPr>
            <w:tcW w:w="530" w:type="pct"/>
            <w:gridSpan w:val="3"/>
            <w:tcBorders>
              <w:left w:val="single" w:sz="4" w:space="0" w:color="auto"/>
            </w:tcBorders>
            <w:vAlign w:val="center"/>
          </w:tcPr>
          <w:p w14:paraId="1ED0431B" w14:textId="3B68DDEC" w:rsidR="000815E7" w:rsidRPr="003E7289" w:rsidRDefault="00D02A2F" w:rsidP="00893F62">
            <w:pPr>
              <w:spacing w:before="0" w:line="240" w:lineRule="auto"/>
              <w:jc w:val="center"/>
              <w:rPr>
                <w:rFonts w:ascii="Arial" w:eastAsia="Aptos" w:hAnsi="Arial" w:cs="Arial"/>
                <w:color w:val="000000" w:themeColor="text1"/>
                <w:sz w:val="20"/>
                <w:szCs w:val="20"/>
                <w:lang w:val="sq-AL" w:eastAsia="en-US"/>
              </w:rPr>
            </w:pPr>
            <w:r w:rsidRPr="003E7289">
              <w:rPr>
                <w:rFonts w:ascii="Arial" w:eastAsia="Aptos" w:hAnsi="Arial" w:cs="Arial"/>
                <w:color w:val="000000" w:themeColor="text1"/>
                <w:sz w:val="20"/>
                <w:szCs w:val="20"/>
                <w:lang w:val="sq-AL" w:eastAsia="en-US"/>
              </w:rPr>
              <w:t>UNDP</w:t>
            </w:r>
          </w:p>
        </w:tc>
        <w:tc>
          <w:tcPr>
            <w:tcW w:w="482" w:type="pct"/>
            <w:vAlign w:val="center"/>
          </w:tcPr>
          <w:p w14:paraId="36AB2D37" w14:textId="77777777" w:rsidR="000815E7" w:rsidRPr="003E7289" w:rsidRDefault="000815E7" w:rsidP="00893F62">
            <w:pPr>
              <w:spacing w:before="0" w:line="240" w:lineRule="auto"/>
              <w:jc w:val="center"/>
              <w:rPr>
                <w:rFonts w:ascii="Arial" w:eastAsia="Aptos" w:hAnsi="Arial" w:cs="Arial"/>
                <w:sz w:val="20"/>
                <w:szCs w:val="20"/>
                <w:highlight w:val="yellow"/>
                <w:lang w:val="sq-AL" w:eastAsia="en-US"/>
              </w:rPr>
            </w:pPr>
            <w:r w:rsidRPr="003E7289">
              <w:rPr>
                <w:rFonts w:ascii="Arial" w:eastAsia="Aptos" w:hAnsi="Arial" w:cs="Arial"/>
                <w:sz w:val="20"/>
                <w:szCs w:val="20"/>
                <w:lang w:val="sq-AL" w:eastAsia="en-US"/>
              </w:rPr>
              <w:t>MMPHI</w:t>
            </w:r>
          </w:p>
        </w:tc>
        <w:tc>
          <w:tcPr>
            <w:tcW w:w="510" w:type="pct"/>
            <w:gridSpan w:val="3"/>
            <w:vAlign w:val="center"/>
          </w:tcPr>
          <w:p w14:paraId="5FF2589E" w14:textId="77777777" w:rsidR="000815E7" w:rsidRPr="003E7289" w:rsidRDefault="000815E7" w:rsidP="00893F62">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sz w:val="20"/>
                <w:szCs w:val="20"/>
                <w:lang w:val="sq-AL"/>
              </w:rPr>
              <w:t>Kornizë metodologjike e verifikuar, set i të dhënave i konsoliduar, listë e vendeve prioritare, fletë opsionesh për NbS dhe analizë paraprake e kostos dhe përfitimeve.</w:t>
            </w:r>
          </w:p>
        </w:tc>
        <w:tc>
          <w:tcPr>
            <w:tcW w:w="1140" w:type="pct"/>
            <w:gridSpan w:val="3"/>
            <w:vAlign w:val="center"/>
          </w:tcPr>
          <w:p w14:paraId="6F3E83BB" w14:textId="77777777" w:rsidR="000815E7" w:rsidRPr="003E7289" w:rsidRDefault="000815E7" w:rsidP="00893F62">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Propozim i ri</w:t>
            </w:r>
          </w:p>
        </w:tc>
      </w:tr>
      <w:tr w:rsidR="000815E7" w:rsidRPr="003E7289" w14:paraId="7E2BC2DB" w14:textId="77777777" w:rsidTr="000815E7">
        <w:trPr>
          <w:cantSplit/>
          <w:trHeight w:val="20"/>
        </w:trPr>
        <w:tc>
          <w:tcPr>
            <w:tcW w:w="256" w:type="pct"/>
            <w:gridSpan w:val="2"/>
            <w:vAlign w:val="center"/>
          </w:tcPr>
          <w:p w14:paraId="49DA4E5C" w14:textId="77777777" w:rsidR="000815E7" w:rsidRPr="003E7289" w:rsidRDefault="000815E7" w:rsidP="00893F62">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I.13.2.</w:t>
            </w:r>
          </w:p>
        </w:tc>
        <w:tc>
          <w:tcPr>
            <w:tcW w:w="511" w:type="pct"/>
            <w:gridSpan w:val="2"/>
            <w:vAlign w:val="center"/>
          </w:tcPr>
          <w:p w14:paraId="56FCEBB3" w14:textId="77777777" w:rsidR="000815E7" w:rsidRPr="003E7289" w:rsidRDefault="000815E7" w:rsidP="00893F62">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 xml:space="preserve">Vlerësim teknik dhe raportim përfundimtar: </w:t>
            </w:r>
            <w:r w:rsidRPr="003E7289">
              <w:rPr>
                <w:rFonts w:ascii="Arial" w:eastAsia="Aptos" w:hAnsi="Arial" w:cs="Arial"/>
                <w:sz w:val="20"/>
                <w:szCs w:val="20"/>
                <w:lang w:val="sq-AL"/>
              </w:rPr>
              <w:t>konsultime me palët e interesit dhe organizimi i punëtorive të verifikimit; integrimi i komenteve dhe sugjerimeve; finalizimi i Studimit Kombëtar me rekomandime dhe bazën e të dhënave GIS.</w:t>
            </w:r>
          </w:p>
        </w:tc>
        <w:tc>
          <w:tcPr>
            <w:tcW w:w="460" w:type="pct"/>
            <w:gridSpan w:val="4"/>
            <w:vAlign w:val="center"/>
          </w:tcPr>
          <w:p w14:paraId="3FEB086C" w14:textId="77777777" w:rsidR="000815E7" w:rsidRPr="003E7289" w:rsidRDefault="000815E7" w:rsidP="00893F62">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sz w:val="20"/>
                <w:szCs w:val="20"/>
                <w:lang w:val="sq-AL"/>
              </w:rPr>
              <w:t>2028</w:t>
            </w:r>
          </w:p>
        </w:tc>
        <w:tc>
          <w:tcPr>
            <w:tcW w:w="360" w:type="pct"/>
            <w:gridSpan w:val="2"/>
            <w:tcBorders>
              <w:top w:val="single" w:sz="4" w:space="0" w:color="auto"/>
              <w:left w:val="single" w:sz="4" w:space="0" w:color="auto"/>
              <w:bottom w:val="single" w:sz="4" w:space="0" w:color="auto"/>
              <w:right w:val="single" w:sz="4" w:space="0" w:color="auto"/>
            </w:tcBorders>
            <w:vAlign w:val="center"/>
          </w:tcPr>
          <w:p w14:paraId="36AEDB45" w14:textId="77777777" w:rsidR="000815E7" w:rsidRPr="003E7289" w:rsidRDefault="000815E7" w:rsidP="00893F62">
            <w:pPr>
              <w:spacing w:before="0" w:line="240" w:lineRule="auto"/>
              <w:jc w:val="center"/>
              <w:rPr>
                <w:rFonts w:ascii="Arial" w:eastAsia="Aptos" w:hAnsi="Arial" w:cs="Arial"/>
                <w:b/>
                <w:bCs/>
                <w:color w:val="EE0000"/>
                <w:sz w:val="20"/>
                <w:szCs w:val="20"/>
                <w:highlight w:val="yellow"/>
                <w:lang w:val="sq-AL" w:eastAsia="en-US"/>
              </w:rPr>
            </w:pPr>
          </w:p>
        </w:tc>
        <w:tc>
          <w:tcPr>
            <w:tcW w:w="306" w:type="pct"/>
            <w:tcBorders>
              <w:top w:val="single" w:sz="4" w:space="0" w:color="auto"/>
              <w:left w:val="single" w:sz="4" w:space="0" w:color="auto"/>
              <w:bottom w:val="single" w:sz="4" w:space="0" w:color="auto"/>
              <w:right w:val="single" w:sz="4" w:space="0" w:color="auto"/>
            </w:tcBorders>
            <w:vAlign w:val="center"/>
          </w:tcPr>
          <w:p w14:paraId="6D1EBD35" w14:textId="77777777" w:rsidR="000815E7" w:rsidRPr="003E7289" w:rsidRDefault="000815E7" w:rsidP="00893F62">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color w:val="000000"/>
                <w:sz w:val="20"/>
                <w:szCs w:val="20"/>
                <w:lang w:val="sq-AL"/>
              </w:rPr>
              <w:t>2000 €</w:t>
            </w:r>
          </w:p>
        </w:tc>
        <w:tc>
          <w:tcPr>
            <w:tcW w:w="444" w:type="pct"/>
            <w:gridSpan w:val="4"/>
            <w:tcBorders>
              <w:top w:val="single" w:sz="4" w:space="0" w:color="auto"/>
              <w:left w:val="single" w:sz="4" w:space="0" w:color="auto"/>
              <w:bottom w:val="single" w:sz="4" w:space="0" w:color="auto"/>
              <w:right w:val="single" w:sz="4" w:space="0" w:color="auto"/>
            </w:tcBorders>
            <w:vAlign w:val="center"/>
          </w:tcPr>
          <w:p w14:paraId="4F4D7D9C" w14:textId="77777777" w:rsidR="000815E7" w:rsidRPr="003E7289" w:rsidRDefault="000815E7" w:rsidP="00893F62">
            <w:pPr>
              <w:spacing w:before="0" w:line="240" w:lineRule="auto"/>
              <w:jc w:val="center"/>
              <w:rPr>
                <w:rFonts w:ascii="Arial" w:eastAsia="Aptos" w:hAnsi="Arial" w:cs="Arial"/>
                <w:b/>
                <w:bCs/>
                <w:color w:val="EE0000"/>
                <w:sz w:val="20"/>
                <w:szCs w:val="20"/>
                <w:highlight w:val="yellow"/>
                <w:lang w:val="sq-AL" w:eastAsia="en-US"/>
              </w:rPr>
            </w:pPr>
          </w:p>
        </w:tc>
        <w:tc>
          <w:tcPr>
            <w:tcW w:w="530" w:type="pct"/>
            <w:gridSpan w:val="3"/>
            <w:vAlign w:val="center"/>
          </w:tcPr>
          <w:p w14:paraId="6AD89E1D" w14:textId="77777777" w:rsidR="000815E7" w:rsidRPr="003E7289" w:rsidRDefault="000815E7" w:rsidP="00893F62">
            <w:pPr>
              <w:spacing w:before="0" w:line="240" w:lineRule="auto"/>
              <w:jc w:val="center"/>
              <w:rPr>
                <w:rFonts w:ascii="Arial" w:eastAsia="Aptos" w:hAnsi="Arial" w:cs="Arial"/>
                <w:color w:val="000000" w:themeColor="text1"/>
                <w:sz w:val="20"/>
                <w:szCs w:val="20"/>
                <w:lang w:val="sq-AL" w:eastAsia="en-US"/>
              </w:rPr>
            </w:pPr>
          </w:p>
        </w:tc>
        <w:tc>
          <w:tcPr>
            <w:tcW w:w="482" w:type="pct"/>
            <w:vAlign w:val="center"/>
          </w:tcPr>
          <w:p w14:paraId="1336B394" w14:textId="77777777" w:rsidR="000815E7" w:rsidRPr="003E7289" w:rsidRDefault="000815E7" w:rsidP="00893F62">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sz w:val="20"/>
                <w:szCs w:val="20"/>
                <w:lang w:val="sq-AL"/>
              </w:rPr>
              <w:t>MMPHI</w:t>
            </w:r>
          </w:p>
        </w:tc>
        <w:tc>
          <w:tcPr>
            <w:tcW w:w="510" w:type="pct"/>
            <w:gridSpan w:val="3"/>
            <w:vAlign w:val="center"/>
          </w:tcPr>
          <w:p w14:paraId="3493DDC1" w14:textId="77777777" w:rsidR="000815E7" w:rsidRPr="003E7289" w:rsidRDefault="000815E7" w:rsidP="00893F62">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hAnsi="Arial" w:cs="Arial"/>
                <w:sz w:val="20"/>
                <w:szCs w:val="20"/>
                <w:lang w:val="sq-AL"/>
              </w:rPr>
              <w:t>Raporte nga konsultimet me palët e interesit, rezultate të verifikuara dhe Studimi Kombëtar Përfundimtar (me bazë të dhënash gjeohapësinore dhe përmbledhje politike).</w:t>
            </w:r>
          </w:p>
        </w:tc>
        <w:tc>
          <w:tcPr>
            <w:tcW w:w="1140" w:type="pct"/>
            <w:gridSpan w:val="3"/>
            <w:vAlign w:val="center"/>
          </w:tcPr>
          <w:p w14:paraId="27AEF64D" w14:textId="77777777" w:rsidR="000815E7" w:rsidRPr="003E7289" w:rsidRDefault="000815E7" w:rsidP="00893F62">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sz w:val="20"/>
                <w:szCs w:val="20"/>
                <w:lang w:val="sq-AL"/>
              </w:rPr>
              <w:t>Propozim i ri</w:t>
            </w:r>
          </w:p>
        </w:tc>
      </w:tr>
      <w:tr w:rsidR="000815E7" w:rsidRPr="003E7289" w14:paraId="47F0C43E" w14:textId="77777777" w:rsidTr="00C65386">
        <w:trPr>
          <w:cantSplit/>
          <w:trHeight w:val="20"/>
        </w:trPr>
        <w:tc>
          <w:tcPr>
            <w:tcW w:w="768" w:type="pct"/>
            <w:gridSpan w:val="4"/>
            <w:shd w:val="clear" w:color="auto" w:fill="C6E7F6"/>
            <w:vAlign w:val="center"/>
          </w:tcPr>
          <w:p w14:paraId="6FDF586C" w14:textId="77777777" w:rsidR="000815E7" w:rsidRPr="003E7289" w:rsidRDefault="000815E7" w:rsidP="00893F62">
            <w:pPr>
              <w:spacing w:before="0" w:line="240" w:lineRule="auto"/>
              <w:rPr>
                <w:rFonts w:ascii="Arial" w:eastAsia="Aptos" w:hAnsi="Arial" w:cs="Arial"/>
                <w:b/>
                <w:bCs/>
                <w:sz w:val="20"/>
                <w:szCs w:val="20"/>
                <w:lang w:val="sq-AL" w:eastAsia="en-US"/>
              </w:rPr>
            </w:pPr>
            <w:r w:rsidRPr="003E7289">
              <w:rPr>
                <w:rFonts w:ascii="Arial" w:eastAsia="Aptos" w:hAnsi="Arial" w:cs="Arial"/>
                <w:b/>
                <w:bCs/>
                <w:sz w:val="20"/>
                <w:szCs w:val="20"/>
                <w:lang w:val="sq-AL"/>
              </w:rPr>
              <w:t>Buxheti total për Objektivin specifik I.13:</w:t>
            </w:r>
          </w:p>
        </w:tc>
        <w:tc>
          <w:tcPr>
            <w:tcW w:w="4232" w:type="pct"/>
            <w:gridSpan w:val="21"/>
            <w:vAlign w:val="center"/>
          </w:tcPr>
          <w:p w14:paraId="665013A7" w14:textId="77777777" w:rsidR="000815E7" w:rsidRPr="003E7289" w:rsidRDefault="000815E7" w:rsidP="00893F62">
            <w:pPr>
              <w:spacing w:before="0" w:line="240" w:lineRule="auto"/>
              <w:jc w:val="center"/>
              <w:rPr>
                <w:rFonts w:ascii="Arial" w:eastAsia="Aptos" w:hAnsi="Arial" w:cs="Arial"/>
                <w:color w:val="EE0000"/>
                <w:sz w:val="20"/>
                <w:szCs w:val="20"/>
                <w:highlight w:val="yellow"/>
                <w:lang w:val="sq-AL" w:eastAsia="en-US"/>
              </w:rPr>
            </w:pPr>
            <w:r w:rsidRPr="003E7289">
              <w:rPr>
                <w:rFonts w:ascii="Arial" w:eastAsia="Aptos" w:hAnsi="Arial" w:cs="Arial"/>
                <w:sz w:val="20"/>
                <w:szCs w:val="20"/>
                <w:lang w:val="sq-AL"/>
              </w:rPr>
              <w:t xml:space="preserve">15,000 € </w:t>
            </w:r>
          </w:p>
        </w:tc>
      </w:tr>
      <w:tr w:rsidR="000815E7" w:rsidRPr="003E7289" w14:paraId="1394A4FD" w14:textId="77777777" w:rsidTr="00C65386">
        <w:trPr>
          <w:cantSplit/>
          <w:trHeight w:val="20"/>
        </w:trPr>
        <w:tc>
          <w:tcPr>
            <w:tcW w:w="768" w:type="pct"/>
            <w:gridSpan w:val="4"/>
            <w:shd w:val="clear" w:color="auto" w:fill="C6E7F6"/>
          </w:tcPr>
          <w:p w14:paraId="3BD6E08C" w14:textId="77777777" w:rsidR="000815E7" w:rsidRPr="003E7289" w:rsidRDefault="000815E7" w:rsidP="00893F62">
            <w:pPr>
              <w:spacing w:before="0" w:line="240" w:lineRule="auto"/>
              <w:rPr>
                <w:rFonts w:ascii="Arial" w:eastAsia="Aptos" w:hAnsi="Arial" w:cs="Arial"/>
                <w:b/>
                <w:bCs/>
                <w:sz w:val="20"/>
                <w:szCs w:val="20"/>
                <w:lang w:val="sq-AL" w:eastAsia="en-US"/>
              </w:rPr>
            </w:pPr>
            <w:r w:rsidRPr="003E7289">
              <w:rPr>
                <w:rFonts w:ascii="Arial" w:eastAsia="Aptos" w:hAnsi="Arial" w:cs="Arial"/>
                <w:b/>
                <w:bCs/>
                <w:sz w:val="20"/>
                <w:szCs w:val="20"/>
                <w:lang w:val="sq-AL"/>
              </w:rPr>
              <w:t>Nga kjo, kapital:</w:t>
            </w:r>
          </w:p>
        </w:tc>
        <w:tc>
          <w:tcPr>
            <w:tcW w:w="4232" w:type="pct"/>
            <w:gridSpan w:val="21"/>
            <w:vAlign w:val="center"/>
          </w:tcPr>
          <w:p w14:paraId="3D713526" w14:textId="77777777" w:rsidR="000815E7" w:rsidRPr="003E7289" w:rsidRDefault="000815E7" w:rsidP="00893F62">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eastAsia="en-US"/>
              </w:rPr>
              <w:t>2500€</w:t>
            </w:r>
          </w:p>
        </w:tc>
      </w:tr>
      <w:tr w:rsidR="000815E7" w:rsidRPr="003E7289" w14:paraId="0CE1BAE7" w14:textId="77777777" w:rsidTr="00C65386">
        <w:trPr>
          <w:cantSplit/>
          <w:trHeight w:val="20"/>
        </w:trPr>
        <w:tc>
          <w:tcPr>
            <w:tcW w:w="768" w:type="pct"/>
            <w:gridSpan w:val="4"/>
            <w:shd w:val="clear" w:color="auto" w:fill="C6E7F6"/>
          </w:tcPr>
          <w:p w14:paraId="0DD28FC4" w14:textId="77777777" w:rsidR="000815E7" w:rsidRPr="003E7289" w:rsidRDefault="000815E7" w:rsidP="00893F62">
            <w:pPr>
              <w:spacing w:before="0" w:line="240" w:lineRule="auto"/>
              <w:rPr>
                <w:rFonts w:ascii="Arial" w:eastAsia="Aptos" w:hAnsi="Arial" w:cs="Arial"/>
                <w:b/>
                <w:bCs/>
                <w:sz w:val="20"/>
                <w:szCs w:val="20"/>
                <w:lang w:val="sq-AL" w:eastAsia="en-US"/>
              </w:rPr>
            </w:pPr>
            <w:r w:rsidRPr="003E7289">
              <w:rPr>
                <w:rFonts w:ascii="Arial" w:eastAsia="Aptos" w:hAnsi="Arial" w:cs="Arial"/>
                <w:b/>
                <w:bCs/>
                <w:sz w:val="20"/>
                <w:szCs w:val="20"/>
                <w:lang w:val="sq-AL"/>
              </w:rPr>
              <w:t>Nga kjo, shpenzime korrente:</w:t>
            </w:r>
          </w:p>
        </w:tc>
        <w:tc>
          <w:tcPr>
            <w:tcW w:w="4232" w:type="pct"/>
            <w:gridSpan w:val="21"/>
            <w:vAlign w:val="center"/>
          </w:tcPr>
          <w:p w14:paraId="61E1FC50" w14:textId="77777777" w:rsidR="000815E7" w:rsidRPr="003E7289" w:rsidRDefault="000815E7" w:rsidP="00893F62">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12,500€</w:t>
            </w:r>
          </w:p>
        </w:tc>
      </w:tr>
    </w:tbl>
    <w:p w14:paraId="0B96EE5C" w14:textId="46270759" w:rsidR="00615166" w:rsidRPr="003E7289" w:rsidRDefault="00615166">
      <w:pPr>
        <w:spacing w:before="0" w:line="278" w:lineRule="auto"/>
        <w:rPr>
          <w:rFonts w:ascii="Arial" w:hAnsi="Arial" w:cs="Arial"/>
          <w:lang w:val="sq-AL"/>
        </w:rPr>
      </w:pPr>
    </w:p>
    <w:p w14:paraId="46304DD7" w14:textId="0FDAF633" w:rsidR="00615166" w:rsidRPr="003E7289" w:rsidRDefault="00615166">
      <w:pPr>
        <w:spacing w:before="0" w:line="278" w:lineRule="auto"/>
        <w:rPr>
          <w:rFonts w:ascii="Arial" w:hAnsi="Arial" w:cs="Arial"/>
          <w:lang w:val="sq-AL"/>
        </w:rPr>
      </w:pPr>
      <w:r w:rsidRPr="003E7289">
        <w:rPr>
          <w:rFonts w:ascii="Arial" w:hAnsi="Arial" w:cs="Arial"/>
          <w:lang w:val="sq-AL"/>
        </w:rPr>
        <w:br w:type="page"/>
      </w:r>
    </w:p>
    <w:p w14:paraId="2E64F27A" w14:textId="77777777" w:rsidR="00A4252B" w:rsidRPr="003E7289" w:rsidRDefault="00A4252B" w:rsidP="00C65386">
      <w:pPr>
        <w:pStyle w:val="Heading1"/>
        <w:rPr>
          <w:rFonts w:ascii="Arial" w:hAnsi="Arial" w:cs="Arial"/>
          <w:lang w:val="sq-AL"/>
        </w:rPr>
      </w:pPr>
      <w:bookmarkStart w:id="123" w:name="_Annex_II:_Energy"/>
      <w:bookmarkStart w:id="124" w:name="_Toc211532726"/>
      <w:bookmarkStart w:id="125" w:name="_Toc203473870"/>
      <w:bookmarkEnd w:id="123"/>
      <w:r w:rsidRPr="003E7289">
        <w:rPr>
          <w:rFonts w:ascii="Arial" w:hAnsi="Arial" w:cs="Arial"/>
          <w:lang w:val="sq-AL"/>
        </w:rPr>
        <w:lastRenderedPageBreak/>
        <w:t>Shtojca II: Plani i Veprimit për Sektorin e Energjisë</w:t>
      </w:r>
      <w:bookmarkEnd w:id="124"/>
    </w:p>
    <w:bookmarkEnd w:id="125"/>
    <w:p w14:paraId="0F084495" w14:textId="0B4B36EC" w:rsidR="003769F4" w:rsidRPr="003E7289" w:rsidRDefault="003769F4" w:rsidP="003769F4">
      <w:pPr>
        <w:pStyle w:val="Caption"/>
        <w:spacing w:after="0"/>
        <w:jc w:val="right"/>
        <w:rPr>
          <w:rFonts w:ascii="Arial" w:hAnsi="Arial" w:cs="Arial"/>
          <w:color w:val="auto"/>
          <w:lang w:val="sq-AL"/>
        </w:rPr>
      </w:pPr>
      <w:r w:rsidRPr="003E7289">
        <w:rPr>
          <w:rFonts w:ascii="Arial" w:hAnsi="Arial" w:cs="Arial"/>
          <w:color w:val="auto"/>
          <w:lang w:val="sq-AL"/>
        </w:rPr>
        <w:t xml:space="preserve">. </w:t>
      </w:r>
    </w:p>
    <w:p w14:paraId="310A8DB7" w14:textId="4EABAB7D" w:rsidR="0097040B" w:rsidRPr="003E7289" w:rsidRDefault="0097040B" w:rsidP="00C65386">
      <w:pPr>
        <w:pStyle w:val="Caption"/>
        <w:keepNext/>
        <w:rPr>
          <w:rFonts w:ascii="Arial" w:hAnsi="Arial" w:cs="Arial"/>
        </w:rPr>
      </w:pPr>
      <w:bookmarkStart w:id="126" w:name="_Toc211532737"/>
      <w:r w:rsidRPr="003E7289">
        <w:rPr>
          <w:rFonts w:ascii="Arial" w:hAnsi="Arial" w:cs="Arial"/>
        </w:rPr>
        <w:t xml:space="preserve">Tabela </w:t>
      </w:r>
      <w:r w:rsidRPr="003E7289">
        <w:rPr>
          <w:rFonts w:ascii="Arial" w:hAnsi="Arial" w:cs="Arial"/>
        </w:rPr>
        <w:fldChar w:fldCharType="begin"/>
      </w:r>
      <w:r w:rsidRPr="003E7289">
        <w:rPr>
          <w:rFonts w:ascii="Arial" w:hAnsi="Arial" w:cs="Arial"/>
        </w:rPr>
        <w:instrText xml:space="preserve"> SEQ Tabela \* ARABIC </w:instrText>
      </w:r>
      <w:r w:rsidRPr="003E7289">
        <w:rPr>
          <w:rFonts w:ascii="Arial" w:hAnsi="Arial" w:cs="Arial"/>
        </w:rPr>
        <w:fldChar w:fldCharType="separate"/>
      </w:r>
      <w:r w:rsidR="00C62DE9">
        <w:rPr>
          <w:rFonts w:ascii="Arial" w:hAnsi="Arial" w:cs="Arial"/>
          <w:noProof/>
        </w:rPr>
        <w:t>10</w:t>
      </w:r>
      <w:r w:rsidRPr="003E7289">
        <w:rPr>
          <w:rFonts w:ascii="Arial" w:hAnsi="Arial" w:cs="Arial"/>
          <w:noProof/>
        </w:rPr>
        <w:fldChar w:fldCharType="end"/>
      </w:r>
      <w:r w:rsidRPr="003E7289">
        <w:rPr>
          <w:rFonts w:ascii="Arial" w:hAnsi="Arial" w:cs="Arial"/>
        </w:rPr>
        <w:t>. Plani i Veprimit për Sektorin e Energjisë. Burimi: MMPHI, 2025.</w:t>
      </w:r>
      <w:bookmarkEnd w:id="126"/>
    </w:p>
    <w:tbl>
      <w:tblPr>
        <w:tblStyle w:val="TableGrid"/>
        <w:tblW w:w="15168" w:type="dxa"/>
        <w:tblInd w:w="-5" w:type="dxa"/>
        <w:tblBorders>
          <w:top w:val="single" w:sz="4" w:space="0" w:color="0F4761"/>
          <w:left w:val="single" w:sz="4" w:space="0" w:color="0F4761"/>
          <w:bottom w:val="single" w:sz="4" w:space="0" w:color="0F4761"/>
          <w:right w:val="single" w:sz="4" w:space="0" w:color="0F4761"/>
          <w:insideH w:val="single" w:sz="4" w:space="0" w:color="0F4761"/>
          <w:insideV w:val="single" w:sz="4" w:space="0" w:color="0F4761"/>
        </w:tblBorders>
        <w:tblLayout w:type="fixed"/>
        <w:tblLook w:val="04A0" w:firstRow="1" w:lastRow="0" w:firstColumn="1" w:lastColumn="0" w:noHBand="0" w:noVBand="1"/>
      </w:tblPr>
      <w:tblGrid>
        <w:gridCol w:w="993"/>
        <w:gridCol w:w="1977"/>
        <w:gridCol w:w="6"/>
        <w:gridCol w:w="1700"/>
        <w:gridCol w:w="902"/>
        <w:gridCol w:w="900"/>
        <w:gridCol w:w="41"/>
        <w:gridCol w:w="857"/>
        <w:gridCol w:w="1559"/>
        <w:gridCol w:w="1415"/>
        <w:gridCol w:w="1418"/>
        <w:gridCol w:w="94"/>
        <w:gridCol w:w="1653"/>
        <w:gridCol w:w="1653"/>
      </w:tblGrid>
      <w:tr w:rsidR="00D617FD" w:rsidRPr="003E7289" w14:paraId="16E8290B" w14:textId="77777777" w:rsidTr="00D42597">
        <w:tc>
          <w:tcPr>
            <w:tcW w:w="993" w:type="dxa"/>
            <w:shd w:val="clear" w:color="auto" w:fill="22635D"/>
            <w:vAlign w:val="center"/>
          </w:tcPr>
          <w:p w14:paraId="2F097811" w14:textId="18E7918A" w:rsidR="00D617FD" w:rsidRPr="003E7289" w:rsidRDefault="00D617FD" w:rsidP="00D617FD">
            <w:pPr>
              <w:pStyle w:val="Default"/>
              <w:jc w:val="center"/>
              <w:rPr>
                <w:rFonts w:ascii="Arial" w:hAnsi="Arial" w:cs="Arial"/>
                <w:b/>
                <w:bCs/>
                <w:color w:val="FFFFFF" w:themeColor="background1"/>
                <w:kern w:val="2"/>
                <w:sz w:val="20"/>
                <w:szCs w:val="20"/>
                <w:lang w:val="sq-AL"/>
              </w:rPr>
            </w:pPr>
            <w:bookmarkStart w:id="127" w:name="_Annex_III:_Agriculture"/>
            <w:bookmarkEnd w:id="127"/>
            <w:r w:rsidRPr="003E7289">
              <w:rPr>
                <w:rFonts w:ascii="Arial" w:hAnsi="Arial" w:cs="Arial"/>
                <w:b/>
                <w:bCs/>
                <w:color w:val="FFFFFF" w:themeColor="background1"/>
                <w:kern w:val="2"/>
                <w:sz w:val="20"/>
                <w:szCs w:val="20"/>
                <w:lang w:val="sq-AL"/>
              </w:rPr>
              <w:t>Nr.</w:t>
            </w:r>
          </w:p>
        </w:tc>
        <w:tc>
          <w:tcPr>
            <w:tcW w:w="1977" w:type="dxa"/>
            <w:shd w:val="clear" w:color="auto" w:fill="22635D"/>
            <w:vAlign w:val="center"/>
          </w:tcPr>
          <w:p w14:paraId="194FF9BF" w14:textId="1E51964C" w:rsidR="00D617FD" w:rsidRPr="003E7289" w:rsidRDefault="00D617FD" w:rsidP="00D617FD">
            <w:pPr>
              <w:pStyle w:val="Default"/>
              <w:jc w:val="center"/>
              <w:rPr>
                <w:rFonts w:ascii="Arial" w:hAnsi="Arial" w:cs="Arial"/>
                <w:b/>
                <w:bCs/>
                <w:color w:val="FFFFFF" w:themeColor="background1"/>
                <w:kern w:val="2"/>
                <w:sz w:val="20"/>
                <w:szCs w:val="20"/>
                <w:lang w:val="sq-AL"/>
              </w:rPr>
            </w:pPr>
            <w:r w:rsidRPr="003E7289">
              <w:rPr>
                <w:rFonts w:ascii="Arial" w:hAnsi="Arial" w:cs="Arial"/>
                <w:b/>
                <w:bCs/>
                <w:color w:val="FFFFFF" w:themeColor="background1"/>
                <w:kern w:val="2"/>
                <w:sz w:val="20"/>
                <w:szCs w:val="20"/>
                <w:lang w:val="sq-AL"/>
              </w:rPr>
              <w:t>Objektivat strategjik dhe specifikë, treguesit, prioritetet kryesore të përshtatjes dhe veprime</w:t>
            </w:r>
          </w:p>
        </w:tc>
        <w:tc>
          <w:tcPr>
            <w:tcW w:w="1706" w:type="dxa"/>
            <w:gridSpan w:val="2"/>
            <w:shd w:val="clear" w:color="auto" w:fill="22635D"/>
            <w:vAlign w:val="center"/>
          </w:tcPr>
          <w:p w14:paraId="2C2CD880" w14:textId="7B5D4F45" w:rsidR="00D617FD" w:rsidRPr="003E7289" w:rsidRDefault="00D617FD" w:rsidP="00D617FD">
            <w:pPr>
              <w:pStyle w:val="Default"/>
              <w:jc w:val="center"/>
              <w:rPr>
                <w:rFonts w:ascii="Arial" w:hAnsi="Arial" w:cs="Arial"/>
                <w:b/>
                <w:bCs/>
                <w:color w:val="FFFFFF" w:themeColor="background1"/>
                <w:kern w:val="2"/>
                <w:sz w:val="20"/>
                <w:szCs w:val="20"/>
                <w:lang w:val="sq-AL"/>
              </w:rPr>
            </w:pPr>
            <w:r w:rsidRPr="003E7289">
              <w:rPr>
                <w:rFonts w:ascii="Arial" w:hAnsi="Arial" w:cs="Arial"/>
                <w:b/>
                <w:bCs/>
                <w:color w:val="FFFFFF" w:themeColor="background1"/>
                <w:kern w:val="2"/>
                <w:sz w:val="20"/>
                <w:szCs w:val="20"/>
                <w:lang w:val="sq-AL"/>
              </w:rPr>
              <w:t>Vlera bazë</w:t>
            </w:r>
          </w:p>
        </w:tc>
        <w:tc>
          <w:tcPr>
            <w:tcW w:w="2700" w:type="dxa"/>
            <w:gridSpan w:val="4"/>
            <w:shd w:val="clear" w:color="auto" w:fill="22635D"/>
            <w:vAlign w:val="center"/>
          </w:tcPr>
          <w:p w14:paraId="1B3F9D29" w14:textId="77777777" w:rsidR="00D617FD" w:rsidRPr="003E7289" w:rsidRDefault="00D617FD" w:rsidP="00D617FD">
            <w:pPr>
              <w:autoSpaceDE w:val="0"/>
              <w:autoSpaceDN w:val="0"/>
              <w:adjustRightInd w:val="0"/>
              <w:spacing w:before="0" w:line="240" w:lineRule="auto"/>
              <w:jc w:val="center"/>
              <w:rPr>
                <w:rFonts w:ascii="Arial" w:hAnsi="Arial" w:cs="Arial"/>
                <w:b/>
                <w:bCs/>
                <w:color w:val="FFFFFF" w:themeColor="background1"/>
                <w:sz w:val="20"/>
                <w:szCs w:val="20"/>
                <w:lang w:val="sq-AL"/>
              </w:rPr>
            </w:pPr>
          </w:p>
          <w:p w14:paraId="727CFC91" w14:textId="77777777" w:rsidR="00D617FD" w:rsidRPr="003E7289" w:rsidRDefault="00D617FD" w:rsidP="00D617FD">
            <w:pPr>
              <w:autoSpaceDE w:val="0"/>
              <w:autoSpaceDN w:val="0"/>
              <w:adjustRightInd w:val="0"/>
              <w:spacing w:before="0" w:line="240" w:lineRule="auto"/>
              <w:jc w:val="center"/>
              <w:rPr>
                <w:rFonts w:ascii="Arial" w:hAnsi="Arial" w:cs="Arial"/>
                <w:b/>
                <w:bCs/>
                <w:color w:val="FFFFFF" w:themeColor="background1"/>
                <w:sz w:val="20"/>
                <w:szCs w:val="20"/>
                <w:lang w:val="sq-AL"/>
              </w:rPr>
            </w:pPr>
            <w:r w:rsidRPr="003E7289">
              <w:rPr>
                <w:rFonts w:ascii="Arial" w:hAnsi="Arial" w:cs="Arial"/>
                <w:b/>
                <w:bCs/>
                <w:color w:val="FFFFFF" w:themeColor="background1"/>
                <w:sz w:val="20"/>
                <w:szCs w:val="20"/>
                <w:lang w:val="sq-AL"/>
              </w:rPr>
              <w:t>Objektivi i përkohshëm [2030]</w:t>
            </w:r>
          </w:p>
          <w:p w14:paraId="4F7A5E3F" w14:textId="45B71223" w:rsidR="00D617FD" w:rsidRPr="003E7289" w:rsidRDefault="00D617FD" w:rsidP="00D617FD">
            <w:pPr>
              <w:pStyle w:val="Default"/>
              <w:jc w:val="center"/>
              <w:rPr>
                <w:rFonts w:ascii="Arial" w:hAnsi="Arial" w:cs="Arial"/>
                <w:b/>
                <w:bCs/>
                <w:color w:val="FFFFFF" w:themeColor="background1"/>
                <w:kern w:val="2"/>
                <w:sz w:val="20"/>
                <w:szCs w:val="20"/>
                <w:lang w:val="sq-AL"/>
              </w:rPr>
            </w:pPr>
          </w:p>
        </w:tc>
        <w:tc>
          <w:tcPr>
            <w:tcW w:w="1559" w:type="dxa"/>
            <w:shd w:val="clear" w:color="auto" w:fill="22635D"/>
            <w:vAlign w:val="center"/>
          </w:tcPr>
          <w:p w14:paraId="247E761F" w14:textId="4AFDC9D9" w:rsidR="00D617FD" w:rsidRPr="003E7289" w:rsidRDefault="00D617FD" w:rsidP="00D617FD">
            <w:pPr>
              <w:pStyle w:val="Default"/>
              <w:jc w:val="center"/>
              <w:rPr>
                <w:rFonts w:ascii="Arial" w:hAnsi="Arial" w:cs="Arial"/>
                <w:b/>
                <w:bCs/>
                <w:color w:val="FFFFFF" w:themeColor="background1"/>
                <w:kern w:val="2"/>
                <w:sz w:val="20"/>
                <w:szCs w:val="20"/>
                <w:lang w:val="sq-AL"/>
              </w:rPr>
            </w:pPr>
            <w:r w:rsidRPr="003E7289">
              <w:rPr>
                <w:rFonts w:ascii="Arial" w:hAnsi="Arial" w:cs="Arial"/>
                <w:b/>
                <w:bCs/>
                <w:color w:val="FFFFFF" w:themeColor="background1"/>
                <w:kern w:val="2"/>
                <w:sz w:val="20"/>
                <w:szCs w:val="20"/>
                <w:lang w:val="sq-AL"/>
              </w:rPr>
              <w:t>Objektivi i vitit të fundit [2040]</w:t>
            </w:r>
          </w:p>
        </w:tc>
        <w:tc>
          <w:tcPr>
            <w:tcW w:w="6233" w:type="dxa"/>
            <w:gridSpan w:val="5"/>
            <w:shd w:val="clear" w:color="auto" w:fill="22635D"/>
            <w:vAlign w:val="center"/>
          </w:tcPr>
          <w:p w14:paraId="228657EF" w14:textId="6EAD5317" w:rsidR="00D617FD" w:rsidRPr="003E7289" w:rsidRDefault="00D617FD" w:rsidP="00D617FD">
            <w:pPr>
              <w:pStyle w:val="Default"/>
              <w:jc w:val="center"/>
              <w:rPr>
                <w:rFonts w:ascii="Arial" w:hAnsi="Arial" w:cs="Arial"/>
                <w:b/>
                <w:bCs/>
                <w:color w:val="FFFFFF" w:themeColor="background1"/>
                <w:kern w:val="2"/>
                <w:sz w:val="20"/>
                <w:szCs w:val="20"/>
                <w:lang w:val="sq-AL"/>
              </w:rPr>
            </w:pPr>
            <w:r w:rsidRPr="003E7289">
              <w:rPr>
                <w:rFonts w:ascii="Arial" w:hAnsi="Arial" w:cs="Arial"/>
                <w:b/>
                <w:bCs/>
                <w:color w:val="FFFFFF" w:themeColor="background1"/>
                <w:kern w:val="2"/>
                <w:sz w:val="20"/>
                <w:szCs w:val="20"/>
                <w:lang w:val="sq-AL"/>
              </w:rPr>
              <w:t>Rezultati</w:t>
            </w:r>
          </w:p>
        </w:tc>
      </w:tr>
      <w:tr w:rsidR="006D0672" w:rsidRPr="003E7289" w14:paraId="5E3B3587" w14:textId="77777777" w:rsidTr="00A70686">
        <w:tc>
          <w:tcPr>
            <w:tcW w:w="15168" w:type="dxa"/>
            <w:gridSpan w:val="14"/>
            <w:shd w:val="clear" w:color="auto" w:fill="ACE2DD"/>
            <w:vAlign w:val="center"/>
          </w:tcPr>
          <w:p w14:paraId="3661BA77" w14:textId="06FAF2D8" w:rsidR="006D0672" w:rsidRPr="003E7289" w:rsidRDefault="00D617FD" w:rsidP="00A70686">
            <w:pPr>
              <w:spacing w:before="0" w:line="240" w:lineRule="auto"/>
              <w:rPr>
                <w:rFonts w:ascii="Arial" w:hAnsi="Arial" w:cs="Arial"/>
                <w:sz w:val="20"/>
                <w:szCs w:val="20"/>
                <w:lang w:val="sq-AL"/>
              </w:rPr>
            </w:pPr>
            <w:r w:rsidRPr="003E7289">
              <w:rPr>
                <w:rFonts w:ascii="Arial" w:hAnsi="Arial" w:cs="Arial"/>
                <w:b/>
                <w:bCs/>
                <w:sz w:val="20"/>
                <w:szCs w:val="20"/>
                <w:lang w:val="sq-AL"/>
              </w:rPr>
              <w:t>Objektivi strategjik</w:t>
            </w:r>
            <w:r w:rsidR="006D0672" w:rsidRPr="003E7289">
              <w:rPr>
                <w:rFonts w:ascii="Arial" w:hAnsi="Arial" w:cs="Arial"/>
                <w:b/>
                <w:bCs/>
                <w:sz w:val="20"/>
                <w:szCs w:val="20"/>
                <w:lang w:val="sq-AL"/>
              </w:rPr>
              <w:t xml:space="preserve"> II:</w:t>
            </w:r>
            <w:r w:rsidR="006D0672" w:rsidRPr="003E7289">
              <w:rPr>
                <w:rFonts w:ascii="Arial" w:hAnsi="Arial" w:cs="Arial"/>
                <w:kern w:val="0"/>
                <w:sz w:val="20"/>
                <w:szCs w:val="20"/>
                <w:lang w:val="sq-AL"/>
                <w14:ligatures w14:val="none"/>
              </w:rPr>
              <w:t xml:space="preserve"> </w:t>
            </w:r>
            <w:r w:rsidR="00A4252B" w:rsidRPr="003E7289">
              <w:rPr>
                <w:rFonts w:ascii="Arial" w:hAnsi="Arial" w:cs="Arial"/>
                <w:kern w:val="0"/>
                <w:sz w:val="20"/>
                <w:szCs w:val="20"/>
                <w:lang w:val="sq-AL"/>
                <w14:ligatures w14:val="none"/>
              </w:rPr>
              <w:t>Të rritet siguria dhe qëndrueshmëria energjetike përmes diversifikimit të përzierjes së energjisë, përmirësimit të efiçiencës dhe ndërtimit të infrastrukturës reziliente ndaj ndryshimeve klimatike, duke siguruar një sistem energjetik të besueshëm, të qëndrueshëm dhe të përshtatshëm që mbështet zhvillimin ekonomik dhe mbron popullatat e cenueshme dhe ekosistemet.</w:t>
            </w:r>
          </w:p>
        </w:tc>
      </w:tr>
      <w:tr w:rsidR="006D0672" w:rsidRPr="003E7289" w14:paraId="205C4B17" w14:textId="77777777" w:rsidTr="00D42597">
        <w:trPr>
          <w:trHeight w:val="248"/>
        </w:trPr>
        <w:tc>
          <w:tcPr>
            <w:tcW w:w="2976" w:type="dxa"/>
            <w:gridSpan w:val="3"/>
            <w:vAlign w:val="center"/>
          </w:tcPr>
          <w:p w14:paraId="20817521" w14:textId="421D39E7" w:rsidR="006D0672" w:rsidRPr="003E7289" w:rsidRDefault="00A4252B" w:rsidP="004807C9">
            <w:pPr>
              <w:spacing w:before="0" w:line="240" w:lineRule="auto"/>
              <w:rPr>
                <w:rFonts w:ascii="Arial" w:hAnsi="Arial" w:cs="Arial"/>
                <w:b/>
                <w:bCs/>
                <w:sz w:val="20"/>
                <w:szCs w:val="20"/>
                <w:lang w:val="sq-AL"/>
              </w:rPr>
            </w:pPr>
            <w:r w:rsidRPr="003E7289">
              <w:rPr>
                <w:rFonts w:ascii="Arial" w:eastAsia="Aptos" w:hAnsi="Arial" w:cs="Arial"/>
                <w:b/>
                <w:bCs/>
                <w:sz w:val="20"/>
                <w:szCs w:val="20"/>
                <w:lang w:val="sq-AL"/>
              </w:rPr>
              <w:t>Përqindja e Objektivave specifikë të prioritizuar nën Objektivin Strategjik II që janë zbatuar apo funksionalizuar plotësisht.</w:t>
            </w:r>
          </w:p>
        </w:tc>
        <w:tc>
          <w:tcPr>
            <w:tcW w:w="1700" w:type="dxa"/>
            <w:vAlign w:val="center"/>
          </w:tcPr>
          <w:p w14:paraId="21773AD9" w14:textId="77777777" w:rsidR="006D0672" w:rsidRPr="003E7289" w:rsidRDefault="006D0672" w:rsidP="00A70686">
            <w:pPr>
              <w:spacing w:before="0" w:line="240" w:lineRule="auto"/>
              <w:jc w:val="center"/>
              <w:rPr>
                <w:rFonts w:ascii="Arial" w:hAnsi="Arial" w:cs="Arial"/>
                <w:b/>
                <w:bCs/>
                <w:sz w:val="20"/>
                <w:szCs w:val="20"/>
                <w:lang w:val="sq-AL"/>
              </w:rPr>
            </w:pPr>
            <w:r w:rsidRPr="003E7289">
              <w:rPr>
                <w:rFonts w:ascii="Arial" w:eastAsia="Aptos" w:hAnsi="Arial" w:cs="Arial"/>
                <w:bCs/>
                <w:sz w:val="20"/>
                <w:szCs w:val="20"/>
                <w:lang w:val="sq-AL"/>
              </w:rPr>
              <w:t>0%</w:t>
            </w:r>
          </w:p>
        </w:tc>
        <w:tc>
          <w:tcPr>
            <w:tcW w:w="2700" w:type="dxa"/>
            <w:gridSpan w:val="4"/>
            <w:vAlign w:val="center"/>
          </w:tcPr>
          <w:p w14:paraId="761951B9" w14:textId="77777777" w:rsidR="006D0672" w:rsidRPr="003E7289" w:rsidRDefault="006D0672" w:rsidP="00A70686">
            <w:pPr>
              <w:spacing w:before="0" w:line="240" w:lineRule="auto"/>
              <w:jc w:val="center"/>
              <w:rPr>
                <w:rFonts w:ascii="Arial" w:hAnsi="Arial" w:cs="Arial"/>
                <w:b/>
                <w:bCs/>
                <w:sz w:val="20"/>
                <w:szCs w:val="20"/>
                <w:lang w:val="sq-AL"/>
              </w:rPr>
            </w:pPr>
            <w:r w:rsidRPr="003E7289">
              <w:rPr>
                <w:rFonts w:ascii="Arial" w:eastAsia="Aptos" w:hAnsi="Arial" w:cs="Arial"/>
                <w:bCs/>
                <w:sz w:val="20"/>
                <w:szCs w:val="20"/>
                <w:lang w:val="sq-AL"/>
              </w:rPr>
              <w:t>30%</w:t>
            </w:r>
          </w:p>
        </w:tc>
        <w:tc>
          <w:tcPr>
            <w:tcW w:w="1559" w:type="dxa"/>
            <w:vAlign w:val="center"/>
          </w:tcPr>
          <w:p w14:paraId="44611D91" w14:textId="77777777" w:rsidR="006D0672" w:rsidRPr="003E7289" w:rsidRDefault="006D0672" w:rsidP="00A70686">
            <w:pPr>
              <w:spacing w:before="0" w:line="240" w:lineRule="auto"/>
              <w:jc w:val="center"/>
              <w:rPr>
                <w:rFonts w:ascii="Arial" w:hAnsi="Arial" w:cs="Arial"/>
                <w:b/>
                <w:bCs/>
                <w:sz w:val="20"/>
                <w:szCs w:val="20"/>
                <w:lang w:val="sq-AL"/>
              </w:rPr>
            </w:pPr>
            <w:r w:rsidRPr="003E7289">
              <w:rPr>
                <w:rFonts w:ascii="Arial" w:eastAsia="Aptos" w:hAnsi="Arial" w:cs="Arial"/>
                <w:bCs/>
                <w:sz w:val="20"/>
                <w:szCs w:val="20"/>
                <w:lang w:val="sq-AL"/>
              </w:rPr>
              <w:t>100%</w:t>
            </w:r>
          </w:p>
        </w:tc>
        <w:tc>
          <w:tcPr>
            <w:tcW w:w="6233" w:type="dxa"/>
            <w:gridSpan w:val="5"/>
            <w:vAlign w:val="center"/>
          </w:tcPr>
          <w:p w14:paraId="5CB82B26" w14:textId="0CE7C92E" w:rsidR="006D0672" w:rsidRPr="003E7289" w:rsidRDefault="00A4252B" w:rsidP="004807C9">
            <w:pPr>
              <w:spacing w:before="0" w:line="240" w:lineRule="auto"/>
              <w:rPr>
                <w:rFonts w:ascii="Arial" w:hAnsi="Arial" w:cs="Arial"/>
                <w:sz w:val="20"/>
                <w:szCs w:val="20"/>
                <w:lang w:val="sq-AL"/>
              </w:rPr>
            </w:pPr>
            <w:r w:rsidRPr="003E7289">
              <w:rPr>
                <w:rFonts w:ascii="Arial" w:hAnsi="Arial" w:cs="Arial"/>
                <w:sz w:val="20"/>
                <w:szCs w:val="20"/>
                <w:lang w:val="sq-AL"/>
              </w:rPr>
              <w:t xml:space="preserve">Është vendosur një sistem energjetik i besueshëm, i qëndrueshëm dhe i qëndrueshëm ndaj ndryshimeve klimatike, duke forcuar sigurinë dhe </w:t>
            </w:r>
            <w:r w:rsidR="00AF6C69" w:rsidRPr="003E7289">
              <w:rPr>
                <w:rFonts w:ascii="Arial" w:hAnsi="Arial" w:cs="Arial"/>
                <w:sz w:val="20"/>
                <w:szCs w:val="20"/>
                <w:lang w:val="sq-AL"/>
              </w:rPr>
              <w:t>efiçiencën energjetike</w:t>
            </w:r>
            <w:r w:rsidRPr="003E7289">
              <w:rPr>
                <w:rFonts w:ascii="Arial" w:hAnsi="Arial" w:cs="Arial"/>
                <w:sz w:val="20"/>
                <w:szCs w:val="20"/>
                <w:lang w:val="sq-AL"/>
              </w:rPr>
              <w:t xml:space="preserve"> të Kosovës, duke reduktuar cenueshmëritë dhe duke mbështetur zhvillimin ekonomik gjithëpërfshirës dhe mbrojtjen e ekosistemeve.</w:t>
            </w:r>
          </w:p>
        </w:tc>
      </w:tr>
      <w:tr w:rsidR="006D0672" w:rsidRPr="003E7289" w14:paraId="58E1F415" w14:textId="77777777" w:rsidTr="00A70686">
        <w:trPr>
          <w:trHeight w:val="351"/>
        </w:trPr>
        <w:tc>
          <w:tcPr>
            <w:tcW w:w="15168" w:type="dxa"/>
            <w:gridSpan w:val="14"/>
            <w:shd w:val="clear" w:color="auto" w:fill="0F4761"/>
            <w:vAlign w:val="center"/>
          </w:tcPr>
          <w:p w14:paraId="0FB9759E" w14:textId="608B050A" w:rsidR="006D0672" w:rsidRPr="003E7289" w:rsidRDefault="0040465B" w:rsidP="00A70686">
            <w:pPr>
              <w:spacing w:before="0" w:line="240" w:lineRule="auto"/>
              <w:jc w:val="center"/>
              <w:rPr>
                <w:rFonts w:ascii="Arial" w:hAnsi="Arial" w:cs="Arial"/>
                <w:b/>
                <w:bCs/>
                <w:color w:val="FFFFFF" w:themeColor="background1"/>
                <w:sz w:val="20"/>
                <w:szCs w:val="20"/>
                <w:lang w:val="sq-AL"/>
              </w:rPr>
            </w:pPr>
            <w:r w:rsidRPr="003E7289">
              <w:rPr>
                <w:rFonts w:ascii="Arial" w:hAnsi="Arial" w:cs="Arial"/>
                <w:b/>
                <w:bCs/>
                <w:color w:val="FFFFFF" w:themeColor="background1"/>
                <w:sz w:val="20"/>
                <w:szCs w:val="20"/>
                <w:lang w:val="sq-AL"/>
              </w:rPr>
              <w:t>Prioriteti kyç për përshtatje</w:t>
            </w:r>
            <w:r w:rsidR="006D0672" w:rsidRPr="003E7289">
              <w:rPr>
                <w:rFonts w:ascii="Arial" w:hAnsi="Arial" w:cs="Arial"/>
                <w:b/>
                <w:bCs/>
                <w:color w:val="FFFFFF" w:themeColor="background1"/>
                <w:sz w:val="20"/>
                <w:szCs w:val="20"/>
                <w:lang w:val="sq-AL"/>
              </w:rPr>
              <w:t xml:space="preserve">: </w:t>
            </w:r>
            <w:r w:rsidR="00E0225B" w:rsidRPr="003E7289">
              <w:rPr>
                <w:rFonts w:ascii="Arial" w:hAnsi="Arial" w:cs="Arial"/>
                <w:b/>
                <w:bCs/>
                <w:color w:val="FFFFFF" w:themeColor="background1"/>
                <w:sz w:val="20"/>
                <w:szCs w:val="20"/>
                <w:lang w:val="sq-AL"/>
              </w:rPr>
              <w:t>Diversifikimi i burimeve të energjisë dhe përmirësimi i efiçiencës energjetike;</w:t>
            </w:r>
          </w:p>
        </w:tc>
      </w:tr>
      <w:tr w:rsidR="006D0672" w:rsidRPr="003E7289" w14:paraId="581DC63F" w14:textId="77777777" w:rsidTr="00A70686">
        <w:trPr>
          <w:trHeight w:val="414"/>
        </w:trPr>
        <w:tc>
          <w:tcPr>
            <w:tcW w:w="993" w:type="dxa"/>
            <w:shd w:val="clear" w:color="auto" w:fill="84CCEC"/>
            <w:vAlign w:val="center"/>
          </w:tcPr>
          <w:p w14:paraId="6F5DA09E" w14:textId="504D3ABB" w:rsidR="006D0672" w:rsidRPr="003E7289" w:rsidRDefault="006D0672" w:rsidP="00A70686">
            <w:pPr>
              <w:spacing w:before="0" w:line="240" w:lineRule="auto"/>
              <w:jc w:val="center"/>
              <w:rPr>
                <w:rFonts w:ascii="Arial" w:hAnsi="Arial" w:cs="Arial"/>
                <w:b/>
                <w:bCs/>
                <w:sz w:val="20"/>
                <w:szCs w:val="20"/>
                <w:lang w:val="sq-AL"/>
              </w:rPr>
            </w:pPr>
            <w:bookmarkStart w:id="128" w:name="_Hlk201907125"/>
            <w:r w:rsidRPr="003E7289">
              <w:rPr>
                <w:rFonts w:ascii="Arial" w:hAnsi="Arial" w:cs="Arial"/>
                <w:b/>
                <w:bCs/>
                <w:sz w:val="20"/>
                <w:szCs w:val="20"/>
                <w:lang w:val="sq-AL"/>
              </w:rPr>
              <w:t>II.1</w:t>
            </w:r>
            <w:r w:rsidR="00E0225B" w:rsidRPr="003E7289">
              <w:rPr>
                <w:rFonts w:ascii="Arial" w:hAnsi="Arial" w:cs="Arial"/>
                <w:b/>
                <w:bCs/>
                <w:sz w:val="20"/>
                <w:szCs w:val="20"/>
                <w:lang w:val="sq-AL"/>
              </w:rPr>
              <w:t>4</w:t>
            </w:r>
          </w:p>
        </w:tc>
        <w:tc>
          <w:tcPr>
            <w:tcW w:w="14175" w:type="dxa"/>
            <w:gridSpan w:val="13"/>
            <w:shd w:val="clear" w:color="auto" w:fill="84CCEC"/>
            <w:vAlign w:val="center"/>
          </w:tcPr>
          <w:p w14:paraId="75E7C92D" w14:textId="361A109F" w:rsidR="006D0672" w:rsidRPr="003E7289" w:rsidRDefault="00A4252B" w:rsidP="00A70686">
            <w:pPr>
              <w:spacing w:before="0" w:line="240" w:lineRule="auto"/>
              <w:jc w:val="center"/>
              <w:rPr>
                <w:rFonts w:ascii="Arial" w:hAnsi="Arial" w:cs="Arial"/>
                <w:b/>
                <w:bCs/>
                <w:i/>
                <w:iCs/>
                <w:sz w:val="20"/>
                <w:szCs w:val="20"/>
                <w:lang w:val="sq-AL"/>
              </w:rPr>
            </w:pPr>
            <w:r w:rsidRPr="003E7289">
              <w:rPr>
                <w:rFonts w:ascii="Arial" w:hAnsi="Arial" w:cs="Arial"/>
                <w:b/>
                <w:bCs/>
                <w:sz w:val="20"/>
                <w:szCs w:val="20"/>
                <w:lang w:val="sq-AL"/>
              </w:rPr>
              <w:t>Zgjerimi i kapaciteteve të energjisë së erës për të shfrytëzuar prodhimin e qëndrueshëm ndaj ndryshimeve klimatike</w:t>
            </w:r>
          </w:p>
        </w:tc>
      </w:tr>
      <w:tr w:rsidR="006D0672" w:rsidRPr="003E7289" w14:paraId="012FF990" w14:textId="77777777" w:rsidTr="00905BF3">
        <w:tc>
          <w:tcPr>
            <w:tcW w:w="2970" w:type="dxa"/>
            <w:gridSpan w:val="2"/>
            <w:vAlign w:val="center"/>
          </w:tcPr>
          <w:p w14:paraId="094B4551" w14:textId="02048967" w:rsidR="006D0672" w:rsidRPr="003E7289" w:rsidRDefault="00A4252B" w:rsidP="00A4252B">
            <w:pPr>
              <w:spacing w:before="0" w:line="240" w:lineRule="auto"/>
              <w:jc w:val="center"/>
              <w:rPr>
                <w:rFonts w:ascii="Arial" w:hAnsi="Arial" w:cs="Arial"/>
                <w:i/>
                <w:iCs/>
                <w:sz w:val="20"/>
                <w:szCs w:val="20"/>
                <w:lang w:val="sq-AL"/>
              </w:rPr>
            </w:pPr>
            <w:r w:rsidRPr="003E7289">
              <w:rPr>
                <w:rFonts w:ascii="Arial" w:eastAsia="Aptos" w:hAnsi="Arial" w:cs="Arial"/>
                <w:b/>
                <w:bCs/>
                <w:sz w:val="20"/>
                <w:szCs w:val="20"/>
                <w:lang w:val="sq-AL"/>
              </w:rPr>
              <w:t>Kapaciteti i instaluar i energjisë nga era (MW)</w:t>
            </w:r>
          </w:p>
        </w:tc>
        <w:tc>
          <w:tcPr>
            <w:tcW w:w="1706" w:type="dxa"/>
            <w:gridSpan w:val="2"/>
            <w:vAlign w:val="center"/>
          </w:tcPr>
          <w:p w14:paraId="27AEF384" w14:textId="01800741" w:rsidR="006D0672" w:rsidRPr="003E7289" w:rsidRDefault="00A4252B" w:rsidP="00A4252B">
            <w:pPr>
              <w:spacing w:before="0" w:line="240" w:lineRule="auto"/>
              <w:rPr>
                <w:rFonts w:ascii="Arial" w:hAnsi="Arial" w:cs="Arial"/>
                <w:b/>
                <w:bCs/>
                <w:sz w:val="20"/>
                <w:szCs w:val="20"/>
                <w:lang w:val="sq-AL"/>
              </w:rPr>
            </w:pPr>
            <w:r w:rsidRPr="003E7289">
              <w:rPr>
                <w:rFonts w:ascii="Arial" w:hAnsi="Arial" w:cs="Arial"/>
                <w:sz w:val="20"/>
                <w:szCs w:val="20"/>
                <w:lang w:val="sq-AL"/>
              </w:rPr>
              <w:t>~140 MW (kapaciteti ekzistues i energjisë së erës, p.sh. parku me erë Kitka).</w:t>
            </w:r>
          </w:p>
        </w:tc>
        <w:tc>
          <w:tcPr>
            <w:tcW w:w="2700" w:type="dxa"/>
            <w:gridSpan w:val="4"/>
            <w:vAlign w:val="center"/>
          </w:tcPr>
          <w:p w14:paraId="7DC0E68A" w14:textId="2D2F21C8" w:rsidR="006D0672" w:rsidRPr="003E7289" w:rsidRDefault="00A4252B" w:rsidP="00A4252B">
            <w:pPr>
              <w:spacing w:before="0" w:line="240" w:lineRule="auto"/>
              <w:jc w:val="center"/>
              <w:rPr>
                <w:rFonts w:ascii="Arial" w:hAnsi="Arial" w:cs="Arial"/>
                <w:b/>
                <w:bCs/>
                <w:sz w:val="20"/>
                <w:szCs w:val="20"/>
                <w:lang w:val="sq-AL"/>
              </w:rPr>
            </w:pPr>
            <w:r w:rsidRPr="003E7289">
              <w:rPr>
                <w:rFonts w:ascii="Arial" w:hAnsi="Arial" w:cs="Arial"/>
                <w:sz w:val="20"/>
                <w:szCs w:val="20"/>
                <w:lang w:val="sq-AL"/>
              </w:rPr>
              <w:t>250 MW të instaluara (ferma të tjera me erë në ndërtim e sipër).</w:t>
            </w:r>
          </w:p>
        </w:tc>
        <w:tc>
          <w:tcPr>
            <w:tcW w:w="1559" w:type="dxa"/>
            <w:vAlign w:val="center"/>
          </w:tcPr>
          <w:p w14:paraId="6C59494C" w14:textId="478C38BC" w:rsidR="006D0672" w:rsidRPr="003E7289" w:rsidRDefault="00A4252B" w:rsidP="00A4252B">
            <w:pPr>
              <w:spacing w:before="0" w:line="240" w:lineRule="auto"/>
              <w:jc w:val="center"/>
              <w:rPr>
                <w:rFonts w:ascii="Arial" w:hAnsi="Arial" w:cs="Arial"/>
                <w:b/>
                <w:bCs/>
                <w:sz w:val="20"/>
                <w:szCs w:val="20"/>
                <w:lang w:val="sq-AL"/>
              </w:rPr>
            </w:pPr>
            <w:r w:rsidRPr="003E7289">
              <w:rPr>
                <w:rFonts w:ascii="Arial" w:hAnsi="Arial" w:cs="Arial"/>
                <w:sz w:val="20"/>
                <w:szCs w:val="20"/>
                <w:lang w:val="sq-AL"/>
              </w:rPr>
              <w:t>600 MW të instaluara (realizimi i projekteve të mëdha me erë sipas Strategjisë së Energjisë).</w:t>
            </w:r>
          </w:p>
        </w:tc>
        <w:tc>
          <w:tcPr>
            <w:tcW w:w="6233" w:type="dxa"/>
            <w:gridSpan w:val="5"/>
            <w:vAlign w:val="center"/>
          </w:tcPr>
          <w:p w14:paraId="385DCA8B" w14:textId="1F34B940" w:rsidR="006D0672" w:rsidRPr="003E7289" w:rsidRDefault="00A4252B" w:rsidP="00A4252B">
            <w:pPr>
              <w:spacing w:before="0" w:line="240" w:lineRule="auto"/>
              <w:jc w:val="center"/>
              <w:rPr>
                <w:rFonts w:ascii="Arial" w:hAnsi="Arial" w:cs="Arial"/>
                <w:b/>
                <w:bCs/>
                <w:sz w:val="20"/>
                <w:szCs w:val="20"/>
                <w:lang w:val="sq-AL"/>
              </w:rPr>
            </w:pPr>
            <w:r w:rsidRPr="003E7289">
              <w:rPr>
                <w:rFonts w:ascii="Arial" w:hAnsi="Arial" w:cs="Arial"/>
                <w:sz w:val="20"/>
                <w:szCs w:val="20"/>
                <w:lang w:val="sq-AL"/>
              </w:rPr>
              <w:t>1,200 MW të instaluara (shfrytëzimi i plotë i lokacioneve kryesore për erë)</w:t>
            </w:r>
          </w:p>
        </w:tc>
      </w:tr>
      <w:tr w:rsidR="000D1635" w:rsidRPr="003E7289" w14:paraId="285DE8C7" w14:textId="77777777" w:rsidTr="004807C9">
        <w:trPr>
          <w:trHeight w:val="195"/>
        </w:trPr>
        <w:tc>
          <w:tcPr>
            <w:tcW w:w="993" w:type="dxa"/>
            <w:vMerge w:val="restart"/>
            <w:shd w:val="clear" w:color="auto" w:fill="C6E7F6"/>
            <w:vAlign w:val="center"/>
          </w:tcPr>
          <w:p w14:paraId="2885AC3B" w14:textId="36E6BB5E"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Nr.</w:t>
            </w:r>
          </w:p>
        </w:tc>
        <w:tc>
          <w:tcPr>
            <w:tcW w:w="1977" w:type="dxa"/>
            <w:vMerge w:val="restart"/>
            <w:shd w:val="clear" w:color="auto" w:fill="C6E7F6"/>
            <w:vAlign w:val="center"/>
          </w:tcPr>
          <w:p w14:paraId="2B2D1FA3" w14:textId="6CB015F1"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Veprimi</w:t>
            </w:r>
          </w:p>
        </w:tc>
        <w:tc>
          <w:tcPr>
            <w:tcW w:w="1706" w:type="dxa"/>
            <w:gridSpan w:val="2"/>
            <w:vMerge w:val="restart"/>
            <w:shd w:val="clear" w:color="auto" w:fill="C6E7F6"/>
            <w:vAlign w:val="center"/>
          </w:tcPr>
          <w:p w14:paraId="7D238B23" w14:textId="432870DE"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Afati I fundit</w:t>
            </w:r>
          </w:p>
        </w:tc>
        <w:tc>
          <w:tcPr>
            <w:tcW w:w="2700" w:type="dxa"/>
            <w:gridSpan w:val="4"/>
            <w:shd w:val="clear" w:color="auto" w:fill="C6E7F6"/>
            <w:vAlign w:val="center"/>
          </w:tcPr>
          <w:p w14:paraId="579DBAE2" w14:textId="763220B2"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Buxheti</w:t>
            </w:r>
          </w:p>
        </w:tc>
        <w:tc>
          <w:tcPr>
            <w:tcW w:w="1559" w:type="dxa"/>
            <w:vMerge w:val="restart"/>
            <w:shd w:val="clear" w:color="auto" w:fill="C6E7F6"/>
            <w:vAlign w:val="center"/>
          </w:tcPr>
          <w:p w14:paraId="59174764" w14:textId="08BC3927"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Burimi i financimit</w:t>
            </w:r>
          </w:p>
        </w:tc>
        <w:tc>
          <w:tcPr>
            <w:tcW w:w="1415" w:type="dxa"/>
            <w:vMerge w:val="restart"/>
            <w:shd w:val="clear" w:color="auto" w:fill="C6E7F6"/>
            <w:vAlign w:val="center"/>
          </w:tcPr>
          <w:p w14:paraId="6D1AB89E" w14:textId="083FA430"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Institucionet përgjegjëse dhe partnere</w:t>
            </w:r>
          </w:p>
        </w:tc>
        <w:tc>
          <w:tcPr>
            <w:tcW w:w="1418" w:type="dxa"/>
            <w:vMerge w:val="restart"/>
            <w:shd w:val="clear" w:color="auto" w:fill="C6E7F6"/>
            <w:vAlign w:val="center"/>
          </w:tcPr>
          <w:p w14:paraId="352977D1" w14:textId="3997E04C"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Rezultati i pritur</w:t>
            </w:r>
          </w:p>
        </w:tc>
        <w:tc>
          <w:tcPr>
            <w:tcW w:w="3400" w:type="dxa"/>
            <w:gridSpan w:val="3"/>
            <w:vMerge w:val="restart"/>
            <w:shd w:val="clear" w:color="auto" w:fill="C6E7F6"/>
            <w:vAlign w:val="center"/>
          </w:tcPr>
          <w:p w14:paraId="12E64E7E" w14:textId="0506518A"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Dokumenti strategjik referues</w:t>
            </w:r>
          </w:p>
        </w:tc>
      </w:tr>
      <w:tr w:rsidR="006D0672" w:rsidRPr="003E7289" w14:paraId="4EE72514" w14:textId="77777777" w:rsidTr="004807C9">
        <w:trPr>
          <w:trHeight w:val="195"/>
        </w:trPr>
        <w:tc>
          <w:tcPr>
            <w:tcW w:w="993" w:type="dxa"/>
            <w:vMerge/>
            <w:vAlign w:val="center"/>
          </w:tcPr>
          <w:p w14:paraId="35B7EC31" w14:textId="77777777" w:rsidR="006D0672" w:rsidRPr="003E7289" w:rsidRDefault="006D0672" w:rsidP="00A70686">
            <w:pPr>
              <w:spacing w:before="0" w:line="240" w:lineRule="auto"/>
              <w:jc w:val="center"/>
              <w:rPr>
                <w:rFonts w:ascii="Arial" w:hAnsi="Arial" w:cs="Arial"/>
                <w:sz w:val="20"/>
                <w:szCs w:val="20"/>
                <w:lang w:val="sq-AL"/>
              </w:rPr>
            </w:pPr>
          </w:p>
        </w:tc>
        <w:tc>
          <w:tcPr>
            <w:tcW w:w="1977" w:type="dxa"/>
            <w:vMerge/>
            <w:vAlign w:val="center"/>
          </w:tcPr>
          <w:p w14:paraId="6BECDBBB" w14:textId="77777777" w:rsidR="006D0672" w:rsidRPr="003E7289" w:rsidRDefault="006D0672" w:rsidP="00A70686">
            <w:pPr>
              <w:spacing w:before="0" w:line="240" w:lineRule="auto"/>
              <w:jc w:val="center"/>
              <w:rPr>
                <w:rFonts w:ascii="Arial" w:hAnsi="Arial" w:cs="Arial"/>
                <w:b/>
                <w:bCs/>
                <w:sz w:val="20"/>
                <w:szCs w:val="20"/>
                <w:lang w:val="sq-AL"/>
              </w:rPr>
            </w:pPr>
          </w:p>
        </w:tc>
        <w:tc>
          <w:tcPr>
            <w:tcW w:w="1706" w:type="dxa"/>
            <w:gridSpan w:val="2"/>
            <w:vMerge/>
            <w:vAlign w:val="center"/>
          </w:tcPr>
          <w:p w14:paraId="78B67D28" w14:textId="77777777" w:rsidR="006D0672" w:rsidRPr="003E7289" w:rsidRDefault="006D0672" w:rsidP="00A70686">
            <w:pPr>
              <w:spacing w:before="0" w:line="240" w:lineRule="auto"/>
              <w:jc w:val="center"/>
              <w:rPr>
                <w:rFonts w:ascii="Arial" w:hAnsi="Arial" w:cs="Arial"/>
                <w:b/>
                <w:bCs/>
                <w:sz w:val="20"/>
                <w:szCs w:val="20"/>
                <w:lang w:val="sq-AL"/>
              </w:rPr>
            </w:pPr>
          </w:p>
        </w:tc>
        <w:tc>
          <w:tcPr>
            <w:tcW w:w="902" w:type="dxa"/>
            <w:shd w:val="clear" w:color="auto" w:fill="C6E7F6"/>
            <w:vAlign w:val="center"/>
          </w:tcPr>
          <w:p w14:paraId="0BEC5AD9" w14:textId="77777777" w:rsidR="006D0672" w:rsidRPr="003E7289" w:rsidRDefault="006D0672" w:rsidP="00A70686">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2026</w:t>
            </w:r>
          </w:p>
        </w:tc>
        <w:tc>
          <w:tcPr>
            <w:tcW w:w="941" w:type="dxa"/>
            <w:gridSpan w:val="2"/>
            <w:shd w:val="clear" w:color="auto" w:fill="C6E7F6"/>
            <w:vAlign w:val="center"/>
          </w:tcPr>
          <w:p w14:paraId="0565FF4B" w14:textId="77777777" w:rsidR="006D0672" w:rsidRPr="003E7289" w:rsidRDefault="006D0672" w:rsidP="00A70686">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2027</w:t>
            </w:r>
          </w:p>
        </w:tc>
        <w:tc>
          <w:tcPr>
            <w:tcW w:w="857" w:type="dxa"/>
            <w:shd w:val="clear" w:color="auto" w:fill="C6E7F6"/>
            <w:vAlign w:val="center"/>
          </w:tcPr>
          <w:p w14:paraId="34FF8629" w14:textId="77777777" w:rsidR="006D0672" w:rsidRPr="003E7289" w:rsidRDefault="006D0672" w:rsidP="00A70686">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2028</w:t>
            </w:r>
          </w:p>
        </w:tc>
        <w:tc>
          <w:tcPr>
            <w:tcW w:w="1559" w:type="dxa"/>
            <w:vMerge/>
            <w:vAlign w:val="center"/>
          </w:tcPr>
          <w:p w14:paraId="49CAA949" w14:textId="77777777" w:rsidR="006D0672" w:rsidRPr="003E7289" w:rsidRDefault="006D0672" w:rsidP="00A70686">
            <w:pPr>
              <w:spacing w:before="0" w:line="240" w:lineRule="auto"/>
              <w:jc w:val="center"/>
              <w:rPr>
                <w:rFonts w:ascii="Arial" w:hAnsi="Arial" w:cs="Arial"/>
                <w:b/>
                <w:bCs/>
                <w:sz w:val="20"/>
                <w:szCs w:val="20"/>
                <w:lang w:val="sq-AL"/>
              </w:rPr>
            </w:pPr>
          </w:p>
        </w:tc>
        <w:tc>
          <w:tcPr>
            <w:tcW w:w="1415" w:type="dxa"/>
            <w:vMerge/>
            <w:vAlign w:val="center"/>
          </w:tcPr>
          <w:p w14:paraId="7ECD3FEA" w14:textId="77777777" w:rsidR="006D0672" w:rsidRPr="003E7289" w:rsidRDefault="006D0672" w:rsidP="00A70686">
            <w:pPr>
              <w:spacing w:before="0" w:line="240" w:lineRule="auto"/>
              <w:jc w:val="center"/>
              <w:rPr>
                <w:rFonts w:ascii="Arial" w:hAnsi="Arial" w:cs="Arial"/>
                <w:b/>
                <w:bCs/>
                <w:sz w:val="20"/>
                <w:szCs w:val="20"/>
                <w:lang w:val="sq-AL"/>
              </w:rPr>
            </w:pPr>
          </w:p>
        </w:tc>
        <w:tc>
          <w:tcPr>
            <w:tcW w:w="1418" w:type="dxa"/>
            <w:vMerge/>
            <w:vAlign w:val="center"/>
          </w:tcPr>
          <w:p w14:paraId="2319F184" w14:textId="77777777" w:rsidR="006D0672" w:rsidRPr="003E7289" w:rsidRDefault="006D0672" w:rsidP="00A70686">
            <w:pPr>
              <w:spacing w:before="0" w:line="240" w:lineRule="auto"/>
              <w:jc w:val="center"/>
              <w:rPr>
                <w:rFonts w:ascii="Arial" w:hAnsi="Arial" w:cs="Arial"/>
                <w:b/>
                <w:bCs/>
                <w:sz w:val="20"/>
                <w:szCs w:val="20"/>
                <w:lang w:val="sq-AL"/>
              </w:rPr>
            </w:pPr>
          </w:p>
        </w:tc>
        <w:tc>
          <w:tcPr>
            <w:tcW w:w="3400" w:type="dxa"/>
            <w:gridSpan w:val="3"/>
            <w:vMerge/>
            <w:vAlign w:val="center"/>
          </w:tcPr>
          <w:p w14:paraId="35531205" w14:textId="77777777" w:rsidR="006D0672" w:rsidRPr="003E7289" w:rsidRDefault="006D0672" w:rsidP="00A70686">
            <w:pPr>
              <w:spacing w:before="0" w:line="240" w:lineRule="auto"/>
              <w:jc w:val="center"/>
              <w:rPr>
                <w:rFonts w:ascii="Arial" w:hAnsi="Arial" w:cs="Arial"/>
                <w:b/>
                <w:bCs/>
                <w:sz w:val="20"/>
                <w:szCs w:val="20"/>
                <w:lang w:val="sq-AL"/>
              </w:rPr>
            </w:pPr>
          </w:p>
        </w:tc>
      </w:tr>
      <w:bookmarkEnd w:id="128"/>
      <w:tr w:rsidR="00B57EA9" w:rsidRPr="003E7289" w14:paraId="5FE0CC32" w14:textId="77777777" w:rsidTr="004807C9">
        <w:trPr>
          <w:trHeight w:val="391"/>
        </w:trPr>
        <w:tc>
          <w:tcPr>
            <w:tcW w:w="993" w:type="dxa"/>
            <w:vAlign w:val="center"/>
          </w:tcPr>
          <w:p w14:paraId="14865340" w14:textId="216F0301" w:rsidR="00B57EA9" w:rsidRPr="003E7289" w:rsidRDefault="00B57EA9" w:rsidP="00B57EA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II.1</w:t>
            </w:r>
            <w:r w:rsidR="00E0225B" w:rsidRPr="003E7289">
              <w:rPr>
                <w:rFonts w:ascii="Arial" w:hAnsi="Arial" w:cs="Arial"/>
                <w:b/>
                <w:bCs/>
                <w:sz w:val="20"/>
                <w:szCs w:val="20"/>
                <w:lang w:val="sq-AL"/>
              </w:rPr>
              <w:t>4</w:t>
            </w:r>
            <w:r w:rsidRPr="003E7289">
              <w:rPr>
                <w:rFonts w:ascii="Arial" w:hAnsi="Arial" w:cs="Arial"/>
                <w:b/>
                <w:bCs/>
                <w:sz w:val="20"/>
                <w:szCs w:val="20"/>
                <w:lang w:val="sq-AL"/>
              </w:rPr>
              <w:t>.1</w:t>
            </w:r>
          </w:p>
        </w:tc>
        <w:tc>
          <w:tcPr>
            <w:tcW w:w="1977" w:type="dxa"/>
            <w:vAlign w:val="center"/>
          </w:tcPr>
          <w:p w14:paraId="00346FB5" w14:textId="15E023F0" w:rsidR="00B57EA9" w:rsidRPr="003E7289" w:rsidRDefault="00A4252B" w:rsidP="00A4252B">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 xml:space="preserve">Hartimi i atlasit kombëtar të burimeve të erës dhe vlerësimi i fizibilitetit për </w:t>
            </w:r>
            <w:r w:rsidRPr="003E7289">
              <w:rPr>
                <w:rFonts w:ascii="Arial" w:hAnsi="Arial" w:cs="Arial"/>
                <w:b/>
                <w:bCs/>
                <w:sz w:val="20"/>
                <w:szCs w:val="20"/>
                <w:lang w:val="sq-AL"/>
              </w:rPr>
              <w:lastRenderedPageBreak/>
              <w:t>ferma të reja me erë</w:t>
            </w:r>
          </w:p>
        </w:tc>
        <w:tc>
          <w:tcPr>
            <w:tcW w:w="1706" w:type="dxa"/>
            <w:gridSpan w:val="2"/>
            <w:vAlign w:val="center"/>
          </w:tcPr>
          <w:p w14:paraId="76AE21BB" w14:textId="77777777" w:rsidR="00B57EA9" w:rsidRPr="003E7289" w:rsidRDefault="00B57EA9"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lastRenderedPageBreak/>
              <w:t>2026</w:t>
            </w:r>
          </w:p>
        </w:tc>
        <w:tc>
          <w:tcPr>
            <w:tcW w:w="902" w:type="dxa"/>
            <w:vAlign w:val="center"/>
          </w:tcPr>
          <w:p w14:paraId="1150FEDF" w14:textId="77777777" w:rsidR="00B57EA9" w:rsidRPr="003E7289" w:rsidRDefault="00B57EA9"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30.000€</w:t>
            </w:r>
          </w:p>
        </w:tc>
        <w:tc>
          <w:tcPr>
            <w:tcW w:w="941" w:type="dxa"/>
            <w:gridSpan w:val="2"/>
            <w:vAlign w:val="center"/>
          </w:tcPr>
          <w:p w14:paraId="6B4E5D24" w14:textId="77777777" w:rsidR="00B57EA9" w:rsidRPr="003E7289" w:rsidRDefault="00B57EA9" w:rsidP="00B57EA9">
            <w:pPr>
              <w:spacing w:before="0" w:line="240" w:lineRule="auto"/>
              <w:jc w:val="center"/>
              <w:rPr>
                <w:rFonts w:ascii="Arial" w:hAnsi="Arial" w:cs="Arial"/>
                <w:sz w:val="20"/>
                <w:szCs w:val="20"/>
                <w:lang w:val="sq-AL"/>
              </w:rPr>
            </w:pPr>
          </w:p>
        </w:tc>
        <w:tc>
          <w:tcPr>
            <w:tcW w:w="857" w:type="dxa"/>
            <w:vAlign w:val="center"/>
          </w:tcPr>
          <w:p w14:paraId="38582DC2" w14:textId="77777777" w:rsidR="00B57EA9" w:rsidRPr="003E7289" w:rsidRDefault="00B57EA9" w:rsidP="00B57EA9">
            <w:pPr>
              <w:spacing w:before="0" w:line="240" w:lineRule="auto"/>
              <w:jc w:val="center"/>
              <w:rPr>
                <w:rFonts w:ascii="Arial" w:hAnsi="Arial" w:cs="Arial"/>
                <w:sz w:val="20"/>
                <w:szCs w:val="20"/>
                <w:lang w:val="sq-AL"/>
              </w:rPr>
            </w:pPr>
          </w:p>
        </w:tc>
        <w:tc>
          <w:tcPr>
            <w:tcW w:w="1559" w:type="dxa"/>
            <w:vAlign w:val="center"/>
          </w:tcPr>
          <w:p w14:paraId="29E032BC" w14:textId="77777777" w:rsidR="00B57EA9" w:rsidRPr="003E7289" w:rsidRDefault="00B57EA9" w:rsidP="00B57EA9">
            <w:pPr>
              <w:spacing w:before="0" w:line="240" w:lineRule="auto"/>
              <w:jc w:val="center"/>
              <w:rPr>
                <w:rFonts w:ascii="Arial" w:hAnsi="Arial" w:cs="Arial"/>
                <w:b/>
                <w:bCs/>
                <w:sz w:val="20"/>
                <w:szCs w:val="20"/>
                <w:lang w:val="sq-AL"/>
              </w:rPr>
            </w:pPr>
          </w:p>
        </w:tc>
        <w:tc>
          <w:tcPr>
            <w:tcW w:w="1415" w:type="dxa"/>
            <w:vMerge w:val="restart"/>
            <w:vAlign w:val="center"/>
          </w:tcPr>
          <w:p w14:paraId="42503196" w14:textId="16E067DF" w:rsidR="00B57EA9" w:rsidRPr="003E7289" w:rsidRDefault="00A4252B" w:rsidP="00A4252B">
            <w:pPr>
              <w:rPr>
                <w:rFonts w:ascii="Arial" w:hAnsi="Arial" w:cs="Arial"/>
                <w:lang w:val="sq-AL"/>
              </w:rPr>
            </w:pPr>
            <w:r w:rsidRPr="003E7289">
              <w:rPr>
                <w:rFonts w:ascii="Arial" w:hAnsi="Arial" w:cs="Arial"/>
                <w:sz w:val="20"/>
                <w:szCs w:val="20"/>
                <w:lang w:val="sq-AL"/>
              </w:rPr>
              <w:t xml:space="preserve">• Qeveria e Kosovës, përmes </w:t>
            </w:r>
            <w:r w:rsidRPr="003E7289">
              <w:rPr>
                <w:rFonts w:ascii="Arial" w:hAnsi="Arial" w:cs="Arial"/>
                <w:sz w:val="20"/>
                <w:szCs w:val="20"/>
                <w:lang w:val="sq-AL"/>
              </w:rPr>
              <w:lastRenderedPageBreak/>
              <w:t xml:space="preserve">Ministrisë së Ekonomisë, do të bashkëfinancojë projekte me erë, duke mbajtur deri në 49% të kapitalit në SPV së bashku me partnerë privatë. </w:t>
            </w:r>
            <w:r w:rsidRPr="003E7289">
              <w:rPr>
                <w:rFonts w:ascii="Arial" w:hAnsi="Arial" w:cs="Arial"/>
                <w:sz w:val="20"/>
                <w:szCs w:val="20"/>
                <w:lang w:val="sq-AL"/>
              </w:rPr>
              <w:br/>
              <w:t>• IFC vepron si këshilltar transaksionesh për strukturimin e PPP-ve, dizajnin e ankandeve dhe angazhimin me investitorët.</w:t>
            </w:r>
          </w:p>
        </w:tc>
        <w:tc>
          <w:tcPr>
            <w:tcW w:w="1418" w:type="dxa"/>
            <w:vAlign w:val="center"/>
          </w:tcPr>
          <w:p w14:paraId="198B2BE6" w14:textId="50728E6C" w:rsidR="00B57EA9" w:rsidRPr="003E7289" w:rsidRDefault="00A4252B" w:rsidP="00A4252B">
            <w:pPr>
              <w:spacing w:before="0" w:line="240" w:lineRule="auto"/>
              <w:jc w:val="center"/>
              <w:rPr>
                <w:rFonts w:ascii="Arial" w:hAnsi="Arial" w:cs="Arial"/>
                <w:sz w:val="20"/>
                <w:szCs w:val="20"/>
                <w:lang w:val="sq-AL"/>
              </w:rPr>
            </w:pPr>
            <w:r w:rsidRPr="003E7289">
              <w:rPr>
                <w:rFonts w:ascii="Arial" w:hAnsi="Arial" w:cs="Arial"/>
                <w:sz w:val="20"/>
                <w:szCs w:val="20"/>
                <w:lang w:val="sq-AL"/>
              </w:rPr>
              <w:lastRenderedPageBreak/>
              <w:t xml:space="preserve">Atlas kombëtar i erës dhe raporte fizibiliteti për </w:t>
            </w:r>
            <w:r w:rsidRPr="003E7289">
              <w:rPr>
                <w:rFonts w:ascii="Arial" w:hAnsi="Arial" w:cs="Arial"/>
                <w:sz w:val="20"/>
                <w:szCs w:val="20"/>
                <w:lang w:val="sq-AL"/>
              </w:rPr>
              <w:lastRenderedPageBreak/>
              <w:t>të paktën 10 lokacione të përshtatshme për ferma me erë.</w:t>
            </w:r>
          </w:p>
        </w:tc>
        <w:tc>
          <w:tcPr>
            <w:tcW w:w="3400" w:type="dxa"/>
            <w:gridSpan w:val="3"/>
            <w:vAlign w:val="center"/>
          </w:tcPr>
          <w:p w14:paraId="0B1FD952" w14:textId="3AD31481" w:rsidR="00B57EA9" w:rsidRPr="003E7289" w:rsidRDefault="00BE39C7" w:rsidP="00A4252B">
            <w:pPr>
              <w:spacing w:before="0" w:line="240" w:lineRule="auto"/>
              <w:jc w:val="center"/>
              <w:rPr>
                <w:rFonts w:ascii="Arial" w:hAnsi="Arial" w:cs="Arial"/>
                <w:sz w:val="20"/>
                <w:szCs w:val="20"/>
                <w:lang w:val="sq-AL"/>
              </w:rPr>
            </w:pPr>
            <w:r w:rsidRPr="003E7289">
              <w:rPr>
                <w:rFonts w:ascii="Arial" w:hAnsi="Arial" w:cs="Arial"/>
                <w:sz w:val="20"/>
                <w:szCs w:val="20"/>
                <w:lang w:val="sq-AL"/>
              </w:rPr>
              <w:lastRenderedPageBreak/>
              <w:t>Strategjia</w:t>
            </w:r>
            <w:r w:rsidR="00A4252B" w:rsidRPr="003E7289">
              <w:rPr>
                <w:rFonts w:ascii="Arial" w:hAnsi="Arial" w:cs="Arial"/>
                <w:sz w:val="20"/>
                <w:szCs w:val="20"/>
                <w:lang w:val="sq-AL"/>
              </w:rPr>
              <w:t xml:space="preserve"> e Energjisë 2022–2031 + NECP</w:t>
            </w:r>
          </w:p>
        </w:tc>
      </w:tr>
      <w:tr w:rsidR="00B57EA9" w:rsidRPr="003E7289" w14:paraId="69BBEAA8" w14:textId="77777777" w:rsidTr="004807C9">
        <w:tc>
          <w:tcPr>
            <w:tcW w:w="993" w:type="dxa"/>
            <w:vAlign w:val="center"/>
          </w:tcPr>
          <w:p w14:paraId="4E0676DA" w14:textId="4EC67C38" w:rsidR="00B57EA9" w:rsidRPr="003E7289" w:rsidRDefault="00B57EA9" w:rsidP="00B57EA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lastRenderedPageBreak/>
              <w:t>II.1</w:t>
            </w:r>
            <w:r w:rsidR="00E0225B" w:rsidRPr="003E7289">
              <w:rPr>
                <w:rFonts w:ascii="Arial" w:hAnsi="Arial" w:cs="Arial"/>
                <w:b/>
                <w:bCs/>
                <w:sz w:val="20"/>
                <w:szCs w:val="20"/>
                <w:lang w:val="sq-AL"/>
              </w:rPr>
              <w:t>4</w:t>
            </w:r>
            <w:r w:rsidRPr="003E7289">
              <w:rPr>
                <w:rFonts w:ascii="Arial" w:hAnsi="Arial" w:cs="Arial"/>
                <w:b/>
                <w:bCs/>
                <w:sz w:val="20"/>
                <w:szCs w:val="20"/>
                <w:lang w:val="sq-AL"/>
              </w:rPr>
              <w:t>.2</w:t>
            </w:r>
          </w:p>
        </w:tc>
        <w:tc>
          <w:tcPr>
            <w:tcW w:w="1977" w:type="dxa"/>
            <w:vAlign w:val="center"/>
          </w:tcPr>
          <w:p w14:paraId="690A571E" w14:textId="21BD4760" w:rsidR="00B57EA9" w:rsidRPr="003E7289" w:rsidRDefault="00A4252B" w:rsidP="00A4252B">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Lehtësimi i lejeve, integrimit në rrjet dhe krijimit të kornizës për investime për projektet e reja me erë</w:t>
            </w:r>
          </w:p>
        </w:tc>
        <w:tc>
          <w:tcPr>
            <w:tcW w:w="1706" w:type="dxa"/>
            <w:gridSpan w:val="2"/>
            <w:vAlign w:val="center"/>
          </w:tcPr>
          <w:p w14:paraId="4CBD1681" w14:textId="77777777" w:rsidR="00B57EA9" w:rsidRPr="003E7289" w:rsidRDefault="00B57EA9"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2028</w:t>
            </w:r>
          </w:p>
        </w:tc>
        <w:tc>
          <w:tcPr>
            <w:tcW w:w="902" w:type="dxa"/>
            <w:vAlign w:val="center"/>
          </w:tcPr>
          <w:p w14:paraId="0D152F54" w14:textId="77777777" w:rsidR="00B57EA9" w:rsidRPr="003E7289" w:rsidRDefault="00B57EA9"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25.000€</w:t>
            </w:r>
          </w:p>
        </w:tc>
        <w:tc>
          <w:tcPr>
            <w:tcW w:w="941" w:type="dxa"/>
            <w:gridSpan w:val="2"/>
            <w:vAlign w:val="center"/>
          </w:tcPr>
          <w:p w14:paraId="00C5628A" w14:textId="77777777" w:rsidR="00B57EA9" w:rsidRPr="003E7289" w:rsidRDefault="00B57EA9" w:rsidP="00B57EA9">
            <w:pPr>
              <w:spacing w:before="0" w:line="240" w:lineRule="auto"/>
              <w:jc w:val="center"/>
              <w:rPr>
                <w:rFonts w:ascii="Arial" w:hAnsi="Arial" w:cs="Arial"/>
                <w:sz w:val="20"/>
                <w:szCs w:val="20"/>
                <w:lang w:val="sq-AL"/>
              </w:rPr>
            </w:pPr>
          </w:p>
        </w:tc>
        <w:tc>
          <w:tcPr>
            <w:tcW w:w="857" w:type="dxa"/>
            <w:vAlign w:val="center"/>
          </w:tcPr>
          <w:p w14:paraId="2F620460" w14:textId="77777777" w:rsidR="00B57EA9" w:rsidRPr="003E7289" w:rsidRDefault="00B57EA9" w:rsidP="00B57EA9">
            <w:pPr>
              <w:spacing w:before="0" w:line="240" w:lineRule="auto"/>
              <w:jc w:val="center"/>
              <w:rPr>
                <w:rFonts w:ascii="Arial" w:hAnsi="Arial" w:cs="Arial"/>
                <w:sz w:val="20"/>
                <w:szCs w:val="20"/>
                <w:lang w:val="sq-AL"/>
              </w:rPr>
            </w:pPr>
          </w:p>
        </w:tc>
        <w:tc>
          <w:tcPr>
            <w:tcW w:w="1559" w:type="dxa"/>
            <w:vAlign w:val="center"/>
          </w:tcPr>
          <w:p w14:paraId="5E4EB236" w14:textId="77777777" w:rsidR="00B57EA9" w:rsidRPr="003E7289" w:rsidRDefault="00B57EA9" w:rsidP="00B57EA9">
            <w:pPr>
              <w:spacing w:before="0" w:line="240" w:lineRule="auto"/>
              <w:jc w:val="center"/>
              <w:rPr>
                <w:rFonts w:ascii="Arial" w:hAnsi="Arial" w:cs="Arial"/>
                <w:b/>
                <w:bCs/>
                <w:sz w:val="20"/>
                <w:szCs w:val="20"/>
                <w:lang w:val="sq-AL"/>
              </w:rPr>
            </w:pPr>
          </w:p>
        </w:tc>
        <w:tc>
          <w:tcPr>
            <w:tcW w:w="1415" w:type="dxa"/>
            <w:vMerge/>
            <w:vAlign w:val="center"/>
          </w:tcPr>
          <w:p w14:paraId="0C17B712" w14:textId="77777777" w:rsidR="00B57EA9" w:rsidRPr="003E7289" w:rsidRDefault="00B57EA9" w:rsidP="00B57EA9">
            <w:pPr>
              <w:spacing w:before="0" w:line="240" w:lineRule="auto"/>
              <w:jc w:val="center"/>
              <w:rPr>
                <w:rFonts w:ascii="Arial" w:hAnsi="Arial" w:cs="Arial"/>
                <w:b/>
                <w:bCs/>
                <w:color w:val="EE0000"/>
                <w:sz w:val="20"/>
                <w:szCs w:val="20"/>
                <w:lang w:val="sq-AL"/>
              </w:rPr>
            </w:pPr>
          </w:p>
        </w:tc>
        <w:tc>
          <w:tcPr>
            <w:tcW w:w="1418" w:type="dxa"/>
            <w:vAlign w:val="center"/>
          </w:tcPr>
          <w:p w14:paraId="04D6E97C" w14:textId="30F9DDC0" w:rsidR="00B57EA9" w:rsidRPr="003E7289" w:rsidRDefault="00A4252B" w:rsidP="00A4252B">
            <w:pPr>
              <w:spacing w:before="0" w:line="240" w:lineRule="auto"/>
              <w:jc w:val="center"/>
              <w:rPr>
                <w:rFonts w:ascii="Arial" w:hAnsi="Arial" w:cs="Arial"/>
                <w:sz w:val="20"/>
                <w:szCs w:val="20"/>
                <w:lang w:val="sq-AL"/>
              </w:rPr>
            </w:pPr>
            <w:r w:rsidRPr="003E7289">
              <w:rPr>
                <w:rFonts w:ascii="Arial" w:hAnsi="Arial" w:cs="Arial"/>
                <w:sz w:val="20"/>
                <w:szCs w:val="20"/>
                <w:lang w:val="sq-AL"/>
              </w:rPr>
              <w:t>Mjedis i favorshëm i krijuar; të paktën 250 MW nga projekte të reja me erë të miratuara dhe në ndërtim.</w:t>
            </w:r>
          </w:p>
        </w:tc>
        <w:tc>
          <w:tcPr>
            <w:tcW w:w="3400" w:type="dxa"/>
            <w:gridSpan w:val="3"/>
            <w:vAlign w:val="center"/>
          </w:tcPr>
          <w:p w14:paraId="43C7F983" w14:textId="2F9844A4" w:rsidR="00B57EA9" w:rsidRPr="003E7289" w:rsidRDefault="00BE39C7" w:rsidP="00A4252B">
            <w:pPr>
              <w:spacing w:before="0" w:line="240" w:lineRule="auto"/>
              <w:jc w:val="center"/>
              <w:rPr>
                <w:rFonts w:ascii="Arial" w:hAnsi="Arial" w:cs="Arial"/>
                <w:sz w:val="20"/>
                <w:szCs w:val="20"/>
                <w:lang w:val="sq-AL"/>
              </w:rPr>
            </w:pPr>
            <w:r w:rsidRPr="003E7289">
              <w:rPr>
                <w:rFonts w:ascii="Arial" w:hAnsi="Arial" w:cs="Arial"/>
                <w:sz w:val="20"/>
                <w:szCs w:val="20"/>
                <w:lang w:val="sq-AL"/>
              </w:rPr>
              <w:t>Strategjia</w:t>
            </w:r>
            <w:r w:rsidR="00A4252B" w:rsidRPr="003E7289">
              <w:rPr>
                <w:rFonts w:ascii="Arial" w:hAnsi="Arial" w:cs="Arial"/>
                <w:sz w:val="20"/>
                <w:szCs w:val="20"/>
                <w:lang w:val="sq-AL"/>
              </w:rPr>
              <w:t xml:space="preserve"> e Energjisë 2022–2031 + NECP</w:t>
            </w:r>
          </w:p>
        </w:tc>
      </w:tr>
      <w:tr w:rsidR="00B57EA9" w:rsidRPr="003E7289" w14:paraId="585CD4BE" w14:textId="77777777" w:rsidTr="004807C9">
        <w:tc>
          <w:tcPr>
            <w:tcW w:w="993" w:type="dxa"/>
            <w:vAlign w:val="center"/>
          </w:tcPr>
          <w:p w14:paraId="69262797" w14:textId="7F8E0850" w:rsidR="00B57EA9" w:rsidRPr="003E7289" w:rsidRDefault="00B57EA9" w:rsidP="00B57EA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II.1</w:t>
            </w:r>
            <w:r w:rsidR="00E0225B" w:rsidRPr="003E7289">
              <w:rPr>
                <w:rFonts w:ascii="Arial" w:hAnsi="Arial" w:cs="Arial"/>
                <w:b/>
                <w:bCs/>
                <w:sz w:val="20"/>
                <w:szCs w:val="20"/>
                <w:lang w:val="sq-AL"/>
              </w:rPr>
              <w:t>4</w:t>
            </w:r>
            <w:r w:rsidRPr="003E7289">
              <w:rPr>
                <w:rFonts w:ascii="Arial" w:hAnsi="Arial" w:cs="Arial"/>
                <w:b/>
                <w:bCs/>
                <w:sz w:val="20"/>
                <w:szCs w:val="20"/>
                <w:lang w:val="sq-AL"/>
              </w:rPr>
              <w:t>.3</w:t>
            </w:r>
          </w:p>
        </w:tc>
        <w:tc>
          <w:tcPr>
            <w:tcW w:w="1977" w:type="dxa"/>
            <w:vAlign w:val="center"/>
          </w:tcPr>
          <w:p w14:paraId="77C9AFA8" w14:textId="1D45E6F5" w:rsidR="00B57EA9" w:rsidRPr="003E7289" w:rsidRDefault="00A4252B" w:rsidP="00A4252B">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Vënia në punë dhe operimi i fermave të mëdha me erë në zonat me potencial të lartë</w:t>
            </w:r>
          </w:p>
        </w:tc>
        <w:tc>
          <w:tcPr>
            <w:tcW w:w="1706" w:type="dxa"/>
            <w:gridSpan w:val="2"/>
            <w:vAlign w:val="center"/>
          </w:tcPr>
          <w:p w14:paraId="0F64BE24" w14:textId="77777777" w:rsidR="00B57EA9" w:rsidRPr="003E7289" w:rsidRDefault="00B57EA9"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2040</w:t>
            </w:r>
          </w:p>
        </w:tc>
        <w:tc>
          <w:tcPr>
            <w:tcW w:w="902" w:type="dxa"/>
            <w:vAlign w:val="center"/>
          </w:tcPr>
          <w:p w14:paraId="26DF132B" w14:textId="77777777" w:rsidR="00B57EA9" w:rsidRPr="003E7289" w:rsidRDefault="00B57EA9" w:rsidP="00B57EA9">
            <w:pPr>
              <w:spacing w:before="0" w:line="240" w:lineRule="auto"/>
              <w:jc w:val="center"/>
              <w:rPr>
                <w:rFonts w:ascii="Arial" w:hAnsi="Arial" w:cs="Arial"/>
                <w:sz w:val="20"/>
                <w:szCs w:val="20"/>
                <w:lang w:val="sq-AL"/>
              </w:rPr>
            </w:pPr>
          </w:p>
        </w:tc>
        <w:tc>
          <w:tcPr>
            <w:tcW w:w="941" w:type="dxa"/>
            <w:gridSpan w:val="2"/>
            <w:vAlign w:val="center"/>
          </w:tcPr>
          <w:p w14:paraId="56EF12EA" w14:textId="77777777" w:rsidR="00B57EA9" w:rsidRPr="003E7289" w:rsidRDefault="00B57EA9"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45.000€</w:t>
            </w:r>
          </w:p>
        </w:tc>
        <w:tc>
          <w:tcPr>
            <w:tcW w:w="857" w:type="dxa"/>
            <w:vAlign w:val="center"/>
          </w:tcPr>
          <w:p w14:paraId="2CB580FD" w14:textId="77777777" w:rsidR="00B57EA9" w:rsidRPr="003E7289" w:rsidRDefault="00B57EA9" w:rsidP="00B57EA9">
            <w:pPr>
              <w:spacing w:before="0" w:line="240" w:lineRule="auto"/>
              <w:jc w:val="center"/>
              <w:rPr>
                <w:rFonts w:ascii="Arial" w:hAnsi="Arial" w:cs="Arial"/>
                <w:sz w:val="20"/>
                <w:szCs w:val="20"/>
                <w:lang w:val="sq-AL"/>
              </w:rPr>
            </w:pPr>
          </w:p>
        </w:tc>
        <w:tc>
          <w:tcPr>
            <w:tcW w:w="1559" w:type="dxa"/>
            <w:vAlign w:val="center"/>
          </w:tcPr>
          <w:p w14:paraId="4A22258E" w14:textId="77777777" w:rsidR="00B57EA9" w:rsidRPr="003E7289" w:rsidRDefault="00B57EA9" w:rsidP="00B57EA9">
            <w:pPr>
              <w:spacing w:before="0" w:line="240" w:lineRule="auto"/>
              <w:jc w:val="center"/>
              <w:rPr>
                <w:rFonts w:ascii="Arial" w:hAnsi="Arial" w:cs="Arial"/>
                <w:b/>
                <w:bCs/>
                <w:sz w:val="20"/>
                <w:szCs w:val="20"/>
                <w:lang w:val="sq-AL"/>
              </w:rPr>
            </w:pPr>
          </w:p>
        </w:tc>
        <w:tc>
          <w:tcPr>
            <w:tcW w:w="1415" w:type="dxa"/>
            <w:vMerge/>
            <w:vAlign w:val="center"/>
          </w:tcPr>
          <w:p w14:paraId="1B07828B" w14:textId="77777777" w:rsidR="00B57EA9" w:rsidRPr="003E7289" w:rsidRDefault="00B57EA9" w:rsidP="00B57EA9">
            <w:pPr>
              <w:spacing w:before="0" w:line="240" w:lineRule="auto"/>
              <w:jc w:val="center"/>
              <w:rPr>
                <w:rFonts w:ascii="Arial" w:hAnsi="Arial" w:cs="Arial"/>
                <w:b/>
                <w:bCs/>
                <w:color w:val="EE0000"/>
                <w:sz w:val="20"/>
                <w:szCs w:val="20"/>
                <w:lang w:val="sq-AL"/>
              </w:rPr>
            </w:pPr>
          </w:p>
        </w:tc>
        <w:tc>
          <w:tcPr>
            <w:tcW w:w="1418" w:type="dxa"/>
            <w:vAlign w:val="center"/>
          </w:tcPr>
          <w:p w14:paraId="0A27CCB1" w14:textId="7EA429A1" w:rsidR="00B57EA9" w:rsidRPr="003E7289" w:rsidRDefault="00A4252B" w:rsidP="00A4252B">
            <w:pPr>
              <w:spacing w:before="0" w:line="240" w:lineRule="auto"/>
              <w:jc w:val="center"/>
              <w:rPr>
                <w:rFonts w:ascii="Arial" w:hAnsi="Arial" w:cs="Arial"/>
                <w:sz w:val="20"/>
                <w:szCs w:val="20"/>
                <w:lang w:val="sq-AL"/>
              </w:rPr>
            </w:pPr>
            <w:r w:rsidRPr="003E7289">
              <w:rPr>
                <w:rFonts w:ascii="Arial" w:hAnsi="Arial" w:cs="Arial"/>
                <w:sz w:val="20"/>
                <w:szCs w:val="20"/>
                <w:lang w:val="sq-AL"/>
              </w:rPr>
              <w:t>Të paktën 1200 MW kapacitet i instaluar nga era, në funksion të plotë, duke kontribuar në një përzierje më të balancuar të energjisë elektrike.</w:t>
            </w:r>
          </w:p>
        </w:tc>
        <w:tc>
          <w:tcPr>
            <w:tcW w:w="3400" w:type="dxa"/>
            <w:gridSpan w:val="3"/>
            <w:vAlign w:val="center"/>
          </w:tcPr>
          <w:p w14:paraId="33E44CA3" w14:textId="06E1E2DF" w:rsidR="00B57EA9" w:rsidRPr="003E7289" w:rsidRDefault="00BE39C7" w:rsidP="00A4252B">
            <w:pPr>
              <w:spacing w:before="0" w:line="240" w:lineRule="auto"/>
              <w:jc w:val="center"/>
              <w:rPr>
                <w:rFonts w:ascii="Arial" w:hAnsi="Arial" w:cs="Arial"/>
                <w:sz w:val="20"/>
                <w:szCs w:val="20"/>
                <w:lang w:val="sq-AL"/>
              </w:rPr>
            </w:pPr>
            <w:r w:rsidRPr="003E7289">
              <w:rPr>
                <w:rFonts w:ascii="Arial" w:hAnsi="Arial" w:cs="Arial"/>
                <w:sz w:val="20"/>
                <w:szCs w:val="20"/>
                <w:lang w:val="sq-AL"/>
              </w:rPr>
              <w:t>Strategjia</w:t>
            </w:r>
            <w:r w:rsidR="00A4252B" w:rsidRPr="003E7289">
              <w:rPr>
                <w:rFonts w:ascii="Arial" w:hAnsi="Arial" w:cs="Arial"/>
                <w:sz w:val="20"/>
                <w:szCs w:val="20"/>
                <w:lang w:val="sq-AL"/>
              </w:rPr>
              <w:t xml:space="preserve"> e Energjisë 2022–2031 + NECP</w:t>
            </w:r>
          </w:p>
        </w:tc>
      </w:tr>
      <w:tr w:rsidR="00C63DE6" w:rsidRPr="003E7289" w14:paraId="77FAC44B" w14:textId="77777777" w:rsidTr="00D42597">
        <w:tc>
          <w:tcPr>
            <w:tcW w:w="2970" w:type="dxa"/>
            <w:gridSpan w:val="2"/>
            <w:shd w:val="clear" w:color="auto" w:fill="C6E7F6"/>
            <w:vAlign w:val="center"/>
          </w:tcPr>
          <w:p w14:paraId="7C5A5A75" w14:textId="22C93797" w:rsidR="00C63DE6" w:rsidRPr="003E7289" w:rsidRDefault="00C63DE6" w:rsidP="00C63DE6">
            <w:pPr>
              <w:spacing w:before="0" w:line="240" w:lineRule="auto"/>
              <w:rPr>
                <w:rFonts w:ascii="Arial" w:hAnsi="Arial" w:cs="Arial"/>
                <w:b/>
                <w:bCs/>
                <w:sz w:val="20"/>
                <w:szCs w:val="20"/>
                <w:lang w:val="sq-AL"/>
              </w:rPr>
            </w:pPr>
            <w:r w:rsidRPr="003E7289">
              <w:rPr>
                <w:rFonts w:ascii="Arial" w:eastAsia="Aptos" w:hAnsi="Arial" w:cs="Arial"/>
                <w:b/>
                <w:bCs/>
                <w:sz w:val="20"/>
                <w:szCs w:val="20"/>
                <w:lang w:val="sq-AL"/>
              </w:rPr>
              <w:t>Buxheti total për Objektivin specifik II.1</w:t>
            </w:r>
            <w:r w:rsidR="00E0225B" w:rsidRPr="003E7289">
              <w:rPr>
                <w:rFonts w:ascii="Arial" w:eastAsia="Aptos" w:hAnsi="Arial" w:cs="Arial"/>
                <w:b/>
                <w:bCs/>
                <w:sz w:val="20"/>
                <w:szCs w:val="20"/>
                <w:lang w:val="sq-AL"/>
              </w:rPr>
              <w:t>4</w:t>
            </w:r>
            <w:r w:rsidRPr="003E7289">
              <w:rPr>
                <w:rFonts w:ascii="Arial" w:eastAsia="Aptos" w:hAnsi="Arial" w:cs="Arial"/>
                <w:b/>
                <w:bCs/>
                <w:sz w:val="20"/>
                <w:szCs w:val="20"/>
                <w:lang w:val="sq-AL"/>
              </w:rPr>
              <w:t>:</w:t>
            </w:r>
          </w:p>
        </w:tc>
        <w:tc>
          <w:tcPr>
            <w:tcW w:w="12198" w:type="dxa"/>
            <w:gridSpan w:val="12"/>
            <w:vAlign w:val="center"/>
          </w:tcPr>
          <w:p w14:paraId="314D27C0" w14:textId="77777777" w:rsidR="00C63DE6" w:rsidRPr="003E7289" w:rsidRDefault="00C63DE6" w:rsidP="00C63DE6">
            <w:pPr>
              <w:spacing w:before="0" w:line="240" w:lineRule="auto"/>
              <w:jc w:val="center"/>
              <w:rPr>
                <w:rFonts w:ascii="Arial" w:hAnsi="Arial" w:cs="Arial"/>
                <w:sz w:val="20"/>
                <w:szCs w:val="20"/>
                <w:lang w:val="sq-AL"/>
              </w:rPr>
            </w:pPr>
            <w:r w:rsidRPr="003E7289">
              <w:rPr>
                <w:rFonts w:ascii="Arial" w:hAnsi="Arial" w:cs="Arial"/>
                <w:sz w:val="20"/>
                <w:szCs w:val="20"/>
                <w:lang w:val="sq-AL"/>
              </w:rPr>
              <w:t>100.000 €</w:t>
            </w:r>
          </w:p>
        </w:tc>
      </w:tr>
      <w:tr w:rsidR="00C63DE6" w:rsidRPr="003E7289" w14:paraId="15C99743" w14:textId="77777777" w:rsidTr="00D42597">
        <w:tc>
          <w:tcPr>
            <w:tcW w:w="2970" w:type="dxa"/>
            <w:gridSpan w:val="2"/>
            <w:shd w:val="clear" w:color="auto" w:fill="C6E7F6"/>
          </w:tcPr>
          <w:p w14:paraId="6A495F63" w14:textId="1440C50D" w:rsidR="00C63DE6" w:rsidRPr="003E7289" w:rsidRDefault="00C63DE6" w:rsidP="00C63DE6">
            <w:pPr>
              <w:spacing w:before="0" w:line="240" w:lineRule="auto"/>
              <w:rPr>
                <w:rFonts w:ascii="Arial" w:hAnsi="Arial" w:cs="Arial"/>
                <w:b/>
                <w:bCs/>
                <w:sz w:val="20"/>
                <w:szCs w:val="20"/>
                <w:lang w:val="sq-AL"/>
              </w:rPr>
            </w:pPr>
            <w:r w:rsidRPr="003E7289">
              <w:rPr>
                <w:rFonts w:ascii="Arial" w:eastAsia="Aptos" w:hAnsi="Arial" w:cs="Arial"/>
                <w:b/>
                <w:bCs/>
                <w:sz w:val="20"/>
                <w:szCs w:val="20"/>
                <w:lang w:val="sq-AL"/>
              </w:rPr>
              <w:t>Nga kjo, kapital:</w:t>
            </w:r>
          </w:p>
        </w:tc>
        <w:tc>
          <w:tcPr>
            <w:tcW w:w="12198" w:type="dxa"/>
            <w:gridSpan w:val="12"/>
            <w:vAlign w:val="center"/>
          </w:tcPr>
          <w:p w14:paraId="1BDD59C5" w14:textId="77777777" w:rsidR="00C63DE6" w:rsidRPr="003E7289" w:rsidRDefault="00C63DE6" w:rsidP="00C63DE6">
            <w:pPr>
              <w:spacing w:before="0" w:line="240" w:lineRule="auto"/>
              <w:jc w:val="center"/>
              <w:rPr>
                <w:rFonts w:ascii="Arial" w:hAnsi="Arial" w:cs="Arial"/>
                <w:b/>
                <w:bCs/>
                <w:color w:val="EE0000"/>
                <w:sz w:val="20"/>
                <w:szCs w:val="20"/>
                <w:lang w:val="sq-AL"/>
              </w:rPr>
            </w:pPr>
          </w:p>
        </w:tc>
      </w:tr>
      <w:tr w:rsidR="00C63DE6" w:rsidRPr="003E7289" w14:paraId="66D122C1" w14:textId="77777777" w:rsidTr="00D42597">
        <w:tc>
          <w:tcPr>
            <w:tcW w:w="2970" w:type="dxa"/>
            <w:gridSpan w:val="2"/>
            <w:shd w:val="clear" w:color="auto" w:fill="C6E7F6"/>
          </w:tcPr>
          <w:p w14:paraId="71BC9DC2" w14:textId="503F46B9" w:rsidR="00C63DE6" w:rsidRPr="003E7289" w:rsidRDefault="00C63DE6" w:rsidP="00C63DE6">
            <w:pPr>
              <w:spacing w:before="0" w:line="240" w:lineRule="auto"/>
              <w:rPr>
                <w:rFonts w:ascii="Arial" w:hAnsi="Arial" w:cs="Arial"/>
                <w:b/>
                <w:bCs/>
                <w:sz w:val="20"/>
                <w:szCs w:val="20"/>
                <w:lang w:val="sq-AL"/>
              </w:rPr>
            </w:pPr>
            <w:r w:rsidRPr="003E7289">
              <w:rPr>
                <w:rFonts w:ascii="Arial" w:eastAsia="Aptos" w:hAnsi="Arial" w:cs="Arial"/>
                <w:b/>
                <w:bCs/>
                <w:sz w:val="20"/>
                <w:szCs w:val="20"/>
                <w:lang w:val="sq-AL"/>
              </w:rPr>
              <w:t>Nga kjo, shpenzime korrente:</w:t>
            </w:r>
          </w:p>
        </w:tc>
        <w:tc>
          <w:tcPr>
            <w:tcW w:w="12198" w:type="dxa"/>
            <w:gridSpan w:val="12"/>
            <w:vAlign w:val="center"/>
          </w:tcPr>
          <w:p w14:paraId="6BFD130F" w14:textId="77777777" w:rsidR="00C63DE6" w:rsidRPr="003E7289" w:rsidRDefault="00C63DE6" w:rsidP="00C63DE6">
            <w:pPr>
              <w:spacing w:before="0" w:line="240" w:lineRule="auto"/>
              <w:jc w:val="center"/>
              <w:rPr>
                <w:rFonts w:ascii="Arial" w:hAnsi="Arial" w:cs="Arial"/>
                <w:b/>
                <w:bCs/>
                <w:color w:val="EE0000"/>
                <w:sz w:val="20"/>
                <w:szCs w:val="20"/>
                <w:lang w:val="sq-AL"/>
              </w:rPr>
            </w:pPr>
          </w:p>
        </w:tc>
      </w:tr>
      <w:tr w:rsidR="00B57EA9" w:rsidRPr="003E7289" w14:paraId="30E09436" w14:textId="77777777" w:rsidTr="00A70686">
        <w:trPr>
          <w:trHeight w:val="414"/>
        </w:trPr>
        <w:tc>
          <w:tcPr>
            <w:tcW w:w="993" w:type="dxa"/>
            <w:shd w:val="clear" w:color="auto" w:fill="84CCEC"/>
            <w:vAlign w:val="center"/>
          </w:tcPr>
          <w:p w14:paraId="002F2D25" w14:textId="1C6666A3" w:rsidR="00B57EA9" w:rsidRPr="003E7289" w:rsidRDefault="00B57EA9" w:rsidP="00B57EA9">
            <w:pPr>
              <w:spacing w:before="0" w:line="240" w:lineRule="auto"/>
              <w:jc w:val="center"/>
              <w:rPr>
                <w:rFonts w:ascii="Arial" w:hAnsi="Arial" w:cs="Arial"/>
                <w:b/>
                <w:bCs/>
                <w:sz w:val="20"/>
                <w:szCs w:val="20"/>
                <w:lang w:val="sq-AL"/>
              </w:rPr>
            </w:pPr>
            <w:bookmarkStart w:id="129" w:name="_Hlk201907776"/>
            <w:r w:rsidRPr="003E7289">
              <w:rPr>
                <w:rFonts w:ascii="Arial" w:hAnsi="Arial" w:cs="Arial"/>
                <w:b/>
                <w:bCs/>
                <w:sz w:val="20"/>
                <w:szCs w:val="20"/>
                <w:lang w:val="sq-AL"/>
              </w:rPr>
              <w:t>II.1</w:t>
            </w:r>
            <w:r w:rsidR="00E0225B" w:rsidRPr="003E7289">
              <w:rPr>
                <w:rFonts w:ascii="Arial" w:hAnsi="Arial" w:cs="Arial"/>
                <w:b/>
                <w:bCs/>
                <w:sz w:val="20"/>
                <w:szCs w:val="20"/>
                <w:lang w:val="sq-AL"/>
              </w:rPr>
              <w:t>5</w:t>
            </w:r>
          </w:p>
        </w:tc>
        <w:tc>
          <w:tcPr>
            <w:tcW w:w="14175" w:type="dxa"/>
            <w:gridSpan w:val="13"/>
            <w:shd w:val="clear" w:color="auto" w:fill="84CCEC"/>
            <w:vAlign w:val="center"/>
          </w:tcPr>
          <w:p w14:paraId="2CE38E8D" w14:textId="12650C51" w:rsidR="00B57EA9" w:rsidRPr="003E7289" w:rsidRDefault="00A4252B" w:rsidP="00B57EA9">
            <w:pPr>
              <w:spacing w:before="0" w:line="240" w:lineRule="auto"/>
              <w:jc w:val="center"/>
              <w:rPr>
                <w:rFonts w:ascii="Arial" w:hAnsi="Arial" w:cs="Arial"/>
                <w:b/>
                <w:bCs/>
                <w:i/>
                <w:iCs/>
                <w:sz w:val="20"/>
                <w:szCs w:val="20"/>
                <w:lang w:val="sq-AL"/>
              </w:rPr>
            </w:pPr>
            <w:r w:rsidRPr="003E7289">
              <w:rPr>
                <w:rFonts w:ascii="Arial" w:hAnsi="Arial" w:cs="Arial"/>
                <w:b/>
                <w:bCs/>
                <w:sz w:val="20"/>
                <w:szCs w:val="20"/>
                <w:lang w:val="sq-AL"/>
              </w:rPr>
              <w:t>Rritja e instalimit të paneleve fotovoltaike diellore (në shkallë industriale dhe mbi ndërtesa) për të diversifikuar furnizimin, veçanërisht gjatë pikut të verës</w:t>
            </w:r>
          </w:p>
        </w:tc>
      </w:tr>
      <w:tr w:rsidR="00B57EA9" w:rsidRPr="003E7289" w14:paraId="0307E756" w14:textId="77777777" w:rsidTr="00D42597">
        <w:tc>
          <w:tcPr>
            <w:tcW w:w="2970" w:type="dxa"/>
            <w:gridSpan w:val="2"/>
            <w:vAlign w:val="center"/>
          </w:tcPr>
          <w:p w14:paraId="32A2AD71" w14:textId="31C08C04" w:rsidR="00B57EA9" w:rsidRPr="003E7289" w:rsidRDefault="00A4252B" w:rsidP="00A4252B">
            <w:pPr>
              <w:spacing w:before="0" w:line="240" w:lineRule="auto"/>
              <w:jc w:val="center"/>
              <w:rPr>
                <w:rFonts w:ascii="Arial" w:hAnsi="Arial" w:cs="Arial"/>
                <w:b/>
                <w:bCs/>
                <w:i/>
                <w:iCs/>
                <w:sz w:val="20"/>
                <w:szCs w:val="20"/>
                <w:lang w:val="sq-AL"/>
              </w:rPr>
            </w:pPr>
            <w:r w:rsidRPr="003E7289">
              <w:rPr>
                <w:rFonts w:ascii="Arial" w:hAnsi="Arial" w:cs="Arial"/>
                <w:b/>
                <w:bCs/>
                <w:sz w:val="20"/>
                <w:szCs w:val="20"/>
                <w:lang w:val="sq-AL"/>
              </w:rPr>
              <w:t>Kapaciteti total i instaluar</w:t>
            </w:r>
          </w:p>
        </w:tc>
        <w:tc>
          <w:tcPr>
            <w:tcW w:w="1706" w:type="dxa"/>
            <w:gridSpan w:val="2"/>
            <w:vAlign w:val="center"/>
          </w:tcPr>
          <w:p w14:paraId="25E48904" w14:textId="6908C3E8" w:rsidR="00B57EA9" w:rsidRPr="003E7289" w:rsidRDefault="00A4252B" w:rsidP="00A4252B">
            <w:pPr>
              <w:spacing w:before="0" w:line="240" w:lineRule="auto"/>
              <w:rPr>
                <w:rFonts w:ascii="Arial" w:hAnsi="Arial" w:cs="Arial"/>
                <w:b/>
                <w:bCs/>
                <w:sz w:val="20"/>
                <w:szCs w:val="20"/>
                <w:lang w:val="sq-AL"/>
              </w:rPr>
            </w:pPr>
            <w:r w:rsidRPr="003E7289">
              <w:rPr>
                <w:rFonts w:ascii="Arial" w:hAnsi="Arial" w:cs="Arial"/>
                <w:sz w:val="20"/>
                <w:szCs w:val="20"/>
                <w:lang w:val="sq-AL"/>
              </w:rPr>
              <w:t xml:space="preserve">~50 MW </w:t>
            </w:r>
            <w:r w:rsidRPr="003E7289">
              <w:rPr>
                <w:rFonts w:ascii="Arial" w:hAnsi="Arial" w:cs="Arial"/>
                <w:i/>
                <w:iCs/>
                <w:sz w:val="20"/>
                <w:szCs w:val="20"/>
                <w:lang w:val="sq-AL"/>
              </w:rPr>
              <w:t>(ferma të vogla solare + panele në kulme)</w:t>
            </w:r>
          </w:p>
        </w:tc>
        <w:tc>
          <w:tcPr>
            <w:tcW w:w="2700" w:type="dxa"/>
            <w:gridSpan w:val="4"/>
            <w:vAlign w:val="center"/>
          </w:tcPr>
          <w:p w14:paraId="4B692470" w14:textId="16EEE057" w:rsidR="00B57EA9" w:rsidRPr="003E7289" w:rsidRDefault="00A4252B" w:rsidP="00A4252B">
            <w:pPr>
              <w:spacing w:before="0" w:line="240" w:lineRule="auto"/>
              <w:rPr>
                <w:rFonts w:ascii="Arial" w:hAnsi="Arial" w:cs="Arial"/>
                <w:b/>
                <w:bCs/>
                <w:sz w:val="20"/>
                <w:szCs w:val="20"/>
                <w:lang w:val="sq-AL"/>
              </w:rPr>
            </w:pPr>
            <w:r w:rsidRPr="003E7289">
              <w:rPr>
                <w:rFonts w:ascii="Arial" w:hAnsi="Arial" w:cs="Arial"/>
                <w:sz w:val="20"/>
                <w:szCs w:val="20"/>
                <w:lang w:val="sq-AL"/>
              </w:rPr>
              <w:t xml:space="preserve">200 MW </w:t>
            </w:r>
            <w:r w:rsidRPr="003E7289">
              <w:rPr>
                <w:rFonts w:ascii="Arial" w:hAnsi="Arial" w:cs="Arial"/>
                <w:i/>
                <w:iCs/>
                <w:sz w:val="20"/>
                <w:szCs w:val="20"/>
                <w:lang w:val="sq-AL"/>
              </w:rPr>
              <w:t>(përfshirë më shumë se 50 MW nga programet për prosumatorët)</w:t>
            </w:r>
          </w:p>
        </w:tc>
        <w:tc>
          <w:tcPr>
            <w:tcW w:w="1559" w:type="dxa"/>
            <w:vAlign w:val="center"/>
          </w:tcPr>
          <w:p w14:paraId="1BA7A931" w14:textId="2D528E5F" w:rsidR="00B57EA9" w:rsidRPr="003E7289" w:rsidRDefault="00A4252B" w:rsidP="00A4252B">
            <w:pPr>
              <w:spacing w:before="0" w:line="240" w:lineRule="auto"/>
              <w:rPr>
                <w:rFonts w:ascii="Arial" w:hAnsi="Arial" w:cs="Arial"/>
                <w:b/>
                <w:bCs/>
                <w:sz w:val="20"/>
                <w:szCs w:val="20"/>
                <w:lang w:val="sq-AL"/>
              </w:rPr>
            </w:pPr>
            <w:r w:rsidRPr="003E7289">
              <w:rPr>
                <w:rFonts w:ascii="Arial" w:hAnsi="Arial" w:cs="Arial"/>
                <w:sz w:val="20"/>
                <w:szCs w:val="20"/>
                <w:lang w:val="sq-AL"/>
              </w:rPr>
              <w:t xml:space="preserve">700 MW </w:t>
            </w:r>
            <w:r w:rsidRPr="003E7289">
              <w:rPr>
                <w:rFonts w:ascii="Arial" w:hAnsi="Arial" w:cs="Arial"/>
                <w:i/>
                <w:iCs/>
                <w:sz w:val="20"/>
                <w:szCs w:val="20"/>
                <w:lang w:val="sq-AL"/>
              </w:rPr>
              <w:t xml:space="preserve">(600 MW ferma solare të mëdha + ~100 MW nga prosumatorët, </w:t>
            </w:r>
            <w:r w:rsidRPr="003E7289">
              <w:rPr>
                <w:rFonts w:ascii="Arial" w:hAnsi="Arial" w:cs="Arial"/>
                <w:i/>
                <w:iCs/>
                <w:sz w:val="20"/>
                <w:szCs w:val="20"/>
                <w:lang w:val="sq-AL"/>
              </w:rPr>
              <w:lastRenderedPageBreak/>
              <w:t>sipas strategjisë)</w:t>
            </w:r>
          </w:p>
        </w:tc>
        <w:tc>
          <w:tcPr>
            <w:tcW w:w="6233" w:type="dxa"/>
            <w:gridSpan w:val="5"/>
            <w:vAlign w:val="center"/>
          </w:tcPr>
          <w:p w14:paraId="0A1281BD" w14:textId="6FF4F052" w:rsidR="00B57EA9" w:rsidRPr="003E7289" w:rsidRDefault="00A4252B" w:rsidP="00A4252B">
            <w:pPr>
              <w:spacing w:before="0" w:line="240" w:lineRule="auto"/>
              <w:rPr>
                <w:rFonts w:ascii="Arial" w:hAnsi="Arial" w:cs="Arial"/>
                <w:b/>
                <w:bCs/>
                <w:sz w:val="20"/>
                <w:szCs w:val="20"/>
                <w:lang w:val="sq-AL"/>
              </w:rPr>
            </w:pPr>
            <w:r w:rsidRPr="003E7289">
              <w:rPr>
                <w:rFonts w:ascii="Arial" w:hAnsi="Arial" w:cs="Arial"/>
                <w:sz w:val="20"/>
                <w:szCs w:val="20"/>
                <w:lang w:val="sq-AL"/>
              </w:rPr>
              <w:lastRenderedPageBreak/>
              <w:t xml:space="preserve">1,200 MW </w:t>
            </w:r>
            <w:r w:rsidRPr="003E7289">
              <w:rPr>
                <w:rFonts w:ascii="Arial" w:hAnsi="Arial" w:cs="Arial"/>
                <w:i/>
                <w:iCs/>
                <w:sz w:val="20"/>
                <w:szCs w:val="20"/>
                <w:lang w:val="sq-AL"/>
              </w:rPr>
              <w:t>(shtrirje e gjerë e paneleve solare në kulme të shtëpive, bizneseve dhe ferma të mëdha solare)</w:t>
            </w:r>
          </w:p>
        </w:tc>
      </w:tr>
      <w:tr w:rsidR="000D1635" w:rsidRPr="003E7289" w14:paraId="34D97F03" w14:textId="77777777" w:rsidTr="004807C9">
        <w:trPr>
          <w:trHeight w:val="195"/>
        </w:trPr>
        <w:tc>
          <w:tcPr>
            <w:tcW w:w="993" w:type="dxa"/>
            <w:vMerge w:val="restart"/>
            <w:shd w:val="clear" w:color="auto" w:fill="C6E7F6"/>
            <w:vAlign w:val="center"/>
          </w:tcPr>
          <w:p w14:paraId="61428025" w14:textId="435C3E58"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lastRenderedPageBreak/>
              <w:t>Nr.</w:t>
            </w:r>
          </w:p>
        </w:tc>
        <w:tc>
          <w:tcPr>
            <w:tcW w:w="1977" w:type="dxa"/>
            <w:vMerge w:val="restart"/>
            <w:shd w:val="clear" w:color="auto" w:fill="C6E7F6"/>
            <w:vAlign w:val="center"/>
          </w:tcPr>
          <w:p w14:paraId="4F3AE43C" w14:textId="1010020B"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Veprimi</w:t>
            </w:r>
          </w:p>
        </w:tc>
        <w:tc>
          <w:tcPr>
            <w:tcW w:w="1706" w:type="dxa"/>
            <w:gridSpan w:val="2"/>
            <w:vMerge w:val="restart"/>
            <w:shd w:val="clear" w:color="auto" w:fill="C6E7F6"/>
            <w:vAlign w:val="center"/>
          </w:tcPr>
          <w:p w14:paraId="2152A5A5" w14:textId="7AF8ED40"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Afati I fundit</w:t>
            </w:r>
          </w:p>
        </w:tc>
        <w:tc>
          <w:tcPr>
            <w:tcW w:w="2700" w:type="dxa"/>
            <w:gridSpan w:val="4"/>
            <w:shd w:val="clear" w:color="auto" w:fill="C6E7F6"/>
            <w:vAlign w:val="center"/>
          </w:tcPr>
          <w:p w14:paraId="7AA9683B" w14:textId="710907D6"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Buxheti</w:t>
            </w:r>
          </w:p>
        </w:tc>
        <w:tc>
          <w:tcPr>
            <w:tcW w:w="1559" w:type="dxa"/>
            <w:vMerge w:val="restart"/>
            <w:shd w:val="clear" w:color="auto" w:fill="C6E7F6"/>
            <w:vAlign w:val="center"/>
          </w:tcPr>
          <w:p w14:paraId="50108F9A" w14:textId="4E889F63"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Burimi i financimit</w:t>
            </w:r>
          </w:p>
        </w:tc>
        <w:tc>
          <w:tcPr>
            <w:tcW w:w="1415" w:type="dxa"/>
            <w:vMerge w:val="restart"/>
            <w:shd w:val="clear" w:color="auto" w:fill="C6E7F6"/>
            <w:vAlign w:val="center"/>
          </w:tcPr>
          <w:p w14:paraId="2661DDA4" w14:textId="38CAC6C7"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Institucionet përgjegjëse dhe partnere</w:t>
            </w:r>
          </w:p>
        </w:tc>
        <w:tc>
          <w:tcPr>
            <w:tcW w:w="1418" w:type="dxa"/>
            <w:vMerge w:val="restart"/>
            <w:shd w:val="clear" w:color="auto" w:fill="C6E7F6"/>
            <w:vAlign w:val="center"/>
          </w:tcPr>
          <w:p w14:paraId="13809620" w14:textId="538C66E3"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Rezultati i pritur</w:t>
            </w:r>
          </w:p>
        </w:tc>
        <w:tc>
          <w:tcPr>
            <w:tcW w:w="3400" w:type="dxa"/>
            <w:gridSpan w:val="3"/>
            <w:vMerge w:val="restart"/>
            <w:shd w:val="clear" w:color="auto" w:fill="C6E7F6"/>
            <w:vAlign w:val="center"/>
          </w:tcPr>
          <w:p w14:paraId="470C1048" w14:textId="4AAE7D3B"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Dokumenti strategjik referues</w:t>
            </w:r>
          </w:p>
        </w:tc>
      </w:tr>
      <w:tr w:rsidR="00B57EA9" w:rsidRPr="003E7289" w14:paraId="0C3348D4" w14:textId="77777777" w:rsidTr="004807C9">
        <w:trPr>
          <w:trHeight w:val="195"/>
        </w:trPr>
        <w:tc>
          <w:tcPr>
            <w:tcW w:w="993" w:type="dxa"/>
            <w:vMerge/>
            <w:vAlign w:val="center"/>
          </w:tcPr>
          <w:p w14:paraId="16EA5C4D" w14:textId="77777777" w:rsidR="00B57EA9" w:rsidRPr="003E7289" w:rsidRDefault="00B57EA9" w:rsidP="00B57EA9">
            <w:pPr>
              <w:spacing w:before="0" w:line="240" w:lineRule="auto"/>
              <w:jc w:val="center"/>
              <w:rPr>
                <w:rFonts w:ascii="Arial" w:hAnsi="Arial" w:cs="Arial"/>
                <w:sz w:val="20"/>
                <w:szCs w:val="20"/>
                <w:lang w:val="sq-AL"/>
              </w:rPr>
            </w:pPr>
          </w:p>
        </w:tc>
        <w:tc>
          <w:tcPr>
            <w:tcW w:w="1977" w:type="dxa"/>
            <w:vMerge/>
            <w:vAlign w:val="center"/>
          </w:tcPr>
          <w:p w14:paraId="37E3B104" w14:textId="77777777" w:rsidR="00B57EA9" w:rsidRPr="003E7289" w:rsidRDefault="00B57EA9" w:rsidP="00B57EA9">
            <w:pPr>
              <w:spacing w:before="0" w:line="240" w:lineRule="auto"/>
              <w:jc w:val="center"/>
              <w:rPr>
                <w:rFonts w:ascii="Arial" w:hAnsi="Arial" w:cs="Arial"/>
                <w:b/>
                <w:bCs/>
                <w:sz w:val="20"/>
                <w:szCs w:val="20"/>
                <w:lang w:val="sq-AL"/>
              </w:rPr>
            </w:pPr>
          </w:p>
        </w:tc>
        <w:tc>
          <w:tcPr>
            <w:tcW w:w="1706" w:type="dxa"/>
            <w:gridSpan w:val="2"/>
            <w:vMerge/>
            <w:vAlign w:val="center"/>
          </w:tcPr>
          <w:p w14:paraId="350AC563" w14:textId="77777777" w:rsidR="00B57EA9" w:rsidRPr="003E7289" w:rsidRDefault="00B57EA9" w:rsidP="00B57EA9">
            <w:pPr>
              <w:spacing w:before="0" w:line="240" w:lineRule="auto"/>
              <w:jc w:val="center"/>
              <w:rPr>
                <w:rFonts w:ascii="Arial" w:hAnsi="Arial" w:cs="Arial"/>
                <w:b/>
                <w:bCs/>
                <w:sz w:val="20"/>
                <w:szCs w:val="20"/>
                <w:lang w:val="sq-AL"/>
              </w:rPr>
            </w:pPr>
          </w:p>
        </w:tc>
        <w:tc>
          <w:tcPr>
            <w:tcW w:w="902" w:type="dxa"/>
            <w:shd w:val="clear" w:color="auto" w:fill="C6E7F6"/>
            <w:vAlign w:val="center"/>
          </w:tcPr>
          <w:p w14:paraId="7943461F" w14:textId="77777777" w:rsidR="00B57EA9" w:rsidRPr="003E7289" w:rsidRDefault="00B57EA9" w:rsidP="00B57EA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2026</w:t>
            </w:r>
          </w:p>
        </w:tc>
        <w:tc>
          <w:tcPr>
            <w:tcW w:w="941" w:type="dxa"/>
            <w:gridSpan w:val="2"/>
            <w:shd w:val="clear" w:color="auto" w:fill="C6E7F6"/>
            <w:vAlign w:val="center"/>
          </w:tcPr>
          <w:p w14:paraId="24E60754" w14:textId="77777777" w:rsidR="00B57EA9" w:rsidRPr="003E7289" w:rsidRDefault="00B57EA9" w:rsidP="00B57EA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2027</w:t>
            </w:r>
          </w:p>
        </w:tc>
        <w:tc>
          <w:tcPr>
            <w:tcW w:w="857" w:type="dxa"/>
            <w:shd w:val="clear" w:color="auto" w:fill="C6E7F6"/>
            <w:vAlign w:val="center"/>
          </w:tcPr>
          <w:p w14:paraId="27B3E2EE" w14:textId="77777777" w:rsidR="00B57EA9" w:rsidRPr="003E7289" w:rsidRDefault="00B57EA9" w:rsidP="00B57EA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2028</w:t>
            </w:r>
          </w:p>
        </w:tc>
        <w:tc>
          <w:tcPr>
            <w:tcW w:w="1559" w:type="dxa"/>
            <w:vMerge/>
            <w:vAlign w:val="center"/>
          </w:tcPr>
          <w:p w14:paraId="3B158DE4" w14:textId="77777777" w:rsidR="00B57EA9" w:rsidRPr="003E7289" w:rsidRDefault="00B57EA9" w:rsidP="00B57EA9">
            <w:pPr>
              <w:spacing w:before="0" w:line="240" w:lineRule="auto"/>
              <w:jc w:val="center"/>
              <w:rPr>
                <w:rFonts w:ascii="Arial" w:hAnsi="Arial" w:cs="Arial"/>
                <w:b/>
                <w:bCs/>
                <w:sz w:val="20"/>
                <w:szCs w:val="20"/>
                <w:lang w:val="sq-AL"/>
              </w:rPr>
            </w:pPr>
          </w:p>
        </w:tc>
        <w:tc>
          <w:tcPr>
            <w:tcW w:w="1415" w:type="dxa"/>
            <w:vMerge/>
            <w:vAlign w:val="center"/>
          </w:tcPr>
          <w:p w14:paraId="44F13DF8" w14:textId="77777777" w:rsidR="00B57EA9" w:rsidRPr="003E7289" w:rsidRDefault="00B57EA9" w:rsidP="00B57EA9">
            <w:pPr>
              <w:spacing w:before="0" w:line="240" w:lineRule="auto"/>
              <w:jc w:val="center"/>
              <w:rPr>
                <w:rFonts w:ascii="Arial" w:hAnsi="Arial" w:cs="Arial"/>
                <w:b/>
                <w:bCs/>
                <w:sz w:val="20"/>
                <w:szCs w:val="20"/>
                <w:lang w:val="sq-AL"/>
              </w:rPr>
            </w:pPr>
          </w:p>
        </w:tc>
        <w:tc>
          <w:tcPr>
            <w:tcW w:w="1418" w:type="dxa"/>
            <w:vMerge/>
            <w:vAlign w:val="center"/>
          </w:tcPr>
          <w:p w14:paraId="75E31A46" w14:textId="77777777" w:rsidR="00B57EA9" w:rsidRPr="003E7289" w:rsidRDefault="00B57EA9" w:rsidP="00B57EA9">
            <w:pPr>
              <w:spacing w:before="0" w:line="240" w:lineRule="auto"/>
              <w:jc w:val="center"/>
              <w:rPr>
                <w:rFonts w:ascii="Arial" w:hAnsi="Arial" w:cs="Arial"/>
                <w:b/>
                <w:bCs/>
                <w:sz w:val="20"/>
                <w:szCs w:val="20"/>
                <w:lang w:val="sq-AL"/>
              </w:rPr>
            </w:pPr>
          </w:p>
        </w:tc>
        <w:tc>
          <w:tcPr>
            <w:tcW w:w="3400" w:type="dxa"/>
            <w:gridSpan w:val="3"/>
            <w:vMerge/>
            <w:vAlign w:val="center"/>
          </w:tcPr>
          <w:p w14:paraId="2473DEB3" w14:textId="77777777" w:rsidR="00B57EA9" w:rsidRPr="003E7289" w:rsidRDefault="00B57EA9" w:rsidP="00B57EA9">
            <w:pPr>
              <w:spacing w:before="0" w:line="240" w:lineRule="auto"/>
              <w:jc w:val="center"/>
              <w:rPr>
                <w:rFonts w:ascii="Arial" w:hAnsi="Arial" w:cs="Arial"/>
                <w:b/>
                <w:bCs/>
                <w:sz w:val="20"/>
                <w:szCs w:val="20"/>
                <w:lang w:val="sq-AL"/>
              </w:rPr>
            </w:pPr>
          </w:p>
        </w:tc>
      </w:tr>
      <w:tr w:rsidR="00D06CB0" w:rsidRPr="003E7289" w14:paraId="534056FF" w14:textId="77777777" w:rsidTr="004807C9">
        <w:trPr>
          <w:trHeight w:val="391"/>
        </w:trPr>
        <w:tc>
          <w:tcPr>
            <w:tcW w:w="993" w:type="dxa"/>
            <w:vAlign w:val="center"/>
          </w:tcPr>
          <w:p w14:paraId="267DB1A7" w14:textId="1F7C3955" w:rsidR="00D06CB0" w:rsidRPr="003E7289" w:rsidRDefault="00D06CB0" w:rsidP="00B57EA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II.1</w:t>
            </w:r>
            <w:r w:rsidR="00E0225B" w:rsidRPr="003E7289">
              <w:rPr>
                <w:rFonts w:ascii="Arial" w:hAnsi="Arial" w:cs="Arial"/>
                <w:b/>
                <w:bCs/>
                <w:sz w:val="20"/>
                <w:szCs w:val="20"/>
                <w:lang w:val="sq-AL"/>
              </w:rPr>
              <w:t>5</w:t>
            </w:r>
            <w:r w:rsidRPr="003E7289">
              <w:rPr>
                <w:rFonts w:ascii="Arial" w:hAnsi="Arial" w:cs="Arial"/>
                <w:b/>
                <w:bCs/>
                <w:sz w:val="20"/>
                <w:szCs w:val="20"/>
                <w:lang w:val="sq-AL"/>
              </w:rPr>
              <w:t>.1</w:t>
            </w:r>
          </w:p>
        </w:tc>
        <w:tc>
          <w:tcPr>
            <w:tcW w:w="1977" w:type="dxa"/>
            <w:vAlign w:val="center"/>
          </w:tcPr>
          <w:p w14:paraId="3F1515D4" w14:textId="43845B40" w:rsidR="00D06CB0" w:rsidRPr="003E7289" w:rsidRDefault="00A4252B" w:rsidP="00A4252B">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Përshpejtimi i zhvillimit të projekteve solare fotovoltaike në shkallë të gjerë në zona me insolacion të lartë</w:t>
            </w:r>
          </w:p>
        </w:tc>
        <w:tc>
          <w:tcPr>
            <w:tcW w:w="1706" w:type="dxa"/>
            <w:gridSpan w:val="2"/>
            <w:vAlign w:val="center"/>
          </w:tcPr>
          <w:p w14:paraId="26F34EC4" w14:textId="77777777" w:rsidR="00D06CB0" w:rsidRPr="003E7289" w:rsidRDefault="00D06CB0"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2030</w:t>
            </w:r>
          </w:p>
        </w:tc>
        <w:tc>
          <w:tcPr>
            <w:tcW w:w="902" w:type="dxa"/>
            <w:vAlign w:val="center"/>
          </w:tcPr>
          <w:p w14:paraId="5F218C7E" w14:textId="62C600EB" w:rsidR="00D06CB0" w:rsidRPr="003E7289" w:rsidRDefault="00D06CB0"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ab/>
              <w:t>€</w:t>
            </w:r>
          </w:p>
        </w:tc>
        <w:tc>
          <w:tcPr>
            <w:tcW w:w="941" w:type="dxa"/>
            <w:gridSpan w:val="2"/>
            <w:vAlign w:val="center"/>
          </w:tcPr>
          <w:p w14:paraId="2517AF11" w14:textId="77777777" w:rsidR="00D06CB0" w:rsidRPr="003E7289" w:rsidRDefault="00D06CB0" w:rsidP="00B57EA9">
            <w:pPr>
              <w:spacing w:before="0" w:line="240" w:lineRule="auto"/>
              <w:jc w:val="center"/>
              <w:rPr>
                <w:rFonts w:ascii="Arial" w:hAnsi="Arial" w:cs="Arial"/>
                <w:sz w:val="20"/>
                <w:szCs w:val="20"/>
                <w:lang w:val="sq-AL"/>
              </w:rPr>
            </w:pPr>
          </w:p>
        </w:tc>
        <w:tc>
          <w:tcPr>
            <w:tcW w:w="857" w:type="dxa"/>
            <w:vAlign w:val="center"/>
          </w:tcPr>
          <w:p w14:paraId="18A3EB3B" w14:textId="77777777" w:rsidR="00D06CB0" w:rsidRPr="003E7289" w:rsidRDefault="00D06CB0" w:rsidP="00B57EA9">
            <w:pPr>
              <w:spacing w:before="0" w:line="240" w:lineRule="auto"/>
              <w:jc w:val="center"/>
              <w:rPr>
                <w:rFonts w:ascii="Arial" w:hAnsi="Arial" w:cs="Arial"/>
                <w:sz w:val="20"/>
                <w:szCs w:val="20"/>
                <w:lang w:val="sq-AL"/>
              </w:rPr>
            </w:pPr>
          </w:p>
        </w:tc>
        <w:tc>
          <w:tcPr>
            <w:tcW w:w="1559" w:type="dxa"/>
            <w:vMerge w:val="restart"/>
            <w:vAlign w:val="center"/>
          </w:tcPr>
          <w:p w14:paraId="6383F7EB" w14:textId="4A46DDB4" w:rsidR="00D06CB0" w:rsidRPr="003E7289" w:rsidRDefault="00A4252B" w:rsidP="00A4252B">
            <w:pPr>
              <w:spacing w:before="0" w:line="240" w:lineRule="auto"/>
              <w:jc w:val="center"/>
              <w:rPr>
                <w:rFonts w:ascii="Arial" w:hAnsi="Arial" w:cs="Arial"/>
                <w:b/>
                <w:bCs/>
                <w:color w:val="EE0000"/>
                <w:sz w:val="20"/>
                <w:szCs w:val="20"/>
                <w:lang w:val="sq-AL"/>
              </w:rPr>
            </w:pPr>
            <w:r w:rsidRPr="003E7289">
              <w:rPr>
                <w:rFonts w:ascii="Arial" w:hAnsi="Arial" w:cs="Arial"/>
                <w:b/>
                <w:bCs/>
                <w:color w:val="000000" w:themeColor="text1"/>
                <w:sz w:val="20"/>
                <w:szCs w:val="20"/>
                <w:lang w:val="sq-AL"/>
              </w:rPr>
              <w:t>Solar4Kosovo2</w:t>
            </w:r>
            <w:r w:rsidRPr="003E7289">
              <w:rPr>
                <w:rFonts w:ascii="Arial" w:hAnsi="Arial" w:cs="Arial"/>
                <w:color w:val="000000" w:themeColor="text1"/>
                <w:sz w:val="20"/>
                <w:szCs w:val="20"/>
                <w:lang w:val="sq-AL"/>
              </w:rPr>
              <w:t xml:space="preserve">: </w:t>
            </w:r>
            <w:r w:rsidRPr="003E7289">
              <w:rPr>
                <w:rFonts w:ascii="Arial" w:hAnsi="Arial" w:cs="Arial"/>
                <w:color w:val="000000" w:themeColor="text1"/>
                <w:sz w:val="20"/>
                <w:szCs w:val="20"/>
                <w:lang w:val="sq-AL"/>
              </w:rPr>
              <w:br/>
              <w:t>• Qeveria Gjermane (nëpërmjet KfW): €53.1 milion në total</w:t>
            </w:r>
            <w:r w:rsidRPr="003E7289">
              <w:rPr>
                <w:rFonts w:ascii="Arial" w:hAnsi="Arial" w:cs="Arial"/>
                <w:color w:val="000000" w:themeColor="text1"/>
                <w:sz w:val="20"/>
                <w:szCs w:val="20"/>
                <w:lang w:val="sq-AL"/>
              </w:rPr>
              <w:br/>
              <w:t>- €21.5 milion grant</w:t>
            </w:r>
            <w:r w:rsidRPr="003E7289">
              <w:rPr>
                <w:rFonts w:ascii="Arial" w:hAnsi="Arial" w:cs="Arial"/>
                <w:color w:val="000000" w:themeColor="text1"/>
                <w:sz w:val="20"/>
                <w:szCs w:val="20"/>
                <w:lang w:val="sq-AL"/>
              </w:rPr>
              <w:br/>
              <w:t>- €31.6 milion kredi</w:t>
            </w:r>
            <w:r w:rsidRPr="003E7289">
              <w:rPr>
                <w:rFonts w:ascii="Arial" w:hAnsi="Arial" w:cs="Arial"/>
                <w:color w:val="000000" w:themeColor="text1"/>
                <w:sz w:val="20"/>
                <w:szCs w:val="20"/>
                <w:lang w:val="sq-AL"/>
              </w:rPr>
              <w:br/>
              <w:t>• WBIF: €23.2 milion kredi</w:t>
            </w:r>
            <w:r w:rsidRPr="003E7289">
              <w:rPr>
                <w:rFonts w:ascii="Arial" w:hAnsi="Arial" w:cs="Arial"/>
                <w:color w:val="000000" w:themeColor="text1"/>
                <w:sz w:val="20"/>
                <w:szCs w:val="20"/>
                <w:lang w:val="sq-AL"/>
              </w:rPr>
              <w:br/>
              <w:t>• Termokos: €4.4 milion kontribut vetanak</w:t>
            </w:r>
          </w:p>
        </w:tc>
        <w:tc>
          <w:tcPr>
            <w:tcW w:w="1415" w:type="dxa"/>
            <w:vMerge w:val="restart"/>
            <w:vAlign w:val="center"/>
          </w:tcPr>
          <w:p w14:paraId="58CAE922" w14:textId="22753CDE" w:rsidR="00D06CB0" w:rsidRPr="003E7289" w:rsidRDefault="009A2EAE" w:rsidP="00F36447">
            <w:pPr>
              <w:pStyle w:val="ListParagraph"/>
              <w:numPr>
                <w:ilvl w:val="0"/>
                <w:numId w:val="27"/>
              </w:numPr>
              <w:spacing w:before="0" w:line="240" w:lineRule="auto"/>
              <w:ind w:left="139" w:hanging="180"/>
              <w:rPr>
                <w:rFonts w:ascii="Arial" w:hAnsi="Arial" w:cs="Arial"/>
                <w:b/>
                <w:bCs/>
                <w:color w:val="EE0000"/>
                <w:sz w:val="20"/>
                <w:szCs w:val="20"/>
                <w:lang w:val="sq-AL"/>
              </w:rPr>
            </w:pPr>
            <w:r w:rsidRPr="003E7289">
              <w:rPr>
                <w:rFonts w:ascii="Arial" w:hAnsi="Arial" w:cs="Arial"/>
                <w:color w:val="000000" w:themeColor="text1"/>
                <w:sz w:val="20"/>
                <w:szCs w:val="20"/>
                <w:lang w:val="sq-AL"/>
              </w:rPr>
              <w:t>Qeveria e Kosovës, Ministria e Ekonomisë, Ministria e Financave, FKEE, KEK, ERO, KOSTT, KEDS, DH Termokos</w:t>
            </w:r>
          </w:p>
        </w:tc>
        <w:tc>
          <w:tcPr>
            <w:tcW w:w="1418" w:type="dxa"/>
            <w:vAlign w:val="center"/>
          </w:tcPr>
          <w:p w14:paraId="7B5E935E" w14:textId="1F1FBFE8" w:rsidR="00D06CB0" w:rsidRPr="003E7289" w:rsidRDefault="009A2EAE" w:rsidP="009A2EAE">
            <w:pPr>
              <w:spacing w:before="0" w:line="240" w:lineRule="auto"/>
              <w:jc w:val="center"/>
              <w:rPr>
                <w:rFonts w:ascii="Arial" w:hAnsi="Arial" w:cs="Arial"/>
                <w:sz w:val="20"/>
                <w:szCs w:val="20"/>
                <w:lang w:val="sq-AL"/>
              </w:rPr>
            </w:pPr>
            <w:r w:rsidRPr="003E7289">
              <w:rPr>
                <w:rFonts w:ascii="Arial" w:hAnsi="Arial" w:cs="Arial"/>
                <w:sz w:val="20"/>
                <w:szCs w:val="20"/>
                <w:lang w:val="sq-AL"/>
              </w:rPr>
              <w:t>Të paktën 600 MW kapacitet solar fotovoltaik në shkallë të gjerë të instaluar dhe të integruar në rrjet deri në vitin 2030</w:t>
            </w:r>
          </w:p>
        </w:tc>
        <w:tc>
          <w:tcPr>
            <w:tcW w:w="3400" w:type="dxa"/>
            <w:gridSpan w:val="3"/>
            <w:vAlign w:val="center"/>
          </w:tcPr>
          <w:p w14:paraId="76486B11" w14:textId="7BB03B9B" w:rsidR="00D06CB0" w:rsidRPr="003E7289" w:rsidRDefault="00BE39C7"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Strategjia</w:t>
            </w:r>
            <w:r w:rsidR="00A4252B" w:rsidRPr="003E7289">
              <w:rPr>
                <w:rFonts w:ascii="Arial" w:hAnsi="Arial" w:cs="Arial"/>
                <w:sz w:val="20"/>
                <w:szCs w:val="20"/>
                <w:lang w:val="sq-AL"/>
              </w:rPr>
              <w:t xml:space="preserve"> e Energjisë 2022–2031 + NECP</w:t>
            </w:r>
          </w:p>
        </w:tc>
      </w:tr>
      <w:tr w:rsidR="00D06CB0" w:rsidRPr="003E7289" w14:paraId="24FB951E" w14:textId="77777777" w:rsidTr="004807C9">
        <w:tc>
          <w:tcPr>
            <w:tcW w:w="993" w:type="dxa"/>
            <w:vAlign w:val="center"/>
          </w:tcPr>
          <w:p w14:paraId="66565D29" w14:textId="32EB9F52" w:rsidR="00D06CB0" w:rsidRPr="003E7289" w:rsidRDefault="00D06CB0" w:rsidP="00B57EA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II.1</w:t>
            </w:r>
            <w:r w:rsidR="00E0225B" w:rsidRPr="003E7289">
              <w:rPr>
                <w:rFonts w:ascii="Arial" w:hAnsi="Arial" w:cs="Arial"/>
                <w:b/>
                <w:bCs/>
                <w:sz w:val="20"/>
                <w:szCs w:val="20"/>
                <w:lang w:val="sq-AL"/>
              </w:rPr>
              <w:t>5</w:t>
            </w:r>
            <w:r w:rsidRPr="003E7289">
              <w:rPr>
                <w:rFonts w:ascii="Arial" w:hAnsi="Arial" w:cs="Arial"/>
                <w:b/>
                <w:bCs/>
                <w:sz w:val="20"/>
                <w:szCs w:val="20"/>
                <w:lang w:val="sq-AL"/>
              </w:rPr>
              <w:t>.2</w:t>
            </w:r>
          </w:p>
        </w:tc>
        <w:tc>
          <w:tcPr>
            <w:tcW w:w="1977" w:type="dxa"/>
            <w:vAlign w:val="center"/>
          </w:tcPr>
          <w:p w14:paraId="1A40D6A6" w14:textId="1153F96A" w:rsidR="00D06CB0" w:rsidRPr="003E7289" w:rsidRDefault="009A2EAE" w:rsidP="009A2EA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Zgjerimi i sistemeve fotovoltaike në kulme përmes programeve të dedikuara për prosumatorë</w:t>
            </w:r>
          </w:p>
        </w:tc>
        <w:tc>
          <w:tcPr>
            <w:tcW w:w="1706" w:type="dxa"/>
            <w:gridSpan w:val="2"/>
            <w:vAlign w:val="center"/>
          </w:tcPr>
          <w:p w14:paraId="44774F3C" w14:textId="77777777" w:rsidR="00D06CB0" w:rsidRPr="003E7289" w:rsidRDefault="00D06CB0"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2035</w:t>
            </w:r>
          </w:p>
        </w:tc>
        <w:tc>
          <w:tcPr>
            <w:tcW w:w="902" w:type="dxa"/>
            <w:vAlign w:val="center"/>
          </w:tcPr>
          <w:p w14:paraId="30277BBA" w14:textId="77777777" w:rsidR="00D06CB0" w:rsidRPr="003E7289" w:rsidRDefault="00D06CB0" w:rsidP="00B57EA9">
            <w:pPr>
              <w:spacing w:before="0" w:line="240" w:lineRule="auto"/>
              <w:jc w:val="center"/>
              <w:rPr>
                <w:rFonts w:ascii="Arial" w:hAnsi="Arial" w:cs="Arial"/>
                <w:sz w:val="20"/>
                <w:szCs w:val="20"/>
                <w:lang w:val="sq-AL"/>
              </w:rPr>
            </w:pPr>
          </w:p>
        </w:tc>
        <w:tc>
          <w:tcPr>
            <w:tcW w:w="941" w:type="dxa"/>
            <w:gridSpan w:val="2"/>
            <w:vAlign w:val="center"/>
          </w:tcPr>
          <w:p w14:paraId="75C25A9F" w14:textId="5CABF214" w:rsidR="00D06CB0" w:rsidRPr="003E7289" w:rsidRDefault="00D06CB0"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w:t>
            </w:r>
          </w:p>
        </w:tc>
        <w:tc>
          <w:tcPr>
            <w:tcW w:w="857" w:type="dxa"/>
            <w:vAlign w:val="center"/>
          </w:tcPr>
          <w:p w14:paraId="3C1B6D9D" w14:textId="77777777" w:rsidR="00D06CB0" w:rsidRPr="003E7289" w:rsidRDefault="00D06CB0" w:rsidP="00B57EA9">
            <w:pPr>
              <w:spacing w:before="0" w:line="240" w:lineRule="auto"/>
              <w:jc w:val="center"/>
              <w:rPr>
                <w:rFonts w:ascii="Arial" w:hAnsi="Arial" w:cs="Arial"/>
                <w:sz w:val="20"/>
                <w:szCs w:val="20"/>
                <w:lang w:val="sq-AL"/>
              </w:rPr>
            </w:pPr>
          </w:p>
        </w:tc>
        <w:tc>
          <w:tcPr>
            <w:tcW w:w="1559" w:type="dxa"/>
            <w:vMerge/>
            <w:vAlign w:val="center"/>
          </w:tcPr>
          <w:p w14:paraId="0348F096" w14:textId="77777777" w:rsidR="00D06CB0" w:rsidRPr="003E7289" w:rsidRDefault="00D06CB0" w:rsidP="00B57EA9">
            <w:pPr>
              <w:spacing w:before="0" w:line="240" w:lineRule="auto"/>
              <w:jc w:val="center"/>
              <w:rPr>
                <w:rFonts w:ascii="Arial" w:hAnsi="Arial" w:cs="Arial"/>
                <w:b/>
                <w:bCs/>
                <w:color w:val="EE0000"/>
                <w:sz w:val="20"/>
                <w:szCs w:val="20"/>
                <w:lang w:val="sq-AL"/>
              </w:rPr>
            </w:pPr>
          </w:p>
        </w:tc>
        <w:tc>
          <w:tcPr>
            <w:tcW w:w="1415" w:type="dxa"/>
            <w:vMerge/>
            <w:vAlign w:val="center"/>
          </w:tcPr>
          <w:p w14:paraId="20426816" w14:textId="77777777" w:rsidR="00D06CB0" w:rsidRPr="003E7289" w:rsidRDefault="00D06CB0" w:rsidP="00B57EA9">
            <w:pPr>
              <w:spacing w:before="0" w:line="240" w:lineRule="auto"/>
              <w:jc w:val="center"/>
              <w:rPr>
                <w:rFonts w:ascii="Arial" w:hAnsi="Arial" w:cs="Arial"/>
                <w:b/>
                <w:bCs/>
                <w:color w:val="EE0000"/>
                <w:sz w:val="20"/>
                <w:szCs w:val="20"/>
                <w:lang w:val="sq-AL"/>
              </w:rPr>
            </w:pPr>
          </w:p>
        </w:tc>
        <w:tc>
          <w:tcPr>
            <w:tcW w:w="1418" w:type="dxa"/>
            <w:vAlign w:val="center"/>
          </w:tcPr>
          <w:p w14:paraId="2E9FD34F" w14:textId="52E20BB9" w:rsidR="00D06CB0" w:rsidRPr="003E7289" w:rsidRDefault="009A2EAE" w:rsidP="009A2EAE">
            <w:pPr>
              <w:spacing w:before="0" w:line="240" w:lineRule="auto"/>
              <w:jc w:val="center"/>
              <w:rPr>
                <w:rFonts w:ascii="Arial" w:hAnsi="Arial" w:cs="Arial"/>
                <w:sz w:val="20"/>
                <w:szCs w:val="20"/>
                <w:lang w:val="sq-AL"/>
              </w:rPr>
            </w:pPr>
            <w:r w:rsidRPr="003E7289">
              <w:rPr>
                <w:rFonts w:ascii="Arial" w:hAnsi="Arial" w:cs="Arial"/>
                <w:sz w:val="20"/>
                <w:szCs w:val="20"/>
                <w:lang w:val="sq-AL"/>
              </w:rPr>
              <w:t>Më shumë se 100 MW kapacitet i shpërndarë i PV në kulme i instaluar në të gjithë vendin përmes programeve për prosumatorë</w:t>
            </w:r>
          </w:p>
        </w:tc>
        <w:tc>
          <w:tcPr>
            <w:tcW w:w="3400" w:type="dxa"/>
            <w:gridSpan w:val="3"/>
            <w:vAlign w:val="center"/>
          </w:tcPr>
          <w:p w14:paraId="447A5AD6" w14:textId="144BE9EE" w:rsidR="00D06CB0" w:rsidRPr="003E7289" w:rsidRDefault="00BE39C7"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Strategjia</w:t>
            </w:r>
            <w:r w:rsidR="00A4252B" w:rsidRPr="003E7289">
              <w:rPr>
                <w:rFonts w:ascii="Arial" w:hAnsi="Arial" w:cs="Arial"/>
                <w:sz w:val="20"/>
                <w:szCs w:val="20"/>
                <w:lang w:val="sq-AL"/>
              </w:rPr>
              <w:t xml:space="preserve"> e Energjisë 2022–2031 + NECP</w:t>
            </w:r>
          </w:p>
        </w:tc>
      </w:tr>
      <w:tr w:rsidR="00D06CB0" w:rsidRPr="003E7289" w14:paraId="078DE0F6" w14:textId="77777777" w:rsidTr="004807C9">
        <w:tc>
          <w:tcPr>
            <w:tcW w:w="993" w:type="dxa"/>
            <w:vAlign w:val="center"/>
          </w:tcPr>
          <w:p w14:paraId="62945D6A" w14:textId="3F59FA78" w:rsidR="00D06CB0" w:rsidRPr="003E7289" w:rsidRDefault="00D06CB0" w:rsidP="00B57EA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II.1</w:t>
            </w:r>
            <w:r w:rsidR="00E0225B" w:rsidRPr="003E7289">
              <w:rPr>
                <w:rFonts w:ascii="Arial" w:hAnsi="Arial" w:cs="Arial"/>
                <w:b/>
                <w:bCs/>
                <w:sz w:val="20"/>
                <w:szCs w:val="20"/>
                <w:lang w:val="sq-AL"/>
              </w:rPr>
              <w:t>5</w:t>
            </w:r>
            <w:r w:rsidRPr="003E7289">
              <w:rPr>
                <w:rFonts w:ascii="Arial" w:hAnsi="Arial" w:cs="Arial"/>
                <w:b/>
                <w:bCs/>
                <w:sz w:val="20"/>
                <w:szCs w:val="20"/>
                <w:lang w:val="sq-AL"/>
              </w:rPr>
              <w:t>.3</w:t>
            </w:r>
          </w:p>
        </w:tc>
        <w:tc>
          <w:tcPr>
            <w:tcW w:w="1977" w:type="dxa"/>
            <w:vAlign w:val="center"/>
          </w:tcPr>
          <w:p w14:paraId="70D08A37" w14:textId="2286F1F6" w:rsidR="00D06CB0" w:rsidRPr="003E7289" w:rsidRDefault="009A2EAE" w:rsidP="009A2EA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Mundësimi i integrimit të plotë të PV për të arritur kapacitet të instaluar prej 1,200 MW</w:t>
            </w:r>
          </w:p>
        </w:tc>
        <w:tc>
          <w:tcPr>
            <w:tcW w:w="1706" w:type="dxa"/>
            <w:gridSpan w:val="2"/>
            <w:vAlign w:val="center"/>
          </w:tcPr>
          <w:p w14:paraId="0B53509A" w14:textId="77777777" w:rsidR="00D06CB0" w:rsidRPr="003E7289" w:rsidRDefault="00D06CB0"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2040</w:t>
            </w:r>
          </w:p>
        </w:tc>
        <w:tc>
          <w:tcPr>
            <w:tcW w:w="902" w:type="dxa"/>
            <w:vAlign w:val="center"/>
          </w:tcPr>
          <w:p w14:paraId="1647D7B9" w14:textId="77777777" w:rsidR="00D06CB0" w:rsidRPr="003E7289" w:rsidRDefault="00D06CB0" w:rsidP="00B57EA9">
            <w:pPr>
              <w:spacing w:before="0" w:line="240" w:lineRule="auto"/>
              <w:jc w:val="center"/>
              <w:rPr>
                <w:rFonts w:ascii="Arial" w:hAnsi="Arial" w:cs="Arial"/>
                <w:sz w:val="20"/>
                <w:szCs w:val="20"/>
                <w:lang w:val="sq-AL"/>
              </w:rPr>
            </w:pPr>
          </w:p>
        </w:tc>
        <w:tc>
          <w:tcPr>
            <w:tcW w:w="941" w:type="dxa"/>
            <w:gridSpan w:val="2"/>
            <w:vAlign w:val="center"/>
          </w:tcPr>
          <w:p w14:paraId="5D2B9B63" w14:textId="77777777" w:rsidR="00D06CB0" w:rsidRPr="003E7289" w:rsidRDefault="00D06CB0" w:rsidP="00B57EA9">
            <w:pPr>
              <w:spacing w:before="0" w:line="240" w:lineRule="auto"/>
              <w:jc w:val="center"/>
              <w:rPr>
                <w:rFonts w:ascii="Arial" w:hAnsi="Arial" w:cs="Arial"/>
                <w:sz w:val="20"/>
                <w:szCs w:val="20"/>
                <w:lang w:val="sq-AL"/>
              </w:rPr>
            </w:pPr>
          </w:p>
        </w:tc>
        <w:tc>
          <w:tcPr>
            <w:tcW w:w="857" w:type="dxa"/>
            <w:vAlign w:val="center"/>
          </w:tcPr>
          <w:p w14:paraId="6CF5143B" w14:textId="0C2F7A6F" w:rsidR="00D06CB0" w:rsidRPr="003E7289" w:rsidRDefault="00D06CB0"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w:t>
            </w:r>
          </w:p>
        </w:tc>
        <w:tc>
          <w:tcPr>
            <w:tcW w:w="1559" w:type="dxa"/>
            <w:vMerge/>
            <w:vAlign w:val="center"/>
          </w:tcPr>
          <w:p w14:paraId="11161186" w14:textId="77777777" w:rsidR="00D06CB0" w:rsidRPr="003E7289" w:rsidRDefault="00D06CB0" w:rsidP="00B57EA9">
            <w:pPr>
              <w:spacing w:before="0" w:line="240" w:lineRule="auto"/>
              <w:jc w:val="center"/>
              <w:rPr>
                <w:rFonts w:ascii="Arial" w:hAnsi="Arial" w:cs="Arial"/>
                <w:b/>
                <w:bCs/>
                <w:color w:val="EE0000"/>
                <w:sz w:val="20"/>
                <w:szCs w:val="20"/>
                <w:lang w:val="sq-AL"/>
              </w:rPr>
            </w:pPr>
          </w:p>
        </w:tc>
        <w:tc>
          <w:tcPr>
            <w:tcW w:w="1415" w:type="dxa"/>
            <w:vMerge/>
            <w:vAlign w:val="center"/>
          </w:tcPr>
          <w:p w14:paraId="16AAFF59" w14:textId="77777777" w:rsidR="00D06CB0" w:rsidRPr="003E7289" w:rsidRDefault="00D06CB0" w:rsidP="00B57EA9">
            <w:pPr>
              <w:spacing w:before="0" w:line="240" w:lineRule="auto"/>
              <w:jc w:val="center"/>
              <w:rPr>
                <w:rFonts w:ascii="Arial" w:hAnsi="Arial" w:cs="Arial"/>
                <w:b/>
                <w:bCs/>
                <w:color w:val="EE0000"/>
                <w:sz w:val="20"/>
                <w:szCs w:val="20"/>
                <w:lang w:val="sq-AL"/>
              </w:rPr>
            </w:pPr>
          </w:p>
        </w:tc>
        <w:tc>
          <w:tcPr>
            <w:tcW w:w="1418" w:type="dxa"/>
            <w:vAlign w:val="center"/>
          </w:tcPr>
          <w:p w14:paraId="3912BF9E" w14:textId="6DE4B1F7" w:rsidR="00D06CB0" w:rsidRPr="003E7289" w:rsidRDefault="009A2EAE" w:rsidP="009A2EAE">
            <w:pPr>
              <w:spacing w:before="0" w:line="240" w:lineRule="auto"/>
              <w:jc w:val="center"/>
              <w:rPr>
                <w:rFonts w:ascii="Arial" w:hAnsi="Arial" w:cs="Arial"/>
                <w:sz w:val="20"/>
                <w:szCs w:val="20"/>
                <w:lang w:val="sq-AL"/>
              </w:rPr>
            </w:pPr>
            <w:r w:rsidRPr="003E7289">
              <w:rPr>
                <w:rFonts w:ascii="Arial" w:hAnsi="Arial" w:cs="Arial"/>
                <w:sz w:val="20"/>
                <w:szCs w:val="20"/>
                <w:lang w:val="sq-AL"/>
              </w:rPr>
              <w:t xml:space="preserve">1,200 MW kapacitet i instaluar i PV të arritur, duke kombinuar projekte në shkallë të gjerë dhe sisteme në kulme, në funksion të një sistemi </w:t>
            </w:r>
            <w:r w:rsidRPr="003E7289">
              <w:rPr>
                <w:rFonts w:ascii="Arial" w:hAnsi="Arial" w:cs="Arial"/>
                <w:sz w:val="20"/>
                <w:szCs w:val="20"/>
                <w:lang w:val="sq-AL"/>
              </w:rPr>
              <w:lastRenderedPageBreak/>
              <w:t>energjetik klimatikisht të qëndrueshëm</w:t>
            </w:r>
          </w:p>
        </w:tc>
        <w:tc>
          <w:tcPr>
            <w:tcW w:w="3400" w:type="dxa"/>
            <w:gridSpan w:val="3"/>
            <w:vAlign w:val="center"/>
          </w:tcPr>
          <w:p w14:paraId="1F4DD26A" w14:textId="79EAB178" w:rsidR="00D06CB0" w:rsidRPr="003E7289" w:rsidRDefault="00BE39C7"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lastRenderedPageBreak/>
              <w:t>Strategjia</w:t>
            </w:r>
            <w:r w:rsidR="00A4252B" w:rsidRPr="003E7289">
              <w:rPr>
                <w:rFonts w:ascii="Arial" w:hAnsi="Arial" w:cs="Arial"/>
                <w:sz w:val="20"/>
                <w:szCs w:val="20"/>
                <w:lang w:val="sq-AL"/>
              </w:rPr>
              <w:t xml:space="preserve"> e Energjisë 2022–2031 + NECP</w:t>
            </w:r>
          </w:p>
        </w:tc>
      </w:tr>
      <w:tr w:rsidR="00C63DE6" w:rsidRPr="003E7289" w14:paraId="6A838E28" w14:textId="77777777" w:rsidTr="00D42597">
        <w:tc>
          <w:tcPr>
            <w:tcW w:w="2970" w:type="dxa"/>
            <w:gridSpan w:val="2"/>
            <w:shd w:val="clear" w:color="auto" w:fill="C6E7F6"/>
            <w:vAlign w:val="center"/>
          </w:tcPr>
          <w:p w14:paraId="68FBF689" w14:textId="3BA74DAB" w:rsidR="00C63DE6" w:rsidRPr="003E7289" w:rsidRDefault="00C63DE6" w:rsidP="00C63DE6">
            <w:pPr>
              <w:spacing w:before="0" w:line="240" w:lineRule="auto"/>
              <w:rPr>
                <w:rFonts w:ascii="Arial" w:hAnsi="Arial" w:cs="Arial"/>
                <w:b/>
                <w:bCs/>
                <w:sz w:val="20"/>
                <w:szCs w:val="20"/>
                <w:lang w:val="sq-AL"/>
              </w:rPr>
            </w:pPr>
            <w:r w:rsidRPr="003E7289">
              <w:rPr>
                <w:rFonts w:ascii="Arial" w:eastAsia="Aptos" w:hAnsi="Arial" w:cs="Arial"/>
                <w:b/>
                <w:bCs/>
                <w:sz w:val="20"/>
                <w:szCs w:val="20"/>
                <w:lang w:val="sq-AL"/>
              </w:rPr>
              <w:lastRenderedPageBreak/>
              <w:t>Buxheti total për Objektivin specifik II.1</w:t>
            </w:r>
            <w:r w:rsidR="00E0225B" w:rsidRPr="003E7289">
              <w:rPr>
                <w:rFonts w:ascii="Arial" w:eastAsia="Aptos" w:hAnsi="Arial" w:cs="Arial"/>
                <w:b/>
                <w:bCs/>
                <w:sz w:val="20"/>
                <w:szCs w:val="20"/>
                <w:lang w:val="sq-AL"/>
              </w:rPr>
              <w:t>5</w:t>
            </w:r>
            <w:r w:rsidRPr="003E7289">
              <w:rPr>
                <w:rFonts w:ascii="Arial" w:eastAsia="Aptos" w:hAnsi="Arial" w:cs="Arial"/>
                <w:b/>
                <w:bCs/>
                <w:sz w:val="20"/>
                <w:szCs w:val="20"/>
                <w:lang w:val="sq-AL"/>
              </w:rPr>
              <w:t>:</w:t>
            </w:r>
          </w:p>
        </w:tc>
        <w:tc>
          <w:tcPr>
            <w:tcW w:w="12198" w:type="dxa"/>
            <w:gridSpan w:val="12"/>
            <w:vAlign w:val="center"/>
          </w:tcPr>
          <w:p w14:paraId="252DD650" w14:textId="7362B9CC" w:rsidR="00C63DE6" w:rsidRPr="003E7289" w:rsidRDefault="00C63DE6" w:rsidP="00C63DE6">
            <w:pPr>
              <w:spacing w:before="0" w:line="240" w:lineRule="auto"/>
              <w:jc w:val="center"/>
              <w:rPr>
                <w:rFonts w:ascii="Arial" w:hAnsi="Arial" w:cs="Arial"/>
                <w:color w:val="EE0000"/>
                <w:sz w:val="20"/>
                <w:szCs w:val="20"/>
                <w:lang w:val="sq-AL"/>
              </w:rPr>
            </w:pPr>
            <w:r w:rsidRPr="003E7289">
              <w:rPr>
                <w:rFonts w:ascii="Arial" w:hAnsi="Arial" w:cs="Arial"/>
                <w:sz w:val="20"/>
                <w:szCs w:val="20"/>
                <w:lang w:val="sq-AL"/>
              </w:rPr>
              <w:t>80.700.000 €</w:t>
            </w:r>
          </w:p>
        </w:tc>
      </w:tr>
      <w:tr w:rsidR="00C63DE6" w:rsidRPr="003E7289" w14:paraId="1CA469DE" w14:textId="77777777" w:rsidTr="00D42597">
        <w:tc>
          <w:tcPr>
            <w:tcW w:w="2970" w:type="dxa"/>
            <w:gridSpan w:val="2"/>
            <w:shd w:val="clear" w:color="auto" w:fill="C6E7F6"/>
          </w:tcPr>
          <w:p w14:paraId="53F17F3A" w14:textId="0CD97348" w:rsidR="00C63DE6" w:rsidRPr="003E7289" w:rsidRDefault="00C63DE6" w:rsidP="00C63DE6">
            <w:pPr>
              <w:spacing w:before="0" w:line="240" w:lineRule="auto"/>
              <w:rPr>
                <w:rFonts w:ascii="Arial" w:hAnsi="Arial" w:cs="Arial"/>
                <w:b/>
                <w:bCs/>
                <w:sz w:val="20"/>
                <w:szCs w:val="20"/>
                <w:lang w:val="sq-AL"/>
              </w:rPr>
            </w:pPr>
            <w:r w:rsidRPr="003E7289">
              <w:rPr>
                <w:rFonts w:ascii="Arial" w:eastAsia="Aptos" w:hAnsi="Arial" w:cs="Arial"/>
                <w:b/>
                <w:bCs/>
                <w:sz w:val="20"/>
                <w:szCs w:val="20"/>
                <w:lang w:val="sq-AL"/>
              </w:rPr>
              <w:t>Nga kjo, kapital:</w:t>
            </w:r>
          </w:p>
        </w:tc>
        <w:tc>
          <w:tcPr>
            <w:tcW w:w="12198" w:type="dxa"/>
            <w:gridSpan w:val="12"/>
            <w:vAlign w:val="center"/>
          </w:tcPr>
          <w:p w14:paraId="72AAC715" w14:textId="77777777" w:rsidR="00C63DE6" w:rsidRPr="003E7289" w:rsidRDefault="00C63DE6" w:rsidP="00C63DE6">
            <w:pPr>
              <w:spacing w:before="0" w:line="240" w:lineRule="auto"/>
              <w:jc w:val="center"/>
              <w:rPr>
                <w:rFonts w:ascii="Arial" w:hAnsi="Arial" w:cs="Arial"/>
                <w:b/>
                <w:bCs/>
                <w:color w:val="EE0000"/>
                <w:sz w:val="20"/>
                <w:szCs w:val="20"/>
                <w:lang w:val="sq-AL"/>
              </w:rPr>
            </w:pPr>
          </w:p>
        </w:tc>
      </w:tr>
      <w:tr w:rsidR="00C63DE6" w:rsidRPr="003E7289" w14:paraId="02EC88B0" w14:textId="77777777" w:rsidTr="00D42597">
        <w:tc>
          <w:tcPr>
            <w:tcW w:w="2970" w:type="dxa"/>
            <w:gridSpan w:val="2"/>
            <w:shd w:val="clear" w:color="auto" w:fill="C6E7F6"/>
          </w:tcPr>
          <w:p w14:paraId="6A7E193A" w14:textId="5F75CEA6" w:rsidR="00C63DE6" w:rsidRPr="003E7289" w:rsidRDefault="00C63DE6" w:rsidP="00C63DE6">
            <w:pPr>
              <w:spacing w:before="0" w:line="240" w:lineRule="auto"/>
              <w:rPr>
                <w:rFonts w:ascii="Arial" w:hAnsi="Arial" w:cs="Arial"/>
                <w:b/>
                <w:bCs/>
                <w:sz w:val="20"/>
                <w:szCs w:val="20"/>
                <w:lang w:val="sq-AL"/>
              </w:rPr>
            </w:pPr>
            <w:r w:rsidRPr="003E7289">
              <w:rPr>
                <w:rFonts w:ascii="Arial" w:eastAsia="Aptos" w:hAnsi="Arial" w:cs="Arial"/>
                <w:b/>
                <w:bCs/>
                <w:sz w:val="20"/>
                <w:szCs w:val="20"/>
                <w:lang w:val="sq-AL"/>
              </w:rPr>
              <w:t>Nga kjo, shpenzime korrente:</w:t>
            </w:r>
          </w:p>
        </w:tc>
        <w:tc>
          <w:tcPr>
            <w:tcW w:w="12198" w:type="dxa"/>
            <w:gridSpan w:val="12"/>
            <w:vAlign w:val="center"/>
          </w:tcPr>
          <w:p w14:paraId="029AAD07" w14:textId="77777777" w:rsidR="00C63DE6" w:rsidRPr="003E7289" w:rsidRDefault="00C63DE6" w:rsidP="00C63DE6">
            <w:pPr>
              <w:spacing w:before="0" w:line="240" w:lineRule="auto"/>
              <w:jc w:val="center"/>
              <w:rPr>
                <w:rFonts w:ascii="Arial" w:hAnsi="Arial" w:cs="Arial"/>
                <w:b/>
                <w:bCs/>
                <w:color w:val="EE0000"/>
                <w:sz w:val="20"/>
                <w:szCs w:val="20"/>
                <w:lang w:val="sq-AL"/>
              </w:rPr>
            </w:pPr>
          </w:p>
        </w:tc>
      </w:tr>
      <w:bookmarkEnd w:id="129"/>
      <w:tr w:rsidR="00B57EA9" w:rsidRPr="003E7289" w14:paraId="4BED1EC9" w14:textId="77777777" w:rsidTr="00A70686">
        <w:trPr>
          <w:trHeight w:val="414"/>
        </w:trPr>
        <w:tc>
          <w:tcPr>
            <w:tcW w:w="993" w:type="dxa"/>
            <w:shd w:val="clear" w:color="auto" w:fill="84CCEC"/>
            <w:vAlign w:val="center"/>
          </w:tcPr>
          <w:p w14:paraId="474482AF" w14:textId="66899D7C" w:rsidR="00B57EA9" w:rsidRPr="003E7289" w:rsidRDefault="00B57EA9" w:rsidP="00B57EA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II.1</w:t>
            </w:r>
            <w:r w:rsidR="00E0225B" w:rsidRPr="003E7289">
              <w:rPr>
                <w:rFonts w:ascii="Arial" w:hAnsi="Arial" w:cs="Arial"/>
                <w:b/>
                <w:bCs/>
                <w:sz w:val="20"/>
                <w:szCs w:val="20"/>
                <w:lang w:val="sq-AL"/>
              </w:rPr>
              <w:t>6</w:t>
            </w:r>
          </w:p>
        </w:tc>
        <w:tc>
          <w:tcPr>
            <w:tcW w:w="14175" w:type="dxa"/>
            <w:gridSpan w:val="13"/>
            <w:shd w:val="clear" w:color="auto" w:fill="84CCEC"/>
            <w:vAlign w:val="center"/>
          </w:tcPr>
          <w:p w14:paraId="2A564DA3" w14:textId="639D45EA" w:rsidR="00B57EA9" w:rsidRPr="003E7289" w:rsidRDefault="00A4252B" w:rsidP="00B57EA9">
            <w:pPr>
              <w:spacing w:before="0" w:line="240" w:lineRule="auto"/>
              <w:jc w:val="center"/>
              <w:rPr>
                <w:rFonts w:ascii="Arial" w:hAnsi="Arial" w:cs="Arial"/>
                <w:b/>
                <w:bCs/>
                <w:i/>
                <w:iCs/>
                <w:sz w:val="20"/>
                <w:szCs w:val="20"/>
                <w:lang w:val="sq-AL"/>
              </w:rPr>
            </w:pPr>
            <w:r w:rsidRPr="003E7289">
              <w:rPr>
                <w:rFonts w:ascii="Arial" w:hAnsi="Arial" w:cs="Arial"/>
                <w:b/>
                <w:bCs/>
                <w:sz w:val="20"/>
                <w:szCs w:val="20"/>
                <w:lang w:val="sq-AL"/>
              </w:rPr>
              <w:t>Rritja e pjesëmarrjes së burimeve të ripërtëritshme në prodhimin dhe konsumimin e energjisë elektrike, në përputhje me objektivat e BE-së</w:t>
            </w:r>
          </w:p>
        </w:tc>
      </w:tr>
      <w:tr w:rsidR="00B57EA9" w:rsidRPr="003E7289" w14:paraId="5152652F" w14:textId="77777777" w:rsidTr="00D42597">
        <w:tc>
          <w:tcPr>
            <w:tcW w:w="2970" w:type="dxa"/>
            <w:gridSpan w:val="2"/>
            <w:vAlign w:val="center"/>
          </w:tcPr>
          <w:p w14:paraId="62C2E42D" w14:textId="08BF5394" w:rsidR="00B57EA9" w:rsidRPr="003E7289" w:rsidRDefault="009A2EAE" w:rsidP="009A2EAE">
            <w:pPr>
              <w:spacing w:before="0" w:line="240" w:lineRule="auto"/>
              <w:jc w:val="center"/>
              <w:rPr>
                <w:rFonts w:ascii="Arial" w:hAnsi="Arial" w:cs="Arial"/>
                <w:b/>
                <w:bCs/>
                <w:i/>
                <w:iCs/>
                <w:sz w:val="20"/>
                <w:szCs w:val="20"/>
                <w:lang w:val="sq-AL"/>
              </w:rPr>
            </w:pPr>
            <w:r w:rsidRPr="003E7289">
              <w:rPr>
                <w:rFonts w:ascii="Arial" w:hAnsi="Arial" w:cs="Arial"/>
                <w:b/>
                <w:bCs/>
                <w:sz w:val="20"/>
                <w:szCs w:val="20"/>
                <w:lang w:val="sq-AL"/>
              </w:rPr>
              <w:t>Pjesëmarrja e burimeve të ripërtëritshme në konsumin bruto të energjisë elektrike (%)</w:t>
            </w:r>
          </w:p>
        </w:tc>
        <w:tc>
          <w:tcPr>
            <w:tcW w:w="1706" w:type="dxa"/>
            <w:gridSpan w:val="2"/>
            <w:vAlign w:val="center"/>
          </w:tcPr>
          <w:p w14:paraId="69B88669" w14:textId="71E87D2D" w:rsidR="00B57EA9" w:rsidRPr="003E7289" w:rsidRDefault="009A2EAE" w:rsidP="009A2EAE">
            <w:pPr>
              <w:spacing w:before="0" w:line="240" w:lineRule="auto"/>
              <w:rPr>
                <w:rFonts w:ascii="Arial" w:hAnsi="Arial" w:cs="Arial"/>
                <w:b/>
                <w:bCs/>
                <w:sz w:val="20"/>
                <w:szCs w:val="20"/>
                <w:lang w:val="sq-AL"/>
              </w:rPr>
            </w:pPr>
            <w:r w:rsidRPr="003E7289">
              <w:rPr>
                <w:rFonts w:ascii="Arial" w:hAnsi="Arial" w:cs="Arial"/>
                <w:sz w:val="20"/>
                <w:szCs w:val="20"/>
                <w:lang w:val="sq-AL"/>
              </w:rPr>
              <w:t>~10% (rritur nga ~6% në 2021)</w:t>
            </w:r>
          </w:p>
        </w:tc>
        <w:tc>
          <w:tcPr>
            <w:tcW w:w="2700" w:type="dxa"/>
            <w:gridSpan w:val="4"/>
            <w:vAlign w:val="center"/>
          </w:tcPr>
          <w:p w14:paraId="670951D8" w14:textId="47416533" w:rsidR="00B57EA9" w:rsidRPr="003E7289" w:rsidRDefault="009A2EAE" w:rsidP="009A2EAE">
            <w:pPr>
              <w:spacing w:before="0" w:line="240" w:lineRule="auto"/>
              <w:rPr>
                <w:rFonts w:ascii="Arial" w:hAnsi="Arial" w:cs="Arial"/>
                <w:b/>
                <w:bCs/>
                <w:sz w:val="20"/>
                <w:szCs w:val="20"/>
                <w:lang w:val="sq-AL"/>
              </w:rPr>
            </w:pPr>
            <w:r w:rsidRPr="003E7289">
              <w:rPr>
                <w:rFonts w:ascii="Arial" w:hAnsi="Arial" w:cs="Arial"/>
                <w:sz w:val="20"/>
                <w:szCs w:val="20"/>
                <w:lang w:val="sq-AL"/>
              </w:rPr>
              <w:t>25% e energjisë elektrike nga burimet e ripërtëritshme (përmes rritjes së projekteve të reja)</w:t>
            </w:r>
          </w:p>
        </w:tc>
        <w:tc>
          <w:tcPr>
            <w:tcW w:w="1559" w:type="dxa"/>
            <w:vAlign w:val="center"/>
          </w:tcPr>
          <w:p w14:paraId="6B95B44B" w14:textId="3EC16B6B" w:rsidR="00B57EA9" w:rsidRPr="003E7289" w:rsidRDefault="009A2EAE" w:rsidP="009A2EAE">
            <w:pPr>
              <w:spacing w:before="0" w:line="240" w:lineRule="auto"/>
              <w:rPr>
                <w:rFonts w:ascii="Arial" w:hAnsi="Arial" w:cs="Arial"/>
                <w:b/>
                <w:bCs/>
                <w:sz w:val="20"/>
                <w:szCs w:val="20"/>
                <w:lang w:val="sq-AL"/>
              </w:rPr>
            </w:pPr>
            <w:r w:rsidRPr="003E7289">
              <w:rPr>
                <w:rFonts w:ascii="Arial" w:hAnsi="Arial" w:cs="Arial"/>
                <w:sz w:val="20"/>
                <w:szCs w:val="20"/>
                <w:lang w:val="sq-AL"/>
              </w:rPr>
              <w:t>≥35% nga burimet e ripërtëritshme (përmbushja e objektivit të Strategjisë së Energjisë 2031; integrim i plotë i hidrocentraleve, erës dhe diellit)</w:t>
            </w:r>
          </w:p>
        </w:tc>
        <w:tc>
          <w:tcPr>
            <w:tcW w:w="6233" w:type="dxa"/>
            <w:gridSpan w:val="5"/>
            <w:vAlign w:val="center"/>
          </w:tcPr>
          <w:p w14:paraId="69327F81" w14:textId="07DB012D" w:rsidR="00B57EA9" w:rsidRPr="003E7289" w:rsidRDefault="009A2EAE" w:rsidP="009A2EAE">
            <w:pPr>
              <w:spacing w:before="0" w:line="240" w:lineRule="auto"/>
              <w:rPr>
                <w:rFonts w:ascii="Arial" w:hAnsi="Arial" w:cs="Arial"/>
                <w:b/>
                <w:bCs/>
                <w:sz w:val="20"/>
                <w:szCs w:val="20"/>
                <w:lang w:val="sq-AL"/>
              </w:rPr>
            </w:pPr>
            <w:r w:rsidRPr="003E7289">
              <w:rPr>
                <w:rFonts w:ascii="Arial" w:hAnsi="Arial" w:cs="Arial"/>
                <w:sz w:val="20"/>
                <w:szCs w:val="20"/>
                <w:lang w:val="sq-AL"/>
              </w:rPr>
              <w:t>≥50% nga burimet e ripërtëritshme (sistem energjetik kryesisht me burime të ripërtëritshme, duke iu afruar objektivave të BE-së për gjysmëshekullin)</w:t>
            </w:r>
          </w:p>
        </w:tc>
      </w:tr>
      <w:tr w:rsidR="000D1635" w:rsidRPr="003E7289" w14:paraId="0CCAC52D" w14:textId="77777777" w:rsidTr="004807C9">
        <w:trPr>
          <w:trHeight w:val="195"/>
        </w:trPr>
        <w:tc>
          <w:tcPr>
            <w:tcW w:w="993" w:type="dxa"/>
            <w:vMerge w:val="restart"/>
            <w:shd w:val="clear" w:color="auto" w:fill="C6E7F6"/>
            <w:vAlign w:val="center"/>
          </w:tcPr>
          <w:p w14:paraId="61009670" w14:textId="697F9444"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Nr.</w:t>
            </w:r>
          </w:p>
        </w:tc>
        <w:tc>
          <w:tcPr>
            <w:tcW w:w="1977" w:type="dxa"/>
            <w:vMerge w:val="restart"/>
            <w:shd w:val="clear" w:color="auto" w:fill="C6E7F6"/>
            <w:vAlign w:val="center"/>
          </w:tcPr>
          <w:p w14:paraId="6E9822C6" w14:textId="4FE156DD"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Veprimi</w:t>
            </w:r>
          </w:p>
        </w:tc>
        <w:tc>
          <w:tcPr>
            <w:tcW w:w="1706" w:type="dxa"/>
            <w:gridSpan w:val="2"/>
            <w:vMerge w:val="restart"/>
            <w:shd w:val="clear" w:color="auto" w:fill="C6E7F6"/>
            <w:vAlign w:val="center"/>
          </w:tcPr>
          <w:p w14:paraId="5D7AE8D5" w14:textId="0F5AB4A2"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Afati I fundit</w:t>
            </w:r>
          </w:p>
        </w:tc>
        <w:tc>
          <w:tcPr>
            <w:tcW w:w="2700" w:type="dxa"/>
            <w:gridSpan w:val="4"/>
            <w:shd w:val="clear" w:color="auto" w:fill="C6E7F6"/>
            <w:vAlign w:val="center"/>
          </w:tcPr>
          <w:p w14:paraId="4F432A97" w14:textId="44FEF6DA"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Buxheti</w:t>
            </w:r>
          </w:p>
        </w:tc>
        <w:tc>
          <w:tcPr>
            <w:tcW w:w="1559" w:type="dxa"/>
            <w:vMerge w:val="restart"/>
            <w:shd w:val="clear" w:color="auto" w:fill="C6E7F6"/>
            <w:vAlign w:val="center"/>
          </w:tcPr>
          <w:p w14:paraId="5EC5BC51" w14:textId="2F33B5A8"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Burimi i financimit</w:t>
            </w:r>
          </w:p>
        </w:tc>
        <w:tc>
          <w:tcPr>
            <w:tcW w:w="1415" w:type="dxa"/>
            <w:vMerge w:val="restart"/>
            <w:shd w:val="clear" w:color="auto" w:fill="C6E7F6"/>
            <w:vAlign w:val="center"/>
          </w:tcPr>
          <w:p w14:paraId="62D66AFB" w14:textId="62DD7609"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Institucionet përgjegjëse dhe partnere</w:t>
            </w:r>
          </w:p>
        </w:tc>
        <w:tc>
          <w:tcPr>
            <w:tcW w:w="1418" w:type="dxa"/>
            <w:vMerge w:val="restart"/>
            <w:shd w:val="clear" w:color="auto" w:fill="C6E7F6"/>
            <w:vAlign w:val="center"/>
          </w:tcPr>
          <w:p w14:paraId="56D30D2D" w14:textId="3A0C7452"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Rezultati i pritur</w:t>
            </w:r>
          </w:p>
        </w:tc>
        <w:tc>
          <w:tcPr>
            <w:tcW w:w="3400" w:type="dxa"/>
            <w:gridSpan w:val="3"/>
            <w:vMerge w:val="restart"/>
            <w:shd w:val="clear" w:color="auto" w:fill="C6E7F6"/>
            <w:vAlign w:val="center"/>
          </w:tcPr>
          <w:p w14:paraId="79AD6A0F" w14:textId="7E40100A"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Dokumenti strategjik referues</w:t>
            </w:r>
          </w:p>
        </w:tc>
      </w:tr>
      <w:tr w:rsidR="00B57EA9" w:rsidRPr="003E7289" w14:paraId="0FF2D096" w14:textId="77777777" w:rsidTr="004807C9">
        <w:trPr>
          <w:trHeight w:val="195"/>
        </w:trPr>
        <w:tc>
          <w:tcPr>
            <w:tcW w:w="993" w:type="dxa"/>
            <w:vMerge/>
            <w:vAlign w:val="center"/>
          </w:tcPr>
          <w:p w14:paraId="59FB0F69" w14:textId="77777777" w:rsidR="00B57EA9" w:rsidRPr="003E7289" w:rsidRDefault="00B57EA9" w:rsidP="00B57EA9">
            <w:pPr>
              <w:spacing w:before="0" w:line="240" w:lineRule="auto"/>
              <w:jc w:val="center"/>
              <w:rPr>
                <w:rFonts w:ascii="Arial" w:hAnsi="Arial" w:cs="Arial"/>
                <w:sz w:val="20"/>
                <w:szCs w:val="20"/>
                <w:lang w:val="sq-AL"/>
              </w:rPr>
            </w:pPr>
          </w:p>
        </w:tc>
        <w:tc>
          <w:tcPr>
            <w:tcW w:w="1977" w:type="dxa"/>
            <w:vMerge/>
            <w:vAlign w:val="center"/>
          </w:tcPr>
          <w:p w14:paraId="0F8B149A" w14:textId="77777777" w:rsidR="00B57EA9" w:rsidRPr="003E7289" w:rsidRDefault="00B57EA9" w:rsidP="00B57EA9">
            <w:pPr>
              <w:spacing w:before="0" w:line="240" w:lineRule="auto"/>
              <w:jc w:val="center"/>
              <w:rPr>
                <w:rFonts w:ascii="Arial" w:hAnsi="Arial" w:cs="Arial"/>
                <w:b/>
                <w:bCs/>
                <w:sz w:val="20"/>
                <w:szCs w:val="20"/>
                <w:lang w:val="sq-AL"/>
              </w:rPr>
            </w:pPr>
          </w:p>
        </w:tc>
        <w:tc>
          <w:tcPr>
            <w:tcW w:w="1706" w:type="dxa"/>
            <w:gridSpan w:val="2"/>
            <w:vMerge/>
            <w:vAlign w:val="center"/>
          </w:tcPr>
          <w:p w14:paraId="65A2092C" w14:textId="77777777" w:rsidR="00B57EA9" w:rsidRPr="003E7289" w:rsidRDefault="00B57EA9" w:rsidP="00B57EA9">
            <w:pPr>
              <w:spacing w:before="0" w:line="240" w:lineRule="auto"/>
              <w:jc w:val="center"/>
              <w:rPr>
                <w:rFonts w:ascii="Arial" w:hAnsi="Arial" w:cs="Arial"/>
                <w:b/>
                <w:bCs/>
                <w:sz w:val="20"/>
                <w:szCs w:val="20"/>
                <w:lang w:val="sq-AL"/>
              </w:rPr>
            </w:pPr>
          </w:p>
        </w:tc>
        <w:tc>
          <w:tcPr>
            <w:tcW w:w="902" w:type="dxa"/>
            <w:shd w:val="clear" w:color="auto" w:fill="C6E7F6"/>
            <w:vAlign w:val="center"/>
          </w:tcPr>
          <w:p w14:paraId="1446C3CA" w14:textId="77777777" w:rsidR="00B57EA9" w:rsidRPr="003E7289" w:rsidRDefault="00B57EA9" w:rsidP="00B57EA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2026</w:t>
            </w:r>
          </w:p>
        </w:tc>
        <w:tc>
          <w:tcPr>
            <w:tcW w:w="941" w:type="dxa"/>
            <w:gridSpan w:val="2"/>
            <w:shd w:val="clear" w:color="auto" w:fill="C6E7F6"/>
            <w:vAlign w:val="center"/>
          </w:tcPr>
          <w:p w14:paraId="79D1D7F3" w14:textId="77777777" w:rsidR="00B57EA9" w:rsidRPr="003E7289" w:rsidRDefault="00B57EA9" w:rsidP="00B57EA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2027</w:t>
            </w:r>
          </w:p>
        </w:tc>
        <w:tc>
          <w:tcPr>
            <w:tcW w:w="857" w:type="dxa"/>
            <w:shd w:val="clear" w:color="auto" w:fill="C6E7F6"/>
            <w:vAlign w:val="center"/>
          </w:tcPr>
          <w:p w14:paraId="02566EA1" w14:textId="77777777" w:rsidR="00B57EA9" w:rsidRPr="003E7289" w:rsidRDefault="00B57EA9" w:rsidP="00B57EA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2028</w:t>
            </w:r>
          </w:p>
        </w:tc>
        <w:tc>
          <w:tcPr>
            <w:tcW w:w="1559" w:type="dxa"/>
            <w:vMerge/>
            <w:vAlign w:val="center"/>
          </w:tcPr>
          <w:p w14:paraId="48DED8F3" w14:textId="77777777" w:rsidR="00B57EA9" w:rsidRPr="003E7289" w:rsidRDefault="00B57EA9" w:rsidP="00B57EA9">
            <w:pPr>
              <w:spacing w:before="0" w:line="240" w:lineRule="auto"/>
              <w:jc w:val="center"/>
              <w:rPr>
                <w:rFonts w:ascii="Arial" w:hAnsi="Arial" w:cs="Arial"/>
                <w:b/>
                <w:bCs/>
                <w:sz w:val="20"/>
                <w:szCs w:val="20"/>
                <w:lang w:val="sq-AL"/>
              </w:rPr>
            </w:pPr>
          </w:p>
        </w:tc>
        <w:tc>
          <w:tcPr>
            <w:tcW w:w="1415" w:type="dxa"/>
            <w:vMerge/>
            <w:vAlign w:val="center"/>
          </w:tcPr>
          <w:p w14:paraId="2835C08B" w14:textId="77777777" w:rsidR="00B57EA9" w:rsidRPr="003E7289" w:rsidRDefault="00B57EA9" w:rsidP="00B57EA9">
            <w:pPr>
              <w:spacing w:before="0" w:line="240" w:lineRule="auto"/>
              <w:jc w:val="center"/>
              <w:rPr>
                <w:rFonts w:ascii="Arial" w:hAnsi="Arial" w:cs="Arial"/>
                <w:b/>
                <w:bCs/>
                <w:sz w:val="20"/>
                <w:szCs w:val="20"/>
                <w:lang w:val="sq-AL"/>
              </w:rPr>
            </w:pPr>
          </w:p>
        </w:tc>
        <w:tc>
          <w:tcPr>
            <w:tcW w:w="1418" w:type="dxa"/>
            <w:vMerge/>
            <w:vAlign w:val="center"/>
          </w:tcPr>
          <w:p w14:paraId="31284BF2" w14:textId="77777777" w:rsidR="00B57EA9" w:rsidRPr="003E7289" w:rsidRDefault="00B57EA9" w:rsidP="00B57EA9">
            <w:pPr>
              <w:spacing w:before="0" w:line="240" w:lineRule="auto"/>
              <w:jc w:val="center"/>
              <w:rPr>
                <w:rFonts w:ascii="Arial" w:hAnsi="Arial" w:cs="Arial"/>
                <w:b/>
                <w:bCs/>
                <w:sz w:val="20"/>
                <w:szCs w:val="20"/>
                <w:lang w:val="sq-AL"/>
              </w:rPr>
            </w:pPr>
          </w:p>
        </w:tc>
        <w:tc>
          <w:tcPr>
            <w:tcW w:w="3400" w:type="dxa"/>
            <w:gridSpan w:val="3"/>
            <w:vMerge/>
            <w:vAlign w:val="center"/>
          </w:tcPr>
          <w:p w14:paraId="71F64646" w14:textId="77777777" w:rsidR="00B57EA9" w:rsidRPr="003E7289" w:rsidRDefault="00B57EA9" w:rsidP="00B57EA9">
            <w:pPr>
              <w:spacing w:before="0" w:line="240" w:lineRule="auto"/>
              <w:jc w:val="center"/>
              <w:rPr>
                <w:rFonts w:ascii="Arial" w:hAnsi="Arial" w:cs="Arial"/>
                <w:b/>
                <w:bCs/>
                <w:sz w:val="20"/>
                <w:szCs w:val="20"/>
                <w:lang w:val="sq-AL"/>
              </w:rPr>
            </w:pPr>
          </w:p>
        </w:tc>
      </w:tr>
      <w:tr w:rsidR="00B57EA9" w:rsidRPr="003E7289" w14:paraId="09D5DA27" w14:textId="77777777" w:rsidTr="004807C9">
        <w:trPr>
          <w:trHeight w:val="391"/>
        </w:trPr>
        <w:tc>
          <w:tcPr>
            <w:tcW w:w="993" w:type="dxa"/>
            <w:vAlign w:val="center"/>
          </w:tcPr>
          <w:p w14:paraId="7138C65B" w14:textId="486B8107" w:rsidR="00B57EA9" w:rsidRPr="003E7289" w:rsidRDefault="00B57EA9" w:rsidP="00B57EA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II.1</w:t>
            </w:r>
            <w:r w:rsidR="00E0225B" w:rsidRPr="003E7289">
              <w:rPr>
                <w:rFonts w:ascii="Arial" w:hAnsi="Arial" w:cs="Arial"/>
                <w:b/>
                <w:bCs/>
                <w:sz w:val="20"/>
                <w:szCs w:val="20"/>
                <w:lang w:val="sq-AL"/>
              </w:rPr>
              <w:t>6</w:t>
            </w:r>
            <w:r w:rsidRPr="003E7289">
              <w:rPr>
                <w:rFonts w:ascii="Arial" w:hAnsi="Arial" w:cs="Arial"/>
                <w:b/>
                <w:bCs/>
                <w:sz w:val="20"/>
                <w:szCs w:val="20"/>
                <w:lang w:val="sq-AL"/>
              </w:rPr>
              <w:t>.1</w:t>
            </w:r>
          </w:p>
        </w:tc>
        <w:tc>
          <w:tcPr>
            <w:tcW w:w="1977" w:type="dxa"/>
            <w:vAlign w:val="center"/>
          </w:tcPr>
          <w:p w14:paraId="2A1E9648" w14:textId="6113C9FF" w:rsidR="00B57EA9" w:rsidRPr="003E7289" w:rsidRDefault="009A2EAE" w:rsidP="009A2EA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Zgjerimi i prodhimit të energjisë nga burimet e ripërtëritshme në shkallë të gjerë</w:t>
            </w:r>
          </w:p>
        </w:tc>
        <w:tc>
          <w:tcPr>
            <w:tcW w:w="1706" w:type="dxa"/>
            <w:gridSpan w:val="2"/>
            <w:vAlign w:val="center"/>
          </w:tcPr>
          <w:p w14:paraId="7278207E" w14:textId="77777777" w:rsidR="00B57EA9" w:rsidRPr="003E7289" w:rsidRDefault="00B57EA9"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2029</w:t>
            </w:r>
          </w:p>
        </w:tc>
        <w:tc>
          <w:tcPr>
            <w:tcW w:w="902" w:type="dxa"/>
            <w:vAlign w:val="center"/>
          </w:tcPr>
          <w:p w14:paraId="058387E6" w14:textId="765FFBD8" w:rsidR="00B57EA9" w:rsidRPr="003E7289" w:rsidRDefault="00B57EA9"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~25 mil €</w:t>
            </w:r>
          </w:p>
        </w:tc>
        <w:tc>
          <w:tcPr>
            <w:tcW w:w="941" w:type="dxa"/>
            <w:gridSpan w:val="2"/>
            <w:vAlign w:val="center"/>
          </w:tcPr>
          <w:p w14:paraId="22013B6D" w14:textId="45B72D70" w:rsidR="00B57EA9" w:rsidRPr="003E7289" w:rsidRDefault="00B57EA9"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~35 mil €</w:t>
            </w:r>
          </w:p>
        </w:tc>
        <w:tc>
          <w:tcPr>
            <w:tcW w:w="857" w:type="dxa"/>
            <w:vAlign w:val="center"/>
          </w:tcPr>
          <w:p w14:paraId="24519945" w14:textId="7FE6EF9B" w:rsidR="00B57EA9" w:rsidRPr="003E7289" w:rsidRDefault="00B57EA9"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~12.3 mil €</w:t>
            </w:r>
          </w:p>
        </w:tc>
        <w:tc>
          <w:tcPr>
            <w:tcW w:w="1559" w:type="dxa"/>
            <w:vMerge w:val="restart"/>
            <w:vAlign w:val="center"/>
          </w:tcPr>
          <w:p w14:paraId="2F189CC3" w14:textId="57D188ED" w:rsidR="009A2EAE" w:rsidRPr="003E7289" w:rsidRDefault="009A2EAE" w:rsidP="00F36447">
            <w:pPr>
              <w:pStyle w:val="ListParagraph"/>
              <w:numPr>
                <w:ilvl w:val="0"/>
                <w:numId w:val="27"/>
              </w:numPr>
              <w:spacing w:before="0"/>
              <w:ind w:left="259" w:hanging="187"/>
              <w:rPr>
                <w:rFonts w:ascii="Arial" w:hAnsi="Arial" w:cs="Arial"/>
                <w:sz w:val="20"/>
                <w:szCs w:val="20"/>
                <w:lang w:val="sq-AL"/>
              </w:rPr>
            </w:pPr>
            <w:r w:rsidRPr="003E7289">
              <w:rPr>
                <w:rFonts w:ascii="Arial" w:hAnsi="Arial" w:cs="Arial"/>
                <w:sz w:val="20"/>
                <w:szCs w:val="20"/>
                <w:lang w:val="sq-AL"/>
              </w:rPr>
              <w:t xml:space="preserve"> Një hua prej 29 milionë eurosh e ofruar nga KfW (Banka Gjermane për Zhvillim)</w:t>
            </w:r>
          </w:p>
          <w:p w14:paraId="5E42B59C" w14:textId="51A474DC" w:rsidR="009A2EAE" w:rsidRPr="003E7289" w:rsidRDefault="009A2EAE" w:rsidP="00F36447">
            <w:pPr>
              <w:pStyle w:val="ListParagraph"/>
              <w:numPr>
                <w:ilvl w:val="0"/>
                <w:numId w:val="27"/>
              </w:numPr>
              <w:spacing w:before="0"/>
              <w:ind w:left="259" w:hanging="187"/>
              <w:rPr>
                <w:rFonts w:ascii="Arial" w:hAnsi="Arial" w:cs="Arial"/>
                <w:sz w:val="20"/>
                <w:szCs w:val="20"/>
                <w:lang w:val="sq-AL"/>
              </w:rPr>
            </w:pPr>
            <w:r w:rsidRPr="003E7289">
              <w:rPr>
                <w:rFonts w:ascii="Arial" w:hAnsi="Arial" w:cs="Arial"/>
                <w:sz w:val="20"/>
                <w:szCs w:val="20"/>
                <w:lang w:val="sq-AL"/>
              </w:rPr>
              <w:t xml:space="preserve">Një grant prej 31.68 milionë </w:t>
            </w:r>
            <w:r w:rsidRPr="003E7289">
              <w:rPr>
                <w:rFonts w:ascii="Arial" w:hAnsi="Arial" w:cs="Arial"/>
                <w:sz w:val="20"/>
                <w:szCs w:val="20"/>
                <w:lang w:val="sq-AL"/>
              </w:rPr>
              <w:lastRenderedPageBreak/>
              <w:t>eurosh i siguruar përmes Kornizës për Investime në Ballkanin Perëndimor (WBIF)</w:t>
            </w:r>
          </w:p>
          <w:p w14:paraId="403E1A88" w14:textId="775BF62A" w:rsidR="009A2EAE" w:rsidRPr="003E7289" w:rsidRDefault="009A2EAE" w:rsidP="00F36447">
            <w:pPr>
              <w:pStyle w:val="ListParagraph"/>
              <w:numPr>
                <w:ilvl w:val="0"/>
                <w:numId w:val="27"/>
              </w:numPr>
              <w:spacing w:before="0"/>
              <w:ind w:left="259" w:hanging="187"/>
              <w:rPr>
                <w:rFonts w:ascii="Arial" w:hAnsi="Arial" w:cs="Arial"/>
                <w:sz w:val="20"/>
                <w:szCs w:val="20"/>
                <w:lang w:val="sq-AL"/>
              </w:rPr>
            </w:pPr>
            <w:r w:rsidRPr="003E7289">
              <w:rPr>
                <w:rFonts w:ascii="Arial" w:hAnsi="Arial" w:cs="Arial"/>
                <w:sz w:val="20"/>
                <w:szCs w:val="20"/>
                <w:lang w:val="sq-AL"/>
              </w:rPr>
              <w:t>Një hua prej 33 milionë eurosh e financuar nga Banka Evropiane e Investimeve (EIB)</w:t>
            </w:r>
          </w:p>
          <w:p w14:paraId="6971A948" w14:textId="29983831" w:rsidR="00B57EA9" w:rsidRPr="003E7289" w:rsidRDefault="009A2EAE" w:rsidP="00F36447">
            <w:pPr>
              <w:pStyle w:val="ListParagraph"/>
              <w:numPr>
                <w:ilvl w:val="0"/>
                <w:numId w:val="27"/>
              </w:numPr>
              <w:spacing w:before="0"/>
              <w:ind w:left="259" w:hanging="187"/>
              <w:rPr>
                <w:rFonts w:ascii="Arial" w:hAnsi="Arial" w:cs="Arial"/>
                <w:sz w:val="20"/>
                <w:szCs w:val="20"/>
                <w:lang w:val="sq-AL"/>
              </w:rPr>
            </w:pPr>
            <w:r w:rsidRPr="003E7289">
              <w:rPr>
                <w:rFonts w:ascii="Arial" w:hAnsi="Arial" w:cs="Arial"/>
                <w:sz w:val="20"/>
                <w:szCs w:val="20"/>
                <w:lang w:val="sq-AL"/>
              </w:rPr>
              <w:t>Një shumë shtesë prej 10 milionë eurosh për shpenzimet e projektit do të mbulohet nga KEK (Korporata Energjetike e Kosovës) si pjesë e bashkëfinancimit të saj</w:t>
            </w:r>
          </w:p>
        </w:tc>
        <w:tc>
          <w:tcPr>
            <w:tcW w:w="1415" w:type="dxa"/>
            <w:vMerge w:val="restart"/>
            <w:vAlign w:val="center"/>
          </w:tcPr>
          <w:p w14:paraId="17C71984" w14:textId="195763CC" w:rsidR="009A2EAE" w:rsidRPr="003E7289" w:rsidRDefault="009A2EAE"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lastRenderedPageBreak/>
              <w:t>Qeveria e Kosovës</w:t>
            </w:r>
          </w:p>
          <w:p w14:paraId="4C2A985F" w14:textId="5324DCA5" w:rsidR="009A2EAE" w:rsidRPr="003E7289" w:rsidRDefault="009A2EAE"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Ministria e Ekonomisë</w:t>
            </w:r>
          </w:p>
          <w:p w14:paraId="19244FED" w14:textId="32021F29" w:rsidR="009A2EAE" w:rsidRPr="003E7289" w:rsidRDefault="009A2EAE"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 xml:space="preserve"> Ministria e Financave</w:t>
            </w:r>
          </w:p>
          <w:p w14:paraId="211B01A7" w14:textId="1C82B61C" w:rsidR="009A2EAE" w:rsidRPr="003E7289" w:rsidRDefault="009A2EAE"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Fondi për Efiçiencë të Energjisë i Kosovës</w:t>
            </w:r>
          </w:p>
          <w:p w14:paraId="241B333E" w14:textId="6640E0D9" w:rsidR="009A2EAE" w:rsidRPr="003E7289" w:rsidRDefault="009A2EAE"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KEK</w:t>
            </w:r>
          </w:p>
          <w:p w14:paraId="4289A79E" w14:textId="6BEC5400" w:rsidR="009A2EAE" w:rsidRPr="003E7289" w:rsidRDefault="009A2EAE"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lastRenderedPageBreak/>
              <w:t>Zyra e Rregullatorit për Energji (ERO)</w:t>
            </w:r>
          </w:p>
          <w:p w14:paraId="35F026ED" w14:textId="42AE26E9" w:rsidR="009A2EAE" w:rsidRPr="003E7289" w:rsidRDefault="009A2EAE"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Operator i Sistemit, Transmetimit dhe Tregut të Energjisë Elektrike (KOSTT)</w:t>
            </w:r>
          </w:p>
          <w:p w14:paraId="5912135C" w14:textId="041C7DEF" w:rsidR="009A2EAE" w:rsidRPr="003E7289" w:rsidRDefault="009A2EAE"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Kompania për Distribuimin e Energjisë Elektrike në Kosovë (KEDS)</w:t>
            </w:r>
          </w:p>
          <w:p w14:paraId="4878185B" w14:textId="1686F2B8" w:rsidR="00B57EA9" w:rsidRPr="003E7289" w:rsidRDefault="009A2EAE"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Ngrohtorja e qytetit – DH Termokos</w:t>
            </w:r>
          </w:p>
        </w:tc>
        <w:tc>
          <w:tcPr>
            <w:tcW w:w="1418" w:type="dxa"/>
            <w:vAlign w:val="center"/>
          </w:tcPr>
          <w:p w14:paraId="424B35CC" w14:textId="608DF0DD" w:rsidR="00B57EA9" w:rsidRPr="003E7289" w:rsidRDefault="009A2EAE" w:rsidP="009A2EAE">
            <w:pPr>
              <w:spacing w:before="0" w:line="240" w:lineRule="auto"/>
              <w:jc w:val="center"/>
              <w:rPr>
                <w:rFonts w:ascii="Arial" w:hAnsi="Arial" w:cs="Arial"/>
                <w:sz w:val="20"/>
                <w:szCs w:val="20"/>
                <w:lang w:val="sq-AL"/>
              </w:rPr>
            </w:pPr>
            <w:r w:rsidRPr="003E7289">
              <w:rPr>
                <w:rFonts w:ascii="Arial" w:hAnsi="Arial" w:cs="Arial"/>
                <w:sz w:val="20"/>
                <w:szCs w:val="20"/>
                <w:lang w:val="sq-AL"/>
              </w:rPr>
              <w:lastRenderedPageBreak/>
              <w:t xml:space="preserve">Të instalohet dhe funksionalizohet të paktën 400 MW kapacitet i ri i energjisë së ripërtëritshme (erë, diell, biomasë), duke kontribuar në arritjen e objektivit prej 25% të </w:t>
            </w:r>
            <w:r w:rsidRPr="003E7289">
              <w:rPr>
                <w:rFonts w:ascii="Arial" w:hAnsi="Arial" w:cs="Arial"/>
                <w:sz w:val="20"/>
                <w:szCs w:val="20"/>
                <w:lang w:val="sq-AL"/>
              </w:rPr>
              <w:lastRenderedPageBreak/>
              <w:t>pjesëmarrjes së RES në prodhimin e energjisë deri në vitin 2030</w:t>
            </w:r>
          </w:p>
        </w:tc>
        <w:tc>
          <w:tcPr>
            <w:tcW w:w="3400" w:type="dxa"/>
            <w:gridSpan w:val="3"/>
            <w:vAlign w:val="center"/>
          </w:tcPr>
          <w:p w14:paraId="5A5BABAC" w14:textId="5F41C15B" w:rsidR="00B57EA9" w:rsidRPr="003E7289" w:rsidRDefault="00BE39C7"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lastRenderedPageBreak/>
              <w:t>Strategjia</w:t>
            </w:r>
            <w:r w:rsidR="009A2EAE" w:rsidRPr="003E7289">
              <w:rPr>
                <w:rFonts w:ascii="Arial" w:hAnsi="Arial" w:cs="Arial"/>
                <w:sz w:val="20"/>
                <w:szCs w:val="20"/>
                <w:lang w:val="sq-AL"/>
              </w:rPr>
              <w:t xml:space="preserve"> e Energjisë 2022–2031 + NECP</w:t>
            </w:r>
          </w:p>
        </w:tc>
      </w:tr>
      <w:tr w:rsidR="00B57EA9" w:rsidRPr="003E7289" w14:paraId="47993DB9" w14:textId="77777777" w:rsidTr="004807C9">
        <w:tc>
          <w:tcPr>
            <w:tcW w:w="993" w:type="dxa"/>
            <w:vAlign w:val="center"/>
          </w:tcPr>
          <w:p w14:paraId="6C1EB686" w14:textId="78A3BBC3" w:rsidR="00B57EA9" w:rsidRPr="003E7289" w:rsidRDefault="00B57EA9" w:rsidP="00B57EA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lastRenderedPageBreak/>
              <w:t>II.1</w:t>
            </w:r>
            <w:r w:rsidR="00E0225B" w:rsidRPr="003E7289">
              <w:rPr>
                <w:rFonts w:ascii="Arial" w:hAnsi="Arial" w:cs="Arial"/>
                <w:b/>
                <w:bCs/>
                <w:sz w:val="20"/>
                <w:szCs w:val="20"/>
                <w:lang w:val="sq-AL"/>
              </w:rPr>
              <w:t>6</w:t>
            </w:r>
            <w:r w:rsidRPr="003E7289">
              <w:rPr>
                <w:rFonts w:ascii="Arial" w:hAnsi="Arial" w:cs="Arial"/>
                <w:b/>
                <w:bCs/>
                <w:sz w:val="20"/>
                <w:szCs w:val="20"/>
                <w:lang w:val="sq-AL"/>
              </w:rPr>
              <w:t>.2</w:t>
            </w:r>
          </w:p>
        </w:tc>
        <w:tc>
          <w:tcPr>
            <w:tcW w:w="1977" w:type="dxa"/>
            <w:vAlign w:val="center"/>
          </w:tcPr>
          <w:p w14:paraId="714D20E6" w14:textId="1E06EA9C" w:rsidR="00B57EA9" w:rsidRPr="003E7289" w:rsidRDefault="009A2EAE" w:rsidP="009A2EA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Promovimi i prodhimit të shpërndarë të energjisë së ripërtëritshme dhe pjesëmarrja e prosumatorëve</w:t>
            </w:r>
          </w:p>
        </w:tc>
        <w:tc>
          <w:tcPr>
            <w:tcW w:w="1706" w:type="dxa"/>
            <w:gridSpan w:val="2"/>
            <w:vAlign w:val="center"/>
          </w:tcPr>
          <w:p w14:paraId="36F3F8E3" w14:textId="77777777" w:rsidR="00B57EA9" w:rsidRPr="003E7289" w:rsidRDefault="00B57EA9"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2032</w:t>
            </w:r>
          </w:p>
        </w:tc>
        <w:tc>
          <w:tcPr>
            <w:tcW w:w="902" w:type="dxa"/>
            <w:vAlign w:val="center"/>
          </w:tcPr>
          <w:p w14:paraId="489FF481" w14:textId="34077A65" w:rsidR="00B57EA9" w:rsidRPr="003E7289" w:rsidRDefault="00B57EA9"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~4 mil €</w:t>
            </w:r>
          </w:p>
        </w:tc>
        <w:tc>
          <w:tcPr>
            <w:tcW w:w="941" w:type="dxa"/>
            <w:gridSpan w:val="2"/>
            <w:vAlign w:val="center"/>
          </w:tcPr>
          <w:p w14:paraId="3B73E31D" w14:textId="4704CAE4" w:rsidR="00B57EA9" w:rsidRPr="003E7289" w:rsidRDefault="00B57EA9"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~6 mil €</w:t>
            </w:r>
          </w:p>
        </w:tc>
        <w:tc>
          <w:tcPr>
            <w:tcW w:w="857" w:type="dxa"/>
            <w:vAlign w:val="center"/>
          </w:tcPr>
          <w:p w14:paraId="67DC98BD" w14:textId="1549E604" w:rsidR="00B57EA9" w:rsidRPr="003E7289" w:rsidRDefault="00B57EA9"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~5.5 mil €</w:t>
            </w:r>
          </w:p>
        </w:tc>
        <w:tc>
          <w:tcPr>
            <w:tcW w:w="1559" w:type="dxa"/>
            <w:vMerge/>
            <w:vAlign w:val="center"/>
          </w:tcPr>
          <w:p w14:paraId="14DC7643" w14:textId="77777777" w:rsidR="00B57EA9" w:rsidRPr="003E7289" w:rsidRDefault="00B57EA9" w:rsidP="00B57EA9">
            <w:pPr>
              <w:spacing w:before="0" w:line="240" w:lineRule="auto"/>
              <w:jc w:val="center"/>
              <w:rPr>
                <w:rFonts w:ascii="Arial" w:hAnsi="Arial" w:cs="Arial"/>
                <w:b/>
                <w:bCs/>
                <w:color w:val="EE0000"/>
                <w:sz w:val="20"/>
                <w:szCs w:val="20"/>
                <w:lang w:val="sq-AL"/>
              </w:rPr>
            </w:pPr>
          </w:p>
        </w:tc>
        <w:tc>
          <w:tcPr>
            <w:tcW w:w="1415" w:type="dxa"/>
            <w:vMerge/>
            <w:vAlign w:val="center"/>
          </w:tcPr>
          <w:p w14:paraId="68B19585" w14:textId="77777777" w:rsidR="00B57EA9" w:rsidRPr="003E7289" w:rsidRDefault="00B57EA9" w:rsidP="00B57EA9">
            <w:pPr>
              <w:spacing w:before="0" w:line="240" w:lineRule="auto"/>
              <w:jc w:val="center"/>
              <w:rPr>
                <w:rFonts w:ascii="Arial" w:hAnsi="Arial" w:cs="Arial"/>
                <w:b/>
                <w:bCs/>
                <w:color w:val="EE0000"/>
                <w:sz w:val="20"/>
                <w:szCs w:val="20"/>
                <w:lang w:val="sq-AL"/>
              </w:rPr>
            </w:pPr>
          </w:p>
        </w:tc>
        <w:tc>
          <w:tcPr>
            <w:tcW w:w="1418" w:type="dxa"/>
            <w:vAlign w:val="center"/>
          </w:tcPr>
          <w:p w14:paraId="7FC1FD75" w14:textId="64AF0064" w:rsidR="00B57EA9" w:rsidRPr="003E7289" w:rsidRDefault="009A2EAE" w:rsidP="009A2EAE">
            <w:pPr>
              <w:spacing w:before="0" w:line="240" w:lineRule="auto"/>
              <w:jc w:val="center"/>
              <w:rPr>
                <w:rFonts w:ascii="Arial" w:hAnsi="Arial" w:cs="Arial"/>
                <w:sz w:val="20"/>
                <w:szCs w:val="20"/>
                <w:lang w:val="sq-AL"/>
              </w:rPr>
            </w:pPr>
            <w:r w:rsidRPr="003E7289">
              <w:rPr>
                <w:rFonts w:ascii="Arial" w:hAnsi="Arial" w:cs="Arial"/>
                <w:sz w:val="20"/>
                <w:szCs w:val="20"/>
                <w:lang w:val="sq-AL"/>
              </w:rPr>
              <w:t>Të instalohet të paktën 100 MW kapacitet i shpërndarë i energjisë së ripërtëritshme, duke mundësuar konsum të gjerë të energjisë elektrike të gjelbër në nivel amvisërish dhe komunitetesh</w:t>
            </w:r>
            <w:r w:rsidR="00B57EA9" w:rsidRPr="003E7289">
              <w:rPr>
                <w:rFonts w:ascii="Arial" w:hAnsi="Arial" w:cs="Arial"/>
                <w:sz w:val="20"/>
                <w:szCs w:val="20"/>
                <w:lang w:val="sq-AL"/>
              </w:rPr>
              <w:t>.</w:t>
            </w:r>
          </w:p>
        </w:tc>
        <w:tc>
          <w:tcPr>
            <w:tcW w:w="3400" w:type="dxa"/>
            <w:gridSpan w:val="3"/>
            <w:vAlign w:val="center"/>
          </w:tcPr>
          <w:p w14:paraId="50257228" w14:textId="3C6723C6" w:rsidR="00B57EA9" w:rsidRPr="003E7289" w:rsidRDefault="00BE39C7"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Strategjia</w:t>
            </w:r>
            <w:r w:rsidR="009A2EAE" w:rsidRPr="003E7289">
              <w:rPr>
                <w:rFonts w:ascii="Arial" w:hAnsi="Arial" w:cs="Arial"/>
                <w:sz w:val="20"/>
                <w:szCs w:val="20"/>
                <w:lang w:val="sq-AL"/>
              </w:rPr>
              <w:t xml:space="preserve"> e Energjisë 2022–2031 + NECP</w:t>
            </w:r>
          </w:p>
        </w:tc>
      </w:tr>
      <w:tr w:rsidR="00B57EA9" w:rsidRPr="003E7289" w14:paraId="26CD566A" w14:textId="77777777" w:rsidTr="004807C9">
        <w:tc>
          <w:tcPr>
            <w:tcW w:w="993" w:type="dxa"/>
            <w:vAlign w:val="center"/>
          </w:tcPr>
          <w:p w14:paraId="5CE1D033" w14:textId="5BD42730" w:rsidR="00B57EA9" w:rsidRPr="003E7289" w:rsidRDefault="00B57EA9" w:rsidP="00B57EA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II.1</w:t>
            </w:r>
            <w:r w:rsidR="00E0225B" w:rsidRPr="003E7289">
              <w:rPr>
                <w:rFonts w:ascii="Arial" w:hAnsi="Arial" w:cs="Arial"/>
                <w:b/>
                <w:bCs/>
                <w:sz w:val="20"/>
                <w:szCs w:val="20"/>
                <w:lang w:val="sq-AL"/>
              </w:rPr>
              <w:t>6</w:t>
            </w:r>
            <w:r w:rsidRPr="003E7289">
              <w:rPr>
                <w:rFonts w:ascii="Arial" w:hAnsi="Arial" w:cs="Arial"/>
                <w:b/>
                <w:bCs/>
                <w:sz w:val="20"/>
                <w:szCs w:val="20"/>
                <w:lang w:val="sq-AL"/>
              </w:rPr>
              <w:t>.3</w:t>
            </w:r>
          </w:p>
        </w:tc>
        <w:tc>
          <w:tcPr>
            <w:tcW w:w="1977" w:type="dxa"/>
            <w:vAlign w:val="center"/>
          </w:tcPr>
          <w:p w14:paraId="5DFD273E" w14:textId="60ABBA7C" w:rsidR="00B57EA9" w:rsidRPr="003E7289" w:rsidRDefault="009A2EAE" w:rsidP="009A2EA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Rritja e integrimit të energjisë së ripërtëritshme për të arritur një përzierje energjetike ku dominon energjia e ripërtëritshme</w:t>
            </w:r>
          </w:p>
        </w:tc>
        <w:tc>
          <w:tcPr>
            <w:tcW w:w="1706" w:type="dxa"/>
            <w:gridSpan w:val="2"/>
            <w:vAlign w:val="center"/>
          </w:tcPr>
          <w:p w14:paraId="53D752E2" w14:textId="77777777" w:rsidR="00B57EA9" w:rsidRPr="003E7289" w:rsidRDefault="00B57EA9"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2036</w:t>
            </w:r>
          </w:p>
        </w:tc>
        <w:tc>
          <w:tcPr>
            <w:tcW w:w="902" w:type="dxa"/>
            <w:vAlign w:val="center"/>
          </w:tcPr>
          <w:p w14:paraId="06938E62" w14:textId="5A77D359" w:rsidR="00B57EA9" w:rsidRPr="003E7289" w:rsidRDefault="00B57EA9"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~6 mil €</w:t>
            </w:r>
          </w:p>
        </w:tc>
        <w:tc>
          <w:tcPr>
            <w:tcW w:w="941" w:type="dxa"/>
            <w:gridSpan w:val="2"/>
            <w:vAlign w:val="center"/>
          </w:tcPr>
          <w:p w14:paraId="65C9F6C1" w14:textId="217C26F9" w:rsidR="00B57EA9" w:rsidRPr="003E7289" w:rsidRDefault="00B57EA9"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~6.5 mil €</w:t>
            </w:r>
          </w:p>
        </w:tc>
        <w:tc>
          <w:tcPr>
            <w:tcW w:w="857" w:type="dxa"/>
            <w:vAlign w:val="center"/>
          </w:tcPr>
          <w:p w14:paraId="100C29F3" w14:textId="79D1079B" w:rsidR="00B57EA9" w:rsidRPr="003E7289" w:rsidRDefault="00B57EA9"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~3 mil €</w:t>
            </w:r>
          </w:p>
        </w:tc>
        <w:tc>
          <w:tcPr>
            <w:tcW w:w="1559" w:type="dxa"/>
            <w:vMerge/>
            <w:vAlign w:val="center"/>
          </w:tcPr>
          <w:p w14:paraId="3DB20EF8" w14:textId="77777777" w:rsidR="00B57EA9" w:rsidRPr="003E7289" w:rsidRDefault="00B57EA9" w:rsidP="00B57EA9">
            <w:pPr>
              <w:spacing w:before="0" w:line="240" w:lineRule="auto"/>
              <w:jc w:val="center"/>
              <w:rPr>
                <w:rFonts w:ascii="Arial" w:hAnsi="Arial" w:cs="Arial"/>
                <w:b/>
                <w:bCs/>
                <w:color w:val="EE0000"/>
                <w:sz w:val="20"/>
                <w:szCs w:val="20"/>
                <w:lang w:val="sq-AL"/>
              </w:rPr>
            </w:pPr>
          </w:p>
        </w:tc>
        <w:tc>
          <w:tcPr>
            <w:tcW w:w="1415" w:type="dxa"/>
            <w:vMerge/>
            <w:vAlign w:val="center"/>
          </w:tcPr>
          <w:p w14:paraId="72F502B4" w14:textId="77777777" w:rsidR="00B57EA9" w:rsidRPr="003E7289" w:rsidRDefault="00B57EA9" w:rsidP="00B57EA9">
            <w:pPr>
              <w:spacing w:before="0" w:line="240" w:lineRule="auto"/>
              <w:jc w:val="center"/>
              <w:rPr>
                <w:rFonts w:ascii="Arial" w:hAnsi="Arial" w:cs="Arial"/>
                <w:b/>
                <w:bCs/>
                <w:color w:val="EE0000"/>
                <w:sz w:val="20"/>
                <w:szCs w:val="20"/>
                <w:lang w:val="sq-AL"/>
              </w:rPr>
            </w:pPr>
          </w:p>
        </w:tc>
        <w:tc>
          <w:tcPr>
            <w:tcW w:w="1418" w:type="dxa"/>
            <w:vAlign w:val="center"/>
          </w:tcPr>
          <w:p w14:paraId="3C759F96" w14:textId="5C594093" w:rsidR="00B57EA9" w:rsidRPr="003E7289" w:rsidRDefault="009A2EAE" w:rsidP="009A2EAE">
            <w:pPr>
              <w:spacing w:before="0" w:line="240" w:lineRule="auto"/>
              <w:jc w:val="center"/>
              <w:rPr>
                <w:rFonts w:ascii="Arial" w:hAnsi="Arial" w:cs="Arial"/>
                <w:sz w:val="20"/>
                <w:szCs w:val="20"/>
                <w:lang w:val="sq-AL"/>
              </w:rPr>
            </w:pPr>
            <w:r w:rsidRPr="003E7289">
              <w:rPr>
                <w:rFonts w:ascii="Arial" w:hAnsi="Arial" w:cs="Arial"/>
                <w:sz w:val="20"/>
                <w:szCs w:val="20"/>
                <w:lang w:val="sq-AL"/>
              </w:rPr>
              <w:t>Kosova arrin ≥50% të prodhimit të energjisë elektrike nga burimet e ripërtëritshme përmes një përzierje të qëndrueshme dhe të diversifikuar, dhe një rrjeti modern të energjisë</w:t>
            </w:r>
          </w:p>
        </w:tc>
        <w:tc>
          <w:tcPr>
            <w:tcW w:w="3400" w:type="dxa"/>
            <w:gridSpan w:val="3"/>
            <w:vAlign w:val="center"/>
          </w:tcPr>
          <w:p w14:paraId="0778226D" w14:textId="74F0487B" w:rsidR="00B57EA9" w:rsidRPr="003E7289" w:rsidRDefault="00BE39C7" w:rsidP="00B57EA9">
            <w:pPr>
              <w:spacing w:before="0" w:line="240" w:lineRule="auto"/>
              <w:jc w:val="center"/>
              <w:rPr>
                <w:rFonts w:ascii="Arial" w:hAnsi="Arial" w:cs="Arial"/>
                <w:sz w:val="20"/>
                <w:szCs w:val="20"/>
                <w:lang w:val="sq-AL"/>
              </w:rPr>
            </w:pPr>
            <w:r w:rsidRPr="003E7289">
              <w:rPr>
                <w:rFonts w:ascii="Arial" w:hAnsi="Arial" w:cs="Arial"/>
                <w:sz w:val="20"/>
                <w:szCs w:val="20"/>
                <w:lang w:val="sq-AL"/>
              </w:rPr>
              <w:t>Strategjia</w:t>
            </w:r>
            <w:r w:rsidR="009A2EAE" w:rsidRPr="003E7289">
              <w:rPr>
                <w:rFonts w:ascii="Arial" w:hAnsi="Arial" w:cs="Arial"/>
                <w:sz w:val="20"/>
                <w:szCs w:val="20"/>
                <w:lang w:val="sq-AL"/>
              </w:rPr>
              <w:t xml:space="preserve"> e Energjisë 2022–2031 + NECP</w:t>
            </w:r>
          </w:p>
        </w:tc>
      </w:tr>
      <w:tr w:rsidR="00C63DE6" w:rsidRPr="003E7289" w14:paraId="6CDF10B4" w14:textId="77777777" w:rsidTr="00D42597">
        <w:tc>
          <w:tcPr>
            <w:tcW w:w="2970" w:type="dxa"/>
            <w:gridSpan w:val="2"/>
            <w:shd w:val="clear" w:color="auto" w:fill="C6E7F6"/>
            <w:vAlign w:val="center"/>
          </w:tcPr>
          <w:p w14:paraId="2E78D76F" w14:textId="27BB06A6" w:rsidR="00C63DE6" w:rsidRPr="003E7289" w:rsidRDefault="00C63DE6" w:rsidP="00C63DE6">
            <w:pPr>
              <w:spacing w:before="0" w:line="240" w:lineRule="auto"/>
              <w:rPr>
                <w:rFonts w:ascii="Arial" w:hAnsi="Arial" w:cs="Arial"/>
                <w:b/>
                <w:bCs/>
                <w:sz w:val="20"/>
                <w:szCs w:val="20"/>
                <w:lang w:val="sq-AL"/>
              </w:rPr>
            </w:pPr>
            <w:r w:rsidRPr="003E7289">
              <w:rPr>
                <w:rFonts w:ascii="Arial" w:eastAsia="Aptos" w:hAnsi="Arial" w:cs="Arial"/>
                <w:b/>
                <w:bCs/>
                <w:sz w:val="20"/>
                <w:szCs w:val="20"/>
                <w:lang w:val="sq-AL"/>
              </w:rPr>
              <w:t>Buxheti total për Objektivin specifik II.15:</w:t>
            </w:r>
          </w:p>
        </w:tc>
        <w:tc>
          <w:tcPr>
            <w:tcW w:w="12198" w:type="dxa"/>
            <w:gridSpan w:val="12"/>
            <w:vAlign w:val="center"/>
          </w:tcPr>
          <w:p w14:paraId="6CED7644" w14:textId="631DC1B0" w:rsidR="00C63DE6" w:rsidRPr="003E7289" w:rsidRDefault="00C63DE6" w:rsidP="00C63DE6">
            <w:pPr>
              <w:spacing w:before="0" w:line="240" w:lineRule="auto"/>
              <w:jc w:val="center"/>
              <w:rPr>
                <w:rFonts w:ascii="Arial" w:hAnsi="Arial" w:cs="Arial"/>
                <w:b/>
                <w:bCs/>
                <w:color w:val="EE0000"/>
                <w:sz w:val="20"/>
                <w:szCs w:val="20"/>
                <w:lang w:val="sq-AL"/>
              </w:rPr>
            </w:pPr>
            <w:r w:rsidRPr="003E7289">
              <w:rPr>
                <w:rFonts w:ascii="Arial" w:hAnsi="Arial" w:cs="Arial"/>
                <w:b/>
                <w:bCs/>
                <w:sz w:val="20"/>
                <w:szCs w:val="20"/>
                <w:lang w:val="sq-AL"/>
              </w:rPr>
              <w:t>103.330.000 €</w:t>
            </w:r>
          </w:p>
        </w:tc>
      </w:tr>
      <w:tr w:rsidR="00C63DE6" w:rsidRPr="003E7289" w14:paraId="20D694C3" w14:textId="77777777" w:rsidTr="00D42597">
        <w:tc>
          <w:tcPr>
            <w:tcW w:w="2970" w:type="dxa"/>
            <w:gridSpan w:val="2"/>
            <w:shd w:val="clear" w:color="auto" w:fill="C6E7F6"/>
          </w:tcPr>
          <w:p w14:paraId="4490A8ED" w14:textId="72F91541" w:rsidR="00C63DE6" w:rsidRPr="003E7289" w:rsidRDefault="00C63DE6" w:rsidP="00C63DE6">
            <w:pPr>
              <w:spacing w:before="0" w:line="240" w:lineRule="auto"/>
              <w:rPr>
                <w:rFonts w:ascii="Arial" w:hAnsi="Arial" w:cs="Arial"/>
                <w:b/>
                <w:bCs/>
                <w:sz w:val="20"/>
                <w:szCs w:val="20"/>
                <w:lang w:val="sq-AL"/>
              </w:rPr>
            </w:pPr>
            <w:r w:rsidRPr="003E7289">
              <w:rPr>
                <w:rFonts w:ascii="Arial" w:eastAsia="Aptos" w:hAnsi="Arial" w:cs="Arial"/>
                <w:b/>
                <w:bCs/>
                <w:sz w:val="20"/>
                <w:szCs w:val="20"/>
                <w:lang w:val="sq-AL"/>
              </w:rPr>
              <w:t>Nga kjo, kapital:</w:t>
            </w:r>
          </w:p>
        </w:tc>
        <w:tc>
          <w:tcPr>
            <w:tcW w:w="12198" w:type="dxa"/>
            <w:gridSpan w:val="12"/>
            <w:vAlign w:val="center"/>
          </w:tcPr>
          <w:p w14:paraId="7CAD5659" w14:textId="77777777" w:rsidR="00C63DE6" w:rsidRPr="003E7289" w:rsidRDefault="00C63DE6" w:rsidP="00C63DE6">
            <w:pPr>
              <w:spacing w:before="0" w:line="240" w:lineRule="auto"/>
              <w:jc w:val="center"/>
              <w:rPr>
                <w:rFonts w:ascii="Arial" w:hAnsi="Arial" w:cs="Arial"/>
                <w:b/>
                <w:bCs/>
                <w:color w:val="EE0000"/>
                <w:sz w:val="20"/>
                <w:szCs w:val="20"/>
                <w:lang w:val="sq-AL"/>
              </w:rPr>
            </w:pPr>
          </w:p>
        </w:tc>
      </w:tr>
      <w:tr w:rsidR="00C63DE6" w:rsidRPr="003E7289" w14:paraId="5DC5EEAA" w14:textId="77777777" w:rsidTr="00D42597">
        <w:tc>
          <w:tcPr>
            <w:tcW w:w="2970" w:type="dxa"/>
            <w:gridSpan w:val="2"/>
            <w:shd w:val="clear" w:color="auto" w:fill="C6E7F6"/>
          </w:tcPr>
          <w:p w14:paraId="6315BD34" w14:textId="25A0DFEB" w:rsidR="00C63DE6" w:rsidRPr="003E7289" w:rsidRDefault="00C63DE6" w:rsidP="00C63DE6">
            <w:pPr>
              <w:spacing w:before="0" w:line="240" w:lineRule="auto"/>
              <w:rPr>
                <w:rFonts w:ascii="Arial" w:hAnsi="Arial" w:cs="Arial"/>
                <w:b/>
                <w:bCs/>
                <w:sz w:val="20"/>
                <w:szCs w:val="20"/>
                <w:lang w:val="sq-AL"/>
              </w:rPr>
            </w:pPr>
            <w:r w:rsidRPr="003E7289">
              <w:rPr>
                <w:rFonts w:ascii="Arial" w:eastAsia="Aptos" w:hAnsi="Arial" w:cs="Arial"/>
                <w:b/>
                <w:bCs/>
                <w:sz w:val="20"/>
                <w:szCs w:val="20"/>
                <w:lang w:val="sq-AL"/>
              </w:rPr>
              <w:lastRenderedPageBreak/>
              <w:t>Nga kjo, shpenzime korrente:</w:t>
            </w:r>
          </w:p>
        </w:tc>
        <w:tc>
          <w:tcPr>
            <w:tcW w:w="12198" w:type="dxa"/>
            <w:gridSpan w:val="12"/>
            <w:vAlign w:val="center"/>
          </w:tcPr>
          <w:p w14:paraId="54084EDA" w14:textId="77777777" w:rsidR="00C63DE6" w:rsidRPr="003E7289" w:rsidRDefault="00C63DE6" w:rsidP="00C63DE6">
            <w:pPr>
              <w:spacing w:before="0" w:line="240" w:lineRule="auto"/>
              <w:jc w:val="center"/>
              <w:rPr>
                <w:rFonts w:ascii="Arial" w:hAnsi="Arial" w:cs="Arial"/>
                <w:b/>
                <w:bCs/>
                <w:color w:val="EE0000"/>
                <w:sz w:val="20"/>
                <w:szCs w:val="20"/>
                <w:lang w:val="sq-AL"/>
              </w:rPr>
            </w:pPr>
          </w:p>
        </w:tc>
      </w:tr>
      <w:tr w:rsidR="00B57EA9" w:rsidRPr="003E7289" w14:paraId="12AE9FE7" w14:textId="77777777" w:rsidTr="00A70686">
        <w:tc>
          <w:tcPr>
            <w:tcW w:w="993" w:type="dxa"/>
            <w:shd w:val="clear" w:color="auto" w:fill="0F4761"/>
            <w:vAlign w:val="center"/>
          </w:tcPr>
          <w:p w14:paraId="0D61D810" w14:textId="77777777" w:rsidR="00B57EA9" w:rsidRPr="003E7289" w:rsidRDefault="00B57EA9" w:rsidP="00B57EA9">
            <w:pPr>
              <w:spacing w:before="0" w:line="240" w:lineRule="auto"/>
              <w:jc w:val="center"/>
              <w:rPr>
                <w:rFonts w:ascii="Arial" w:hAnsi="Arial" w:cs="Arial"/>
                <w:b/>
                <w:bCs/>
                <w:color w:val="FFFFFF" w:themeColor="background1"/>
                <w:sz w:val="20"/>
                <w:szCs w:val="20"/>
                <w:lang w:val="sq-AL"/>
              </w:rPr>
            </w:pPr>
          </w:p>
        </w:tc>
        <w:tc>
          <w:tcPr>
            <w:tcW w:w="14175" w:type="dxa"/>
            <w:gridSpan w:val="13"/>
            <w:shd w:val="clear" w:color="auto" w:fill="0F4761"/>
            <w:vAlign w:val="center"/>
          </w:tcPr>
          <w:p w14:paraId="7DAA8B4A" w14:textId="4119940A" w:rsidR="00B57EA9" w:rsidRPr="003E7289" w:rsidRDefault="0040465B" w:rsidP="00B57EA9">
            <w:pPr>
              <w:spacing w:before="0" w:line="240" w:lineRule="auto"/>
              <w:jc w:val="center"/>
              <w:rPr>
                <w:rFonts w:ascii="Arial" w:hAnsi="Arial" w:cs="Arial"/>
                <w:b/>
                <w:bCs/>
                <w:color w:val="FFFFFF" w:themeColor="background1"/>
                <w:sz w:val="20"/>
                <w:szCs w:val="20"/>
                <w:lang w:val="sq-AL"/>
              </w:rPr>
            </w:pPr>
            <w:r w:rsidRPr="003E7289">
              <w:rPr>
                <w:rFonts w:ascii="Arial" w:hAnsi="Arial" w:cs="Arial"/>
                <w:b/>
                <w:bCs/>
                <w:color w:val="FFFFFF" w:themeColor="background1"/>
                <w:sz w:val="20"/>
                <w:szCs w:val="20"/>
                <w:lang w:val="sq-AL"/>
              </w:rPr>
              <w:t>Prioriteti kyç për përshtatje</w:t>
            </w:r>
            <w:r w:rsidR="00B57EA9" w:rsidRPr="003E7289">
              <w:rPr>
                <w:rFonts w:ascii="Arial" w:hAnsi="Arial" w:cs="Arial"/>
                <w:b/>
                <w:bCs/>
                <w:color w:val="FFFFFF" w:themeColor="background1"/>
                <w:sz w:val="20"/>
                <w:szCs w:val="20"/>
                <w:lang w:val="sq-AL"/>
              </w:rPr>
              <w:t xml:space="preserve">: </w:t>
            </w:r>
            <w:r w:rsidR="00E0225B" w:rsidRPr="003E7289">
              <w:rPr>
                <w:rFonts w:ascii="Arial" w:hAnsi="Arial" w:cs="Arial"/>
                <w:b/>
                <w:bCs/>
                <w:color w:val="FFFFFF" w:themeColor="background1"/>
                <w:sz w:val="20"/>
                <w:szCs w:val="20"/>
                <w:lang w:val="sq-AL"/>
              </w:rPr>
              <w:t>Forcimi i qëndrueshmërisë së rrjetit energjetik ndaj ndryshimeve klimatike;</w:t>
            </w:r>
          </w:p>
        </w:tc>
      </w:tr>
      <w:tr w:rsidR="00B57EA9" w:rsidRPr="003E7289" w14:paraId="6193385F" w14:textId="77777777" w:rsidTr="00A70686">
        <w:tc>
          <w:tcPr>
            <w:tcW w:w="993" w:type="dxa"/>
            <w:shd w:val="clear" w:color="auto" w:fill="84CCEC"/>
            <w:vAlign w:val="center"/>
          </w:tcPr>
          <w:p w14:paraId="50392ADF" w14:textId="0D511921" w:rsidR="00B57EA9" w:rsidRPr="003E7289" w:rsidRDefault="00B57EA9" w:rsidP="00B57EA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II.1</w:t>
            </w:r>
            <w:r w:rsidR="00E0225B" w:rsidRPr="003E7289">
              <w:rPr>
                <w:rFonts w:ascii="Arial" w:hAnsi="Arial" w:cs="Arial"/>
                <w:b/>
                <w:bCs/>
                <w:sz w:val="20"/>
                <w:szCs w:val="20"/>
                <w:lang w:val="sq-AL"/>
              </w:rPr>
              <w:t>9</w:t>
            </w:r>
          </w:p>
        </w:tc>
        <w:tc>
          <w:tcPr>
            <w:tcW w:w="14175" w:type="dxa"/>
            <w:gridSpan w:val="13"/>
            <w:shd w:val="clear" w:color="auto" w:fill="84CCEC"/>
            <w:vAlign w:val="center"/>
          </w:tcPr>
          <w:p w14:paraId="3C2E9191" w14:textId="704806BF" w:rsidR="00B57EA9" w:rsidRPr="003E7289" w:rsidRDefault="00A4252B" w:rsidP="00B57EA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Sigurimi ndaj klimës i infrastrukturës kritike të energjisë (termocentraleve, linjave të transmetimit, nënstacioneve) kundër përmbytjeve, valëve të të nxehtit dhe rreziqeve të tjera</w:t>
            </w:r>
          </w:p>
        </w:tc>
      </w:tr>
      <w:tr w:rsidR="00B57EA9" w:rsidRPr="003E7289" w14:paraId="6A201B4A" w14:textId="77777777" w:rsidTr="00D42597">
        <w:tc>
          <w:tcPr>
            <w:tcW w:w="2970" w:type="dxa"/>
            <w:gridSpan w:val="2"/>
            <w:vAlign w:val="center"/>
          </w:tcPr>
          <w:p w14:paraId="67E68667" w14:textId="654C841F" w:rsidR="00B57EA9" w:rsidRPr="003E7289" w:rsidRDefault="00712023" w:rsidP="00712023">
            <w:pPr>
              <w:pStyle w:val="Default"/>
              <w:rPr>
                <w:rFonts w:ascii="Arial" w:eastAsiaTheme="minorHAnsi" w:hAnsi="Arial" w:cs="Arial"/>
                <w:b/>
                <w:bCs/>
                <w:color w:val="auto"/>
                <w:kern w:val="2"/>
                <w:sz w:val="20"/>
                <w:szCs w:val="20"/>
                <w:lang w:val="sq-AL" w:eastAsia="en-US"/>
              </w:rPr>
            </w:pPr>
            <w:r w:rsidRPr="003E7289">
              <w:rPr>
                <w:rFonts w:ascii="Arial" w:eastAsiaTheme="minorHAnsi" w:hAnsi="Arial" w:cs="Arial"/>
                <w:b/>
                <w:bCs/>
                <w:color w:val="auto"/>
                <w:kern w:val="2"/>
                <w:sz w:val="20"/>
                <w:szCs w:val="20"/>
                <w:lang w:val="sq-AL" w:eastAsia="en-US"/>
              </w:rPr>
              <w:t>Përqindja e infrastrukturës kritike energjetike me masa adaptimi ndaj ndryshimeve klimatike të zbatuara (p.sh. mbrojtje nga përmbytjet, përmirësim i sistemeve të ftohjes, forcim ndaj erërave/stuhive)</w:t>
            </w:r>
          </w:p>
        </w:tc>
        <w:tc>
          <w:tcPr>
            <w:tcW w:w="1706" w:type="dxa"/>
            <w:gridSpan w:val="2"/>
            <w:vAlign w:val="center"/>
          </w:tcPr>
          <w:p w14:paraId="11BEFADB" w14:textId="178886EE" w:rsidR="00B57EA9" w:rsidRPr="003E7289" w:rsidRDefault="00712023" w:rsidP="00712023">
            <w:pPr>
              <w:spacing w:before="0" w:line="240" w:lineRule="auto"/>
              <w:rPr>
                <w:rFonts w:ascii="Arial" w:hAnsi="Arial" w:cs="Arial"/>
                <w:b/>
                <w:bCs/>
                <w:sz w:val="20"/>
                <w:szCs w:val="20"/>
                <w:lang w:val="sq-AL"/>
              </w:rPr>
            </w:pPr>
            <w:r w:rsidRPr="003E7289">
              <w:rPr>
                <w:rFonts w:ascii="Arial" w:hAnsi="Arial" w:cs="Arial"/>
                <w:b/>
                <w:bCs/>
                <w:sz w:val="20"/>
                <w:szCs w:val="20"/>
                <w:lang w:val="sq-AL"/>
              </w:rPr>
              <w:t>Gjendja fillestare:</w:t>
            </w:r>
            <w:r w:rsidRPr="003E7289">
              <w:rPr>
                <w:rFonts w:ascii="Arial" w:hAnsi="Arial" w:cs="Arial"/>
                <w:sz w:val="20"/>
                <w:szCs w:val="20"/>
                <w:lang w:val="sq-AL"/>
              </w:rPr>
              <w:t xml:space="preserve"> Më pak se 10% (masa të rastësishme në disa vende; shumica e infrastrukturës nuk ka elemente të dedikuara për adaptim klimatik).</w:t>
            </w:r>
          </w:p>
        </w:tc>
        <w:tc>
          <w:tcPr>
            <w:tcW w:w="2700" w:type="dxa"/>
            <w:gridSpan w:val="4"/>
            <w:vAlign w:val="center"/>
          </w:tcPr>
          <w:p w14:paraId="66AA6A70" w14:textId="19BDB1F2" w:rsidR="00B57EA9" w:rsidRPr="003E7289" w:rsidRDefault="00712023" w:rsidP="00712023">
            <w:pPr>
              <w:spacing w:before="0" w:line="240" w:lineRule="auto"/>
              <w:rPr>
                <w:rFonts w:ascii="Arial" w:hAnsi="Arial" w:cs="Arial"/>
                <w:b/>
                <w:bCs/>
                <w:sz w:val="20"/>
                <w:szCs w:val="20"/>
                <w:lang w:val="sq-AL"/>
              </w:rPr>
            </w:pPr>
            <w:r w:rsidRPr="003E7289">
              <w:rPr>
                <w:rFonts w:ascii="Arial" w:hAnsi="Arial" w:cs="Arial"/>
                <w:sz w:val="20"/>
                <w:szCs w:val="20"/>
                <w:lang w:val="sq-AL"/>
              </w:rPr>
              <w:t>30% e objekteve kritike janë të përshtatura ndaj klimës (p.sh. barrierat kundër përmbytjeve janë shtuar në nënstacione kryesore, sistemet e ftohjes janë përmirësuar në termocentrale).</w:t>
            </w:r>
          </w:p>
        </w:tc>
        <w:tc>
          <w:tcPr>
            <w:tcW w:w="1559" w:type="dxa"/>
            <w:vAlign w:val="center"/>
          </w:tcPr>
          <w:p w14:paraId="32C24472" w14:textId="1D6BA14C" w:rsidR="00B57EA9" w:rsidRPr="003E7289" w:rsidRDefault="00712023" w:rsidP="00712023">
            <w:pPr>
              <w:spacing w:before="0" w:line="240" w:lineRule="auto"/>
              <w:rPr>
                <w:rFonts w:ascii="Arial" w:hAnsi="Arial" w:cs="Arial"/>
                <w:b/>
                <w:bCs/>
                <w:sz w:val="20"/>
                <w:szCs w:val="20"/>
                <w:lang w:val="sq-AL"/>
              </w:rPr>
            </w:pPr>
            <w:r w:rsidRPr="003E7289">
              <w:rPr>
                <w:rFonts w:ascii="Arial" w:hAnsi="Arial" w:cs="Arial"/>
                <w:sz w:val="20"/>
                <w:szCs w:val="20"/>
                <w:lang w:val="sq-AL"/>
              </w:rPr>
              <w:t>Është arritur 75% përshtatje ndaj klimës (të gjitha objektet me përparësi të lartë janë modernizuar; standardet për rrezikun klimatik janë integruar në projektet e reja).</w:t>
            </w:r>
          </w:p>
        </w:tc>
        <w:tc>
          <w:tcPr>
            <w:tcW w:w="6233" w:type="dxa"/>
            <w:gridSpan w:val="5"/>
            <w:vAlign w:val="center"/>
          </w:tcPr>
          <w:p w14:paraId="61C8A99F" w14:textId="3708EDCF" w:rsidR="00B57EA9" w:rsidRPr="003E7289" w:rsidRDefault="00712023" w:rsidP="00712023">
            <w:pPr>
              <w:spacing w:before="0" w:line="240" w:lineRule="auto"/>
              <w:rPr>
                <w:rFonts w:ascii="Arial" w:hAnsi="Arial" w:cs="Arial"/>
                <w:b/>
                <w:bCs/>
                <w:sz w:val="20"/>
                <w:szCs w:val="20"/>
                <w:lang w:val="sq-AL"/>
              </w:rPr>
            </w:pPr>
            <w:r w:rsidRPr="003E7289">
              <w:rPr>
                <w:rFonts w:ascii="Arial" w:hAnsi="Arial" w:cs="Arial"/>
                <w:sz w:val="20"/>
                <w:szCs w:val="20"/>
                <w:lang w:val="sq-AL"/>
              </w:rPr>
              <w:t>100% e infrastrukturës kritike është përshtatur me standardet klimatike (projektimet rezistente janë të universale; rinovimet për asetet e vjetra janë përfunduar).</w:t>
            </w:r>
          </w:p>
        </w:tc>
      </w:tr>
      <w:tr w:rsidR="000D1635" w:rsidRPr="003E7289" w14:paraId="44226F7F" w14:textId="77777777" w:rsidTr="004807C9">
        <w:trPr>
          <w:trHeight w:val="195"/>
        </w:trPr>
        <w:tc>
          <w:tcPr>
            <w:tcW w:w="993" w:type="dxa"/>
            <w:vMerge w:val="restart"/>
            <w:shd w:val="clear" w:color="auto" w:fill="C6E7F6"/>
            <w:vAlign w:val="center"/>
          </w:tcPr>
          <w:p w14:paraId="6CC3E09D" w14:textId="373004AD"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Nr.</w:t>
            </w:r>
          </w:p>
        </w:tc>
        <w:tc>
          <w:tcPr>
            <w:tcW w:w="1977" w:type="dxa"/>
            <w:vMerge w:val="restart"/>
            <w:shd w:val="clear" w:color="auto" w:fill="C6E7F6"/>
            <w:vAlign w:val="center"/>
          </w:tcPr>
          <w:p w14:paraId="318CD51B" w14:textId="79C76BF5"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Veprimi</w:t>
            </w:r>
          </w:p>
        </w:tc>
        <w:tc>
          <w:tcPr>
            <w:tcW w:w="1706" w:type="dxa"/>
            <w:gridSpan w:val="2"/>
            <w:vMerge w:val="restart"/>
            <w:shd w:val="clear" w:color="auto" w:fill="C6E7F6"/>
            <w:vAlign w:val="center"/>
          </w:tcPr>
          <w:p w14:paraId="02D84035" w14:textId="070621DA"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Afati I fundit</w:t>
            </w:r>
          </w:p>
        </w:tc>
        <w:tc>
          <w:tcPr>
            <w:tcW w:w="2700" w:type="dxa"/>
            <w:gridSpan w:val="4"/>
            <w:shd w:val="clear" w:color="auto" w:fill="C6E7F6"/>
            <w:vAlign w:val="center"/>
          </w:tcPr>
          <w:p w14:paraId="3D23EB19" w14:textId="626348E4"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Buxheti</w:t>
            </w:r>
          </w:p>
        </w:tc>
        <w:tc>
          <w:tcPr>
            <w:tcW w:w="1559" w:type="dxa"/>
            <w:vMerge w:val="restart"/>
            <w:shd w:val="clear" w:color="auto" w:fill="C6E7F6"/>
            <w:vAlign w:val="center"/>
          </w:tcPr>
          <w:p w14:paraId="25FF009E" w14:textId="3ED3B568"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Burimi i financimit</w:t>
            </w:r>
          </w:p>
        </w:tc>
        <w:tc>
          <w:tcPr>
            <w:tcW w:w="1415" w:type="dxa"/>
            <w:vMerge w:val="restart"/>
            <w:shd w:val="clear" w:color="auto" w:fill="C6E7F6"/>
            <w:vAlign w:val="center"/>
          </w:tcPr>
          <w:p w14:paraId="42C77268" w14:textId="59AD4B58"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Institucionet përgjegjëse dhe partnere</w:t>
            </w:r>
          </w:p>
        </w:tc>
        <w:tc>
          <w:tcPr>
            <w:tcW w:w="1418" w:type="dxa"/>
            <w:vMerge w:val="restart"/>
            <w:shd w:val="clear" w:color="auto" w:fill="C6E7F6"/>
            <w:vAlign w:val="center"/>
          </w:tcPr>
          <w:p w14:paraId="787CE4C8" w14:textId="22E6D686"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Rezultati i pritur</w:t>
            </w:r>
          </w:p>
        </w:tc>
        <w:tc>
          <w:tcPr>
            <w:tcW w:w="3400" w:type="dxa"/>
            <w:gridSpan w:val="3"/>
            <w:vMerge w:val="restart"/>
            <w:shd w:val="clear" w:color="auto" w:fill="C6E7F6"/>
            <w:vAlign w:val="center"/>
          </w:tcPr>
          <w:p w14:paraId="6A61C729" w14:textId="539F1EE8" w:rsidR="000D1635" w:rsidRPr="003E7289" w:rsidRDefault="000D1635" w:rsidP="000D1635">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Dokumenti strategjik referues</w:t>
            </w:r>
          </w:p>
        </w:tc>
      </w:tr>
      <w:tr w:rsidR="00B57EA9" w:rsidRPr="003E7289" w14:paraId="2A483184" w14:textId="77777777" w:rsidTr="004807C9">
        <w:trPr>
          <w:trHeight w:val="195"/>
        </w:trPr>
        <w:tc>
          <w:tcPr>
            <w:tcW w:w="993" w:type="dxa"/>
            <w:vMerge/>
            <w:vAlign w:val="center"/>
          </w:tcPr>
          <w:p w14:paraId="781C41C9" w14:textId="77777777" w:rsidR="00B57EA9" w:rsidRPr="003E7289" w:rsidRDefault="00B57EA9" w:rsidP="00B57EA9">
            <w:pPr>
              <w:spacing w:before="0" w:line="240" w:lineRule="auto"/>
              <w:jc w:val="center"/>
              <w:rPr>
                <w:rFonts w:ascii="Arial" w:hAnsi="Arial" w:cs="Arial"/>
                <w:sz w:val="20"/>
                <w:szCs w:val="20"/>
                <w:lang w:val="sq-AL"/>
              </w:rPr>
            </w:pPr>
          </w:p>
        </w:tc>
        <w:tc>
          <w:tcPr>
            <w:tcW w:w="1977" w:type="dxa"/>
            <w:vMerge/>
            <w:vAlign w:val="center"/>
          </w:tcPr>
          <w:p w14:paraId="6F14B660" w14:textId="77777777" w:rsidR="00B57EA9" w:rsidRPr="003E7289" w:rsidRDefault="00B57EA9" w:rsidP="00B57EA9">
            <w:pPr>
              <w:spacing w:before="0" w:line="240" w:lineRule="auto"/>
              <w:jc w:val="center"/>
              <w:rPr>
                <w:rFonts w:ascii="Arial" w:hAnsi="Arial" w:cs="Arial"/>
                <w:b/>
                <w:bCs/>
                <w:sz w:val="20"/>
                <w:szCs w:val="20"/>
                <w:lang w:val="sq-AL"/>
              </w:rPr>
            </w:pPr>
          </w:p>
        </w:tc>
        <w:tc>
          <w:tcPr>
            <w:tcW w:w="1706" w:type="dxa"/>
            <w:gridSpan w:val="2"/>
            <w:vMerge/>
            <w:vAlign w:val="center"/>
          </w:tcPr>
          <w:p w14:paraId="08A5728C" w14:textId="77777777" w:rsidR="00B57EA9" w:rsidRPr="003E7289" w:rsidRDefault="00B57EA9" w:rsidP="00B57EA9">
            <w:pPr>
              <w:spacing w:before="0" w:line="240" w:lineRule="auto"/>
              <w:jc w:val="center"/>
              <w:rPr>
                <w:rFonts w:ascii="Arial" w:hAnsi="Arial" w:cs="Arial"/>
                <w:b/>
                <w:bCs/>
                <w:sz w:val="20"/>
                <w:szCs w:val="20"/>
                <w:lang w:val="sq-AL"/>
              </w:rPr>
            </w:pPr>
          </w:p>
        </w:tc>
        <w:tc>
          <w:tcPr>
            <w:tcW w:w="902" w:type="dxa"/>
            <w:shd w:val="clear" w:color="auto" w:fill="C6E7F6"/>
            <w:vAlign w:val="center"/>
          </w:tcPr>
          <w:p w14:paraId="4E28071A" w14:textId="77777777" w:rsidR="00B57EA9" w:rsidRPr="003E7289" w:rsidRDefault="00B57EA9" w:rsidP="00B57EA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2026</w:t>
            </w:r>
          </w:p>
        </w:tc>
        <w:tc>
          <w:tcPr>
            <w:tcW w:w="900" w:type="dxa"/>
            <w:shd w:val="clear" w:color="auto" w:fill="C6E7F6"/>
            <w:vAlign w:val="center"/>
          </w:tcPr>
          <w:p w14:paraId="70A54AA8" w14:textId="77777777" w:rsidR="00B57EA9" w:rsidRPr="003E7289" w:rsidRDefault="00B57EA9" w:rsidP="00B57EA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2027</w:t>
            </w:r>
          </w:p>
        </w:tc>
        <w:tc>
          <w:tcPr>
            <w:tcW w:w="898" w:type="dxa"/>
            <w:gridSpan w:val="2"/>
            <w:shd w:val="clear" w:color="auto" w:fill="C6E7F6"/>
            <w:vAlign w:val="center"/>
          </w:tcPr>
          <w:p w14:paraId="102E038C" w14:textId="77777777" w:rsidR="00B57EA9" w:rsidRPr="003E7289" w:rsidRDefault="00B57EA9" w:rsidP="00B57EA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2028</w:t>
            </w:r>
          </w:p>
        </w:tc>
        <w:tc>
          <w:tcPr>
            <w:tcW w:w="1559" w:type="dxa"/>
            <w:vMerge/>
            <w:vAlign w:val="center"/>
          </w:tcPr>
          <w:p w14:paraId="504AD6B8" w14:textId="77777777" w:rsidR="00B57EA9" w:rsidRPr="003E7289" w:rsidRDefault="00B57EA9" w:rsidP="00B57EA9">
            <w:pPr>
              <w:spacing w:before="0" w:line="240" w:lineRule="auto"/>
              <w:jc w:val="center"/>
              <w:rPr>
                <w:rFonts w:ascii="Arial" w:hAnsi="Arial" w:cs="Arial"/>
                <w:b/>
                <w:bCs/>
                <w:sz w:val="20"/>
                <w:szCs w:val="20"/>
                <w:lang w:val="sq-AL"/>
              </w:rPr>
            </w:pPr>
          </w:p>
        </w:tc>
        <w:tc>
          <w:tcPr>
            <w:tcW w:w="1415" w:type="dxa"/>
            <w:vMerge/>
            <w:vAlign w:val="center"/>
          </w:tcPr>
          <w:p w14:paraId="621C27E9" w14:textId="77777777" w:rsidR="00B57EA9" w:rsidRPr="003E7289" w:rsidRDefault="00B57EA9" w:rsidP="00B57EA9">
            <w:pPr>
              <w:spacing w:before="0" w:line="240" w:lineRule="auto"/>
              <w:jc w:val="center"/>
              <w:rPr>
                <w:rFonts w:ascii="Arial" w:hAnsi="Arial" w:cs="Arial"/>
                <w:b/>
                <w:bCs/>
                <w:sz w:val="20"/>
                <w:szCs w:val="20"/>
                <w:lang w:val="sq-AL"/>
              </w:rPr>
            </w:pPr>
          </w:p>
        </w:tc>
        <w:tc>
          <w:tcPr>
            <w:tcW w:w="1418" w:type="dxa"/>
            <w:vMerge/>
            <w:vAlign w:val="center"/>
          </w:tcPr>
          <w:p w14:paraId="6D33F207" w14:textId="77777777" w:rsidR="00B57EA9" w:rsidRPr="003E7289" w:rsidRDefault="00B57EA9" w:rsidP="00B57EA9">
            <w:pPr>
              <w:spacing w:before="0" w:line="240" w:lineRule="auto"/>
              <w:jc w:val="center"/>
              <w:rPr>
                <w:rFonts w:ascii="Arial" w:hAnsi="Arial" w:cs="Arial"/>
                <w:b/>
                <w:bCs/>
                <w:sz w:val="20"/>
                <w:szCs w:val="20"/>
                <w:lang w:val="sq-AL"/>
              </w:rPr>
            </w:pPr>
          </w:p>
        </w:tc>
        <w:tc>
          <w:tcPr>
            <w:tcW w:w="3400" w:type="dxa"/>
            <w:gridSpan w:val="3"/>
            <w:vMerge/>
            <w:vAlign w:val="center"/>
          </w:tcPr>
          <w:p w14:paraId="7CD8F551" w14:textId="77777777" w:rsidR="00B57EA9" w:rsidRPr="003E7289" w:rsidRDefault="00B57EA9" w:rsidP="00B57EA9">
            <w:pPr>
              <w:spacing w:before="0" w:line="240" w:lineRule="auto"/>
              <w:jc w:val="center"/>
              <w:rPr>
                <w:rFonts w:ascii="Arial" w:hAnsi="Arial" w:cs="Arial"/>
                <w:b/>
                <w:bCs/>
                <w:sz w:val="20"/>
                <w:szCs w:val="20"/>
                <w:lang w:val="sq-AL"/>
              </w:rPr>
            </w:pPr>
          </w:p>
        </w:tc>
      </w:tr>
      <w:tr w:rsidR="00712023" w:rsidRPr="003E7289" w14:paraId="2B9AABF0" w14:textId="77777777" w:rsidTr="004807C9">
        <w:tc>
          <w:tcPr>
            <w:tcW w:w="993" w:type="dxa"/>
            <w:vAlign w:val="center"/>
          </w:tcPr>
          <w:p w14:paraId="2EA06FFE" w14:textId="7B3DC420"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II.1</w:t>
            </w:r>
            <w:r w:rsidR="00E0225B" w:rsidRPr="003E7289">
              <w:rPr>
                <w:rFonts w:ascii="Arial" w:hAnsi="Arial" w:cs="Arial"/>
                <w:b/>
                <w:bCs/>
                <w:sz w:val="20"/>
                <w:szCs w:val="20"/>
                <w:lang w:val="sq-AL"/>
              </w:rPr>
              <w:t>9</w:t>
            </w:r>
            <w:r w:rsidRPr="003E7289">
              <w:rPr>
                <w:rFonts w:ascii="Arial" w:hAnsi="Arial" w:cs="Arial"/>
                <w:b/>
                <w:bCs/>
                <w:sz w:val="20"/>
                <w:szCs w:val="20"/>
                <w:lang w:val="sq-AL"/>
              </w:rPr>
              <w:t>.1</w:t>
            </w:r>
          </w:p>
        </w:tc>
        <w:tc>
          <w:tcPr>
            <w:tcW w:w="1977" w:type="dxa"/>
            <w:vAlign w:val="center"/>
          </w:tcPr>
          <w:p w14:paraId="5BF53159" w14:textId="73158441"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Vlerësimi i rrezikut dhe përcaktimi i përparësive për infrastrukturën kritike energjetike</w:t>
            </w:r>
          </w:p>
        </w:tc>
        <w:tc>
          <w:tcPr>
            <w:tcW w:w="1706" w:type="dxa"/>
            <w:gridSpan w:val="2"/>
            <w:vAlign w:val="center"/>
          </w:tcPr>
          <w:p w14:paraId="68730782" w14:textId="77777777"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2027</w:t>
            </w:r>
          </w:p>
        </w:tc>
        <w:tc>
          <w:tcPr>
            <w:tcW w:w="902" w:type="dxa"/>
            <w:vAlign w:val="center"/>
          </w:tcPr>
          <w:p w14:paraId="1FF400D0" w14:textId="26C11C14"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~15 – 20 mil€</w:t>
            </w:r>
          </w:p>
        </w:tc>
        <w:tc>
          <w:tcPr>
            <w:tcW w:w="900" w:type="dxa"/>
            <w:vAlign w:val="center"/>
          </w:tcPr>
          <w:p w14:paraId="6ECFE554" w14:textId="77777777" w:rsidR="00712023" w:rsidRPr="003E7289" w:rsidRDefault="00712023" w:rsidP="00712023">
            <w:pPr>
              <w:spacing w:before="0" w:line="240" w:lineRule="auto"/>
              <w:jc w:val="center"/>
              <w:rPr>
                <w:rFonts w:ascii="Arial" w:hAnsi="Arial" w:cs="Arial"/>
                <w:sz w:val="20"/>
                <w:szCs w:val="20"/>
                <w:lang w:val="sq-AL"/>
              </w:rPr>
            </w:pPr>
          </w:p>
        </w:tc>
        <w:tc>
          <w:tcPr>
            <w:tcW w:w="898" w:type="dxa"/>
            <w:gridSpan w:val="2"/>
            <w:vAlign w:val="center"/>
          </w:tcPr>
          <w:p w14:paraId="389DC971" w14:textId="77777777" w:rsidR="00712023" w:rsidRPr="003E7289" w:rsidRDefault="00712023" w:rsidP="00712023">
            <w:pPr>
              <w:spacing w:before="0" w:line="240" w:lineRule="auto"/>
              <w:jc w:val="center"/>
              <w:rPr>
                <w:rFonts w:ascii="Arial" w:hAnsi="Arial" w:cs="Arial"/>
                <w:sz w:val="20"/>
                <w:szCs w:val="20"/>
                <w:lang w:val="sq-AL"/>
              </w:rPr>
            </w:pPr>
          </w:p>
        </w:tc>
        <w:tc>
          <w:tcPr>
            <w:tcW w:w="1559" w:type="dxa"/>
            <w:vAlign w:val="center"/>
          </w:tcPr>
          <w:p w14:paraId="1845CCB2" w14:textId="77777777" w:rsidR="00712023" w:rsidRPr="003E7289" w:rsidRDefault="00712023" w:rsidP="00712023">
            <w:pPr>
              <w:spacing w:before="0" w:line="240" w:lineRule="auto"/>
              <w:jc w:val="center"/>
              <w:rPr>
                <w:rFonts w:ascii="Arial" w:hAnsi="Arial" w:cs="Arial"/>
                <w:b/>
                <w:bCs/>
                <w:sz w:val="20"/>
                <w:szCs w:val="20"/>
                <w:lang w:val="sq-AL"/>
              </w:rPr>
            </w:pPr>
          </w:p>
        </w:tc>
        <w:tc>
          <w:tcPr>
            <w:tcW w:w="1415" w:type="dxa"/>
            <w:vMerge w:val="restart"/>
            <w:vAlign w:val="center"/>
          </w:tcPr>
          <w:p w14:paraId="7702FC2C"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Qeveria e Kosovës</w:t>
            </w:r>
          </w:p>
          <w:p w14:paraId="4891161A"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Ministria e Ekonomisë</w:t>
            </w:r>
          </w:p>
          <w:p w14:paraId="0109AF80"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 xml:space="preserve"> Ministria e Financave</w:t>
            </w:r>
          </w:p>
          <w:p w14:paraId="6B9E82FC"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Fondi për Efiçiencë të Energjisë i Kosovës</w:t>
            </w:r>
          </w:p>
          <w:p w14:paraId="3B13F44F"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KEK</w:t>
            </w:r>
          </w:p>
          <w:p w14:paraId="07905C56"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Zyra e Rregullatorit për Energji (ERO)</w:t>
            </w:r>
          </w:p>
          <w:p w14:paraId="4832F65B"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lastRenderedPageBreak/>
              <w:t>Operator i Sistemit, Transmetimit dhe Tregut të Energjisë Elektrike (KOSTT)</w:t>
            </w:r>
          </w:p>
          <w:p w14:paraId="6621D3DA"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Kompania për Distribuimin e Energjisë Elektrike në Kosovë (KEDS)</w:t>
            </w:r>
          </w:p>
          <w:p w14:paraId="48CA7792" w14:textId="3AC94762" w:rsidR="00712023" w:rsidRPr="003E7289" w:rsidRDefault="00712023" w:rsidP="00F36447">
            <w:pPr>
              <w:pStyle w:val="ListParagraph"/>
              <w:numPr>
                <w:ilvl w:val="0"/>
                <w:numId w:val="27"/>
              </w:numPr>
              <w:spacing w:before="0" w:line="240" w:lineRule="auto"/>
              <w:ind w:left="139" w:hanging="180"/>
              <w:rPr>
                <w:rFonts w:ascii="Arial" w:hAnsi="Arial" w:cs="Arial"/>
                <w:b/>
                <w:bCs/>
                <w:color w:val="EE0000"/>
                <w:sz w:val="20"/>
                <w:szCs w:val="20"/>
                <w:lang w:val="sq-AL"/>
              </w:rPr>
            </w:pPr>
            <w:r w:rsidRPr="003E7289">
              <w:rPr>
                <w:rFonts w:ascii="Arial" w:hAnsi="Arial" w:cs="Arial"/>
                <w:color w:val="000000" w:themeColor="text1"/>
                <w:sz w:val="20"/>
                <w:szCs w:val="20"/>
                <w:lang w:val="sq-AL"/>
              </w:rPr>
              <w:t>Ngrohtorja e qytetit – DH Termokos</w:t>
            </w:r>
          </w:p>
        </w:tc>
        <w:tc>
          <w:tcPr>
            <w:tcW w:w="1418" w:type="dxa"/>
            <w:vAlign w:val="center"/>
          </w:tcPr>
          <w:p w14:paraId="1A59EAA4" w14:textId="701C3CDC"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lastRenderedPageBreak/>
              <w:t xml:space="preserve">Harta e rrezikut klimatik dhe e përparësimit për infrastrukturën energjetike; krijimi i një pipeline investimesh për masat e adaptimit, që vendos bazat për përmirësimin e ~30% të objekteve me përparësi të </w:t>
            </w:r>
            <w:r w:rsidRPr="003E7289">
              <w:rPr>
                <w:rFonts w:ascii="Arial" w:hAnsi="Arial" w:cs="Arial"/>
                <w:sz w:val="20"/>
                <w:szCs w:val="20"/>
                <w:lang w:val="sq-AL"/>
              </w:rPr>
              <w:lastRenderedPageBreak/>
              <w:t>lartë deri në vitin 2030.</w:t>
            </w:r>
          </w:p>
        </w:tc>
        <w:tc>
          <w:tcPr>
            <w:tcW w:w="3400" w:type="dxa"/>
            <w:gridSpan w:val="3"/>
            <w:vAlign w:val="center"/>
          </w:tcPr>
          <w:p w14:paraId="068B5DD0" w14:textId="77777777"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lastRenderedPageBreak/>
              <w:t>NECP + KOST, KEK</w:t>
            </w:r>
          </w:p>
        </w:tc>
      </w:tr>
      <w:tr w:rsidR="00712023" w:rsidRPr="003E7289" w14:paraId="4CC87F09" w14:textId="77777777" w:rsidTr="004807C9">
        <w:tc>
          <w:tcPr>
            <w:tcW w:w="993" w:type="dxa"/>
            <w:vAlign w:val="center"/>
          </w:tcPr>
          <w:p w14:paraId="67C2D294" w14:textId="0B9A0839"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lastRenderedPageBreak/>
              <w:t>II.1</w:t>
            </w:r>
            <w:r w:rsidR="00E0225B" w:rsidRPr="003E7289">
              <w:rPr>
                <w:rFonts w:ascii="Arial" w:hAnsi="Arial" w:cs="Arial"/>
                <w:b/>
                <w:bCs/>
                <w:sz w:val="20"/>
                <w:szCs w:val="20"/>
                <w:lang w:val="sq-AL"/>
              </w:rPr>
              <w:t>9</w:t>
            </w:r>
            <w:r w:rsidRPr="003E7289">
              <w:rPr>
                <w:rFonts w:ascii="Arial" w:hAnsi="Arial" w:cs="Arial"/>
                <w:b/>
                <w:bCs/>
                <w:sz w:val="20"/>
                <w:szCs w:val="20"/>
                <w:lang w:val="sq-AL"/>
              </w:rPr>
              <w:t>.2</w:t>
            </w:r>
          </w:p>
        </w:tc>
        <w:tc>
          <w:tcPr>
            <w:tcW w:w="1977" w:type="dxa"/>
            <w:vAlign w:val="center"/>
          </w:tcPr>
          <w:p w14:paraId="3815610A" w14:textId="4DA5011A"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Zbatimi i përmirësimeve fizike në nënstacionet dhe termocentralet me përparësi</w:t>
            </w:r>
          </w:p>
        </w:tc>
        <w:tc>
          <w:tcPr>
            <w:tcW w:w="1706" w:type="dxa"/>
            <w:gridSpan w:val="2"/>
            <w:vAlign w:val="center"/>
          </w:tcPr>
          <w:p w14:paraId="27389E57" w14:textId="77777777"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2030</w:t>
            </w:r>
          </w:p>
        </w:tc>
        <w:tc>
          <w:tcPr>
            <w:tcW w:w="902" w:type="dxa"/>
            <w:vAlign w:val="center"/>
          </w:tcPr>
          <w:p w14:paraId="421F440D" w14:textId="77777777" w:rsidR="00712023" w:rsidRPr="003E7289" w:rsidRDefault="00712023" w:rsidP="00712023">
            <w:pPr>
              <w:spacing w:before="0" w:line="240" w:lineRule="auto"/>
              <w:jc w:val="center"/>
              <w:rPr>
                <w:rFonts w:ascii="Arial" w:hAnsi="Arial" w:cs="Arial"/>
                <w:sz w:val="20"/>
                <w:szCs w:val="20"/>
                <w:lang w:val="sq-AL"/>
              </w:rPr>
            </w:pPr>
          </w:p>
        </w:tc>
        <w:tc>
          <w:tcPr>
            <w:tcW w:w="900" w:type="dxa"/>
            <w:vAlign w:val="center"/>
          </w:tcPr>
          <w:p w14:paraId="44827566" w14:textId="1AF037DA"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~50 -  60 mil €</w:t>
            </w:r>
          </w:p>
        </w:tc>
        <w:tc>
          <w:tcPr>
            <w:tcW w:w="898" w:type="dxa"/>
            <w:gridSpan w:val="2"/>
            <w:vAlign w:val="center"/>
          </w:tcPr>
          <w:p w14:paraId="5BDE9941" w14:textId="77777777" w:rsidR="00712023" w:rsidRPr="003E7289" w:rsidRDefault="00712023" w:rsidP="00712023">
            <w:pPr>
              <w:spacing w:before="0" w:line="240" w:lineRule="auto"/>
              <w:jc w:val="center"/>
              <w:rPr>
                <w:rFonts w:ascii="Arial" w:hAnsi="Arial" w:cs="Arial"/>
                <w:sz w:val="20"/>
                <w:szCs w:val="20"/>
                <w:lang w:val="sq-AL"/>
              </w:rPr>
            </w:pPr>
          </w:p>
        </w:tc>
        <w:tc>
          <w:tcPr>
            <w:tcW w:w="1559" w:type="dxa"/>
            <w:vAlign w:val="center"/>
          </w:tcPr>
          <w:p w14:paraId="05AA2C3B" w14:textId="77777777" w:rsidR="00712023" w:rsidRPr="003E7289" w:rsidRDefault="00712023" w:rsidP="00712023">
            <w:pPr>
              <w:spacing w:before="0" w:line="240" w:lineRule="auto"/>
              <w:jc w:val="center"/>
              <w:rPr>
                <w:rFonts w:ascii="Arial" w:hAnsi="Arial" w:cs="Arial"/>
                <w:b/>
                <w:bCs/>
                <w:sz w:val="20"/>
                <w:szCs w:val="20"/>
                <w:lang w:val="sq-AL"/>
              </w:rPr>
            </w:pPr>
          </w:p>
        </w:tc>
        <w:tc>
          <w:tcPr>
            <w:tcW w:w="1415" w:type="dxa"/>
            <w:vMerge/>
            <w:vAlign w:val="center"/>
          </w:tcPr>
          <w:p w14:paraId="6C6F9033" w14:textId="77777777" w:rsidR="00712023" w:rsidRPr="003E7289" w:rsidRDefault="00712023" w:rsidP="00712023">
            <w:pPr>
              <w:spacing w:before="0" w:line="240" w:lineRule="auto"/>
              <w:jc w:val="center"/>
              <w:rPr>
                <w:rFonts w:ascii="Arial" w:hAnsi="Arial" w:cs="Arial"/>
                <w:b/>
                <w:bCs/>
                <w:sz w:val="20"/>
                <w:szCs w:val="20"/>
                <w:lang w:val="sq-AL"/>
              </w:rPr>
            </w:pPr>
          </w:p>
        </w:tc>
        <w:tc>
          <w:tcPr>
            <w:tcW w:w="1418" w:type="dxa"/>
            <w:vAlign w:val="center"/>
          </w:tcPr>
          <w:p w14:paraId="0EFBDA49" w14:textId="709D09CB"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30% e objekteve kritike të përmirësuara me veçori rezistente ndaj klimës dhe funksionale gjatë ngjarjeve ekstreme të motit.</w:t>
            </w:r>
          </w:p>
        </w:tc>
        <w:tc>
          <w:tcPr>
            <w:tcW w:w="3400" w:type="dxa"/>
            <w:gridSpan w:val="3"/>
            <w:vAlign w:val="center"/>
          </w:tcPr>
          <w:p w14:paraId="6EF1C968" w14:textId="77777777"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NECP + KOST, KEK</w:t>
            </w:r>
          </w:p>
        </w:tc>
      </w:tr>
      <w:tr w:rsidR="00712023" w:rsidRPr="003E7289" w14:paraId="1ED1B067" w14:textId="77777777" w:rsidTr="004807C9">
        <w:tc>
          <w:tcPr>
            <w:tcW w:w="993" w:type="dxa"/>
            <w:vAlign w:val="center"/>
          </w:tcPr>
          <w:p w14:paraId="42BE579B" w14:textId="2F3A2B4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II.1</w:t>
            </w:r>
            <w:r w:rsidR="00E0225B" w:rsidRPr="003E7289">
              <w:rPr>
                <w:rFonts w:ascii="Arial" w:hAnsi="Arial" w:cs="Arial"/>
                <w:b/>
                <w:bCs/>
                <w:sz w:val="20"/>
                <w:szCs w:val="20"/>
                <w:lang w:val="sq-AL"/>
              </w:rPr>
              <w:t>9</w:t>
            </w:r>
            <w:r w:rsidRPr="003E7289">
              <w:rPr>
                <w:rFonts w:ascii="Arial" w:hAnsi="Arial" w:cs="Arial"/>
                <w:b/>
                <w:bCs/>
                <w:sz w:val="20"/>
                <w:szCs w:val="20"/>
                <w:lang w:val="sq-AL"/>
              </w:rPr>
              <w:t>.3</w:t>
            </w:r>
          </w:p>
        </w:tc>
        <w:tc>
          <w:tcPr>
            <w:tcW w:w="1977" w:type="dxa"/>
            <w:vAlign w:val="center"/>
          </w:tcPr>
          <w:p w14:paraId="1B33BF43" w14:textId="1FED0BB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Përmirësim në të gjithë vendin dhe integrim i standardeve të projektimit rezilient ndaj klimës</w:t>
            </w:r>
          </w:p>
        </w:tc>
        <w:tc>
          <w:tcPr>
            <w:tcW w:w="1706" w:type="dxa"/>
            <w:gridSpan w:val="2"/>
            <w:vAlign w:val="center"/>
          </w:tcPr>
          <w:p w14:paraId="2B3D1AAC" w14:textId="77777777"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2040</w:t>
            </w:r>
          </w:p>
        </w:tc>
        <w:tc>
          <w:tcPr>
            <w:tcW w:w="902" w:type="dxa"/>
            <w:vAlign w:val="center"/>
          </w:tcPr>
          <w:p w14:paraId="62350E33" w14:textId="77777777" w:rsidR="00712023" w:rsidRPr="003E7289" w:rsidRDefault="00712023" w:rsidP="00712023">
            <w:pPr>
              <w:spacing w:before="0" w:line="240" w:lineRule="auto"/>
              <w:jc w:val="center"/>
              <w:rPr>
                <w:rFonts w:ascii="Arial" w:hAnsi="Arial" w:cs="Arial"/>
                <w:sz w:val="20"/>
                <w:szCs w:val="20"/>
                <w:lang w:val="sq-AL"/>
              </w:rPr>
            </w:pPr>
          </w:p>
        </w:tc>
        <w:tc>
          <w:tcPr>
            <w:tcW w:w="900" w:type="dxa"/>
            <w:vAlign w:val="center"/>
          </w:tcPr>
          <w:p w14:paraId="286EB2F0" w14:textId="77777777" w:rsidR="00712023" w:rsidRPr="003E7289" w:rsidRDefault="00712023" w:rsidP="00712023">
            <w:pPr>
              <w:spacing w:before="0" w:line="240" w:lineRule="auto"/>
              <w:jc w:val="center"/>
              <w:rPr>
                <w:rFonts w:ascii="Arial" w:hAnsi="Arial" w:cs="Arial"/>
                <w:sz w:val="20"/>
                <w:szCs w:val="20"/>
                <w:lang w:val="sq-AL"/>
              </w:rPr>
            </w:pPr>
          </w:p>
        </w:tc>
        <w:tc>
          <w:tcPr>
            <w:tcW w:w="898" w:type="dxa"/>
            <w:gridSpan w:val="2"/>
            <w:vAlign w:val="center"/>
          </w:tcPr>
          <w:p w14:paraId="39D3770E" w14:textId="77865658"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~25 – 30 mil €</w:t>
            </w:r>
          </w:p>
        </w:tc>
        <w:tc>
          <w:tcPr>
            <w:tcW w:w="1559" w:type="dxa"/>
            <w:vAlign w:val="center"/>
          </w:tcPr>
          <w:p w14:paraId="008B3413" w14:textId="77777777" w:rsidR="00712023" w:rsidRPr="003E7289" w:rsidRDefault="00712023" w:rsidP="00712023">
            <w:pPr>
              <w:spacing w:before="0" w:line="240" w:lineRule="auto"/>
              <w:jc w:val="center"/>
              <w:rPr>
                <w:rFonts w:ascii="Arial" w:hAnsi="Arial" w:cs="Arial"/>
                <w:b/>
                <w:bCs/>
                <w:sz w:val="20"/>
                <w:szCs w:val="20"/>
                <w:lang w:val="sq-AL"/>
              </w:rPr>
            </w:pPr>
          </w:p>
        </w:tc>
        <w:tc>
          <w:tcPr>
            <w:tcW w:w="1415" w:type="dxa"/>
            <w:vMerge/>
            <w:vAlign w:val="center"/>
          </w:tcPr>
          <w:p w14:paraId="77596429" w14:textId="77777777" w:rsidR="00712023" w:rsidRPr="003E7289" w:rsidRDefault="00712023" w:rsidP="00712023">
            <w:pPr>
              <w:spacing w:before="0" w:line="240" w:lineRule="auto"/>
              <w:jc w:val="center"/>
              <w:rPr>
                <w:rFonts w:ascii="Arial" w:hAnsi="Arial" w:cs="Arial"/>
                <w:b/>
                <w:bCs/>
                <w:sz w:val="20"/>
                <w:szCs w:val="20"/>
                <w:lang w:val="sq-AL"/>
              </w:rPr>
            </w:pPr>
          </w:p>
        </w:tc>
        <w:tc>
          <w:tcPr>
            <w:tcW w:w="1418" w:type="dxa"/>
            <w:vAlign w:val="center"/>
          </w:tcPr>
          <w:p w14:paraId="3B647FFE" w14:textId="1CDF44B5"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100% e infrastrukturës kritike energjetike e adaptuar ndaj kushteve klimatike; standardet e adaptimit të integruara plotësisht në planifikimin e sektorit të energjisë.</w:t>
            </w:r>
          </w:p>
        </w:tc>
        <w:tc>
          <w:tcPr>
            <w:tcW w:w="3400" w:type="dxa"/>
            <w:gridSpan w:val="3"/>
            <w:vAlign w:val="center"/>
          </w:tcPr>
          <w:p w14:paraId="198F0579" w14:textId="77777777"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NECP + KOST, KEK</w:t>
            </w:r>
          </w:p>
        </w:tc>
      </w:tr>
      <w:tr w:rsidR="00712023" w:rsidRPr="003E7289" w14:paraId="526EDEE3" w14:textId="77777777" w:rsidTr="00D42597">
        <w:tc>
          <w:tcPr>
            <w:tcW w:w="2970" w:type="dxa"/>
            <w:gridSpan w:val="2"/>
            <w:shd w:val="clear" w:color="auto" w:fill="C6E7F6"/>
            <w:vAlign w:val="center"/>
          </w:tcPr>
          <w:p w14:paraId="6D6910CB" w14:textId="659B21F3" w:rsidR="00712023" w:rsidRPr="003E7289" w:rsidRDefault="00712023" w:rsidP="00712023">
            <w:pPr>
              <w:spacing w:before="0" w:line="240" w:lineRule="auto"/>
              <w:rPr>
                <w:rFonts w:ascii="Arial" w:hAnsi="Arial" w:cs="Arial"/>
                <w:sz w:val="20"/>
                <w:szCs w:val="20"/>
                <w:lang w:val="sq-AL"/>
              </w:rPr>
            </w:pPr>
            <w:r w:rsidRPr="003E7289">
              <w:rPr>
                <w:rFonts w:ascii="Arial" w:eastAsia="Aptos" w:hAnsi="Arial" w:cs="Arial"/>
                <w:b/>
                <w:bCs/>
                <w:sz w:val="20"/>
                <w:szCs w:val="20"/>
                <w:lang w:val="sq-AL"/>
              </w:rPr>
              <w:t>Buxheti total për Objektivin specifik II.1</w:t>
            </w:r>
            <w:r w:rsidR="00E0225B" w:rsidRPr="003E7289">
              <w:rPr>
                <w:rFonts w:ascii="Arial" w:eastAsia="Aptos" w:hAnsi="Arial" w:cs="Arial"/>
                <w:b/>
                <w:bCs/>
                <w:sz w:val="20"/>
                <w:szCs w:val="20"/>
                <w:lang w:val="sq-AL"/>
              </w:rPr>
              <w:t>9</w:t>
            </w:r>
            <w:r w:rsidRPr="003E7289">
              <w:rPr>
                <w:rFonts w:ascii="Arial" w:eastAsia="Aptos" w:hAnsi="Arial" w:cs="Arial"/>
                <w:b/>
                <w:bCs/>
                <w:sz w:val="20"/>
                <w:szCs w:val="20"/>
                <w:lang w:val="sq-AL"/>
              </w:rPr>
              <w:t>:</w:t>
            </w:r>
          </w:p>
        </w:tc>
        <w:tc>
          <w:tcPr>
            <w:tcW w:w="12198" w:type="dxa"/>
            <w:gridSpan w:val="12"/>
            <w:vAlign w:val="center"/>
          </w:tcPr>
          <w:p w14:paraId="72B6307B" w14:textId="07B1DB21"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&gt;100 mil €</w:t>
            </w:r>
          </w:p>
        </w:tc>
      </w:tr>
      <w:tr w:rsidR="00712023" w:rsidRPr="003E7289" w14:paraId="57D857ED" w14:textId="77777777" w:rsidTr="00D42597">
        <w:tc>
          <w:tcPr>
            <w:tcW w:w="2970" w:type="dxa"/>
            <w:gridSpan w:val="2"/>
            <w:shd w:val="clear" w:color="auto" w:fill="C6E7F6"/>
          </w:tcPr>
          <w:p w14:paraId="02697C37" w14:textId="5AE1B0FE" w:rsidR="00712023" w:rsidRPr="003E7289" w:rsidRDefault="00712023" w:rsidP="00712023">
            <w:pPr>
              <w:spacing w:before="0" w:line="240" w:lineRule="auto"/>
              <w:rPr>
                <w:rFonts w:ascii="Arial" w:hAnsi="Arial" w:cs="Arial"/>
                <w:sz w:val="20"/>
                <w:szCs w:val="20"/>
                <w:lang w:val="sq-AL"/>
              </w:rPr>
            </w:pPr>
            <w:r w:rsidRPr="003E7289">
              <w:rPr>
                <w:rFonts w:ascii="Arial" w:eastAsia="Aptos" w:hAnsi="Arial" w:cs="Arial"/>
                <w:b/>
                <w:bCs/>
                <w:sz w:val="20"/>
                <w:szCs w:val="20"/>
                <w:lang w:val="sq-AL"/>
              </w:rPr>
              <w:t>Nga kjo, kapital:</w:t>
            </w:r>
          </w:p>
        </w:tc>
        <w:tc>
          <w:tcPr>
            <w:tcW w:w="12198" w:type="dxa"/>
            <w:gridSpan w:val="12"/>
            <w:vAlign w:val="center"/>
          </w:tcPr>
          <w:p w14:paraId="23CF03FA" w14:textId="77777777" w:rsidR="00712023" w:rsidRPr="003E7289" w:rsidRDefault="00712023" w:rsidP="00712023">
            <w:pPr>
              <w:spacing w:before="0" w:line="240" w:lineRule="auto"/>
              <w:jc w:val="center"/>
              <w:rPr>
                <w:rFonts w:ascii="Arial" w:hAnsi="Arial" w:cs="Arial"/>
                <w:b/>
                <w:bCs/>
                <w:sz w:val="20"/>
                <w:szCs w:val="20"/>
                <w:lang w:val="sq-AL"/>
              </w:rPr>
            </w:pPr>
          </w:p>
        </w:tc>
      </w:tr>
      <w:tr w:rsidR="00712023" w:rsidRPr="003E7289" w14:paraId="04857BC2" w14:textId="77777777" w:rsidTr="00D42597">
        <w:tc>
          <w:tcPr>
            <w:tcW w:w="2970" w:type="dxa"/>
            <w:gridSpan w:val="2"/>
            <w:shd w:val="clear" w:color="auto" w:fill="C6E7F6"/>
          </w:tcPr>
          <w:p w14:paraId="21B2023B" w14:textId="57A5A2BB" w:rsidR="00712023" w:rsidRPr="003E7289" w:rsidRDefault="00712023" w:rsidP="00712023">
            <w:pPr>
              <w:spacing w:before="0" w:line="240" w:lineRule="auto"/>
              <w:rPr>
                <w:rFonts w:ascii="Arial" w:hAnsi="Arial" w:cs="Arial"/>
                <w:sz w:val="20"/>
                <w:szCs w:val="20"/>
                <w:lang w:val="sq-AL"/>
              </w:rPr>
            </w:pPr>
            <w:r w:rsidRPr="003E7289">
              <w:rPr>
                <w:rFonts w:ascii="Arial" w:eastAsia="Aptos" w:hAnsi="Arial" w:cs="Arial"/>
                <w:b/>
                <w:bCs/>
                <w:sz w:val="20"/>
                <w:szCs w:val="20"/>
                <w:lang w:val="sq-AL"/>
              </w:rPr>
              <w:t>Nga kjo, shpenzime korrente:</w:t>
            </w:r>
          </w:p>
        </w:tc>
        <w:tc>
          <w:tcPr>
            <w:tcW w:w="12198" w:type="dxa"/>
            <w:gridSpan w:val="12"/>
            <w:vAlign w:val="center"/>
          </w:tcPr>
          <w:p w14:paraId="450C50D3" w14:textId="77777777" w:rsidR="00712023" w:rsidRPr="003E7289" w:rsidRDefault="00712023" w:rsidP="00712023">
            <w:pPr>
              <w:spacing w:before="0" w:line="240" w:lineRule="auto"/>
              <w:jc w:val="center"/>
              <w:rPr>
                <w:rFonts w:ascii="Arial" w:hAnsi="Arial" w:cs="Arial"/>
                <w:b/>
                <w:bCs/>
                <w:sz w:val="20"/>
                <w:szCs w:val="20"/>
                <w:lang w:val="sq-AL"/>
              </w:rPr>
            </w:pPr>
          </w:p>
        </w:tc>
      </w:tr>
      <w:tr w:rsidR="00712023" w:rsidRPr="003E7289" w14:paraId="76981396" w14:textId="77777777" w:rsidTr="00A70686">
        <w:tc>
          <w:tcPr>
            <w:tcW w:w="993" w:type="dxa"/>
            <w:shd w:val="clear" w:color="auto" w:fill="84CCEC"/>
            <w:vAlign w:val="center"/>
          </w:tcPr>
          <w:p w14:paraId="0FE9716F" w14:textId="0B725B58"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w:t>
            </w:r>
            <w:r w:rsidR="00E0225B" w:rsidRPr="003E7289">
              <w:rPr>
                <w:rFonts w:ascii="Arial" w:hAnsi="Arial" w:cs="Arial"/>
                <w:b/>
                <w:bCs/>
                <w:sz w:val="20"/>
                <w:szCs w:val="20"/>
                <w:lang w:val="sq-AL"/>
              </w:rPr>
              <w:t>20</w:t>
            </w:r>
          </w:p>
        </w:tc>
        <w:tc>
          <w:tcPr>
            <w:tcW w:w="14175" w:type="dxa"/>
            <w:gridSpan w:val="13"/>
            <w:shd w:val="clear" w:color="auto" w:fill="84CCEC"/>
            <w:vAlign w:val="center"/>
          </w:tcPr>
          <w:p w14:paraId="09B16C65" w14:textId="76D070F4"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Modernizimi dhe automatizimi i rrjetit të energjisë elektrike për të përmirësuar besueshmërinë në kushte stresi (rrjete të mençura, tepricë N-1, izolim i shpejtë i defekteve)</w:t>
            </w:r>
          </w:p>
        </w:tc>
      </w:tr>
      <w:tr w:rsidR="00712023" w:rsidRPr="003E7289" w14:paraId="2CF1D8E6" w14:textId="77777777" w:rsidTr="00D42597">
        <w:tc>
          <w:tcPr>
            <w:tcW w:w="2970" w:type="dxa"/>
            <w:gridSpan w:val="2"/>
            <w:vAlign w:val="center"/>
          </w:tcPr>
          <w:p w14:paraId="43346AD6" w14:textId="069DEDAA"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 xml:space="preserve">Indekset e besueshmërisë së rrjetit (SAIDI/SAIFI – kohëzgjatja/frekuenca mesatare e ndërprerjeve) – </w:t>
            </w:r>
            <w:r w:rsidRPr="003E7289">
              <w:rPr>
                <w:rFonts w:ascii="Arial" w:hAnsi="Arial" w:cs="Arial"/>
                <w:b/>
                <w:bCs/>
                <w:sz w:val="20"/>
                <w:szCs w:val="20"/>
                <w:lang w:val="sq-AL"/>
              </w:rPr>
              <w:lastRenderedPageBreak/>
              <w:t>vlerat më të ulëta tregojnë shërbim më elastik.</w:t>
            </w:r>
          </w:p>
        </w:tc>
        <w:tc>
          <w:tcPr>
            <w:tcW w:w="1706" w:type="dxa"/>
            <w:gridSpan w:val="2"/>
            <w:vAlign w:val="center"/>
          </w:tcPr>
          <w:p w14:paraId="4CF36BA2" w14:textId="3D59E766"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lastRenderedPageBreak/>
              <w:t xml:space="preserve">Niveli bazë: SAIDI &gt;30 orë/vit; SAIFI ~15 (i përafërt – tregon </w:t>
            </w:r>
            <w:r w:rsidRPr="003E7289">
              <w:rPr>
                <w:rFonts w:ascii="Arial" w:hAnsi="Arial" w:cs="Arial"/>
                <w:sz w:val="20"/>
                <w:szCs w:val="20"/>
                <w:lang w:val="sq-AL"/>
              </w:rPr>
              <w:lastRenderedPageBreak/>
              <w:t>ndërprerje të shpeshta, veçanërisht në kulmet e dimrit ose stuhitë).</w:t>
            </w:r>
          </w:p>
        </w:tc>
        <w:tc>
          <w:tcPr>
            <w:tcW w:w="2700" w:type="dxa"/>
            <w:gridSpan w:val="4"/>
            <w:vAlign w:val="center"/>
          </w:tcPr>
          <w:p w14:paraId="3175022A" w14:textId="05BD1A0E"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lastRenderedPageBreak/>
              <w:t>SAIDI &lt;15; SAIFI &lt;10 (ulje e ndjeshme nëpërmjet përmirësimeve të rrjetit dhe automatizimit të shpërndarjes).</w:t>
            </w:r>
          </w:p>
        </w:tc>
        <w:tc>
          <w:tcPr>
            <w:tcW w:w="1559" w:type="dxa"/>
            <w:vAlign w:val="center"/>
          </w:tcPr>
          <w:p w14:paraId="70E0D6B4" w14:textId="283ECBEA"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 xml:space="preserve">SAIDI &lt;5; SAIFI &lt;3 (besueshmëri gati 24/7 në kushte </w:t>
            </w:r>
            <w:r w:rsidRPr="003E7289">
              <w:rPr>
                <w:rFonts w:ascii="Arial" w:hAnsi="Arial" w:cs="Arial"/>
                <w:sz w:val="20"/>
                <w:szCs w:val="20"/>
                <w:lang w:val="sq-AL"/>
              </w:rPr>
              <w:lastRenderedPageBreak/>
              <w:t>normale; rrjeti mund të përballojë eventuale të vetme pa ndërprerje të mëdha, duke përmbushur kriteret N-1 në përgjithësi).</w:t>
            </w:r>
          </w:p>
        </w:tc>
        <w:tc>
          <w:tcPr>
            <w:tcW w:w="6233" w:type="dxa"/>
            <w:gridSpan w:val="5"/>
            <w:vAlign w:val="center"/>
          </w:tcPr>
          <w:p w14:paraId="7C99A23C" w14:textId="7EBDA6B2"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lastRenderedPageBreak/>
              <w:t>SAIDI &lt;1 orë; SAIFI ~1 (rrjet "inteligjent" shumë i besueshëm me rrjete vetë-shërimi; ndërprerje minimale edhe gjatë ngjarjeve ekstreme për shkak të automatizimit të përparuar).</w:t>
            </w:r>
          </w:p>
        </w:tc>
      </w:tr>
      <w:tr w:rsidR="00712023" w:rsidRPr="003E7289" w14:paraId="0F858B17" w14:textId="77777777" w:rsidTr="004807C9">
        <w:trPr>
          <w:trHeight w:val="195"/>
        </w:trPr>
        <w:tc>
          <w:tcPr>
            <w:tcW w:w="993" w:type="dxa"/>
            <w:vMerge w:val="restart"/>
            <w:shd w:val="clear" w:color="auto" w:fill="C6E7F6"/>
            <w:vAlign w:val="center"/>
          </w:tcPr>
          <w:p w14:paraId="551AC832" w14:textId="680A1EA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lastRenderedPageBreak/>
              <w:t>Nr.</w:t>
            </w:r>
          </w:p>
        </w:tc>
        <w:tc>
          <w:tcPr>
            <w:tcW w:w="1977" w:type="dxa"/>
            <w:vMerge w:val="restart"/>
            <w:shd w:val="clear" w:color="auto" w:fill="C6E7F6"/>
            <w:vAlign w:val="center"/>
          </w:tcPr>
          <w:p w14:paraId="7F7EFB6E" w14:textId="253C6CBB"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Veprimi</w:t>
            </w:r>
          </w:p>
        </w:tc>
        <w:tc>
          <w:tcPr>
            <w:tcW w:w="1706" w:type="dxa"/>
            <w:gridSpan w:val="2"/>
            <w:vMerge w:val="restart"/>
            <w:shd w:val="clear" w:color="auto" w:fill="C6E7F6"/>
            <w:vAlign w:val="center"/>
          </w:tcPr>
          <w:p w14:paraId="45809FED" w14:textId="74368486"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Afati I fundit</w:t>
            </w:r>
          </w:p>
        </w:tc>
        <w:tc>
          <w:tcPr>
            <w:tcW w:w="2700" w:type="dxa"/>
            <w:gridSpan w:val="4"/>
            <w:shd w:val="clear" w:color="auto" w:fill="C6E7F6"/>
            <w:vAlign w:val="center"/>
          </w:tcPr>
          <w:p w14:paraId="72840F67" w14:textId="58A080F4"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Buxheti</w:t>
            </w:r>
          </w:p>
        </w:tc>
        <w:tc>
          <w:tcPr>
            <w:tcW w:w="1559" w:type="dxa"/>
            <w:vMerge w:val="restart"/>
            <w:shd w:val="clear" w:color="auto" w:fill="C6E7F6"/>
            <w:vAlign w:val="center"/>
          </w:tcPr>
          <w:p w14:paraId="4F4FC71F" w14:textId="69DCB99E"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Burimi i financimit</w:t>
            </w:r>
          </w:p>
        </w:tc>
        <w:tc>
          <w:tcPr>
            <w:tcW w:w="1415" w:type="dxa"/>
            <w:vMerge w:val="restart"/>
            <w:shd w:val="clear" w:color="auto" w:fill="C6E7F6"/>
            <w:vAlign w:val="center"/>
          </w:tcPr>
          <w:p w14:paraId="4296CEE5" w14:textId="7E2497DF"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Institucionet përgjegjëse dhe partnere</w:t>
            </w:r>
          </w:p>
        </w:tc>
        <w:tc>
          <w:tcPr>
            <w:tcW w:w="1418" w:type="dxa"/>
            <w:vMerge w:val="restart"/>
            <w:shd w:val="clear" w:color="auto" w:fill="C6E7F6"/>
            <w:vAlign w:val="center"/>
          </w:tcPr>
          <w:p w14:paraId="2E8C10D7" w14:textId="1468B08F"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Rezultati i pritur</w:t>
            </w:r>
          </w:p>
        </w:tc>
        <w:tc>
          <w:tcPr>
            <w:tcW w:w="3400" w:type="dxa"/>
            <w:gridSpan w:val="3"/>
            <w:vMerge w:val="restart"/>
            <w:shd w:val="clear" w:color="auto" w:fill="C6E7F6"/>
            <w:vAlign w:val="center"/>
          </w:tcPr>
          <w:p w14:paraId="4E6EE64A" w14:textId="2720F90E"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Dokumenti strategjik referues</w:t>
            </w:r>
          </w:p>
        </w:tc>
      </w:tr>
      <w:tr w:rsidR="00712023" w:rsidRPr="003E7289" w14:paraId="7BB5D84E" w14:textId="77777777" w:rsidTr="004807C9">
        <w:trPr>
          <w:trHeight w:val="195"/>
        </w:trPr>
        <w:tc>
          <w:tcPr>
            <w:tcW w:w="993" w:type="dxa"/>
            <w:vMerge/>
            <w:vAlign w:val="center"/>
          </w:tcPr>
          <w:p w14:paraId="11359B8B" w14:textId="77777777" w:rsidR="00712023" w:rsidRPr="003E7289" w:rsidRDefault="00712023" w:rsidP="00712023">
            <w:pPr>
              <w:spacing w:before="0" w:line="240" w:lineRule="auto"/>
              <w:jc w:val="center"/>
              <w:rPr>
                <w:rFonts w:ascii="Arial" w:hAnsi="Arial" w:cs="Arial"/>
                <w:sz w:val="20"/>
                <w:szCs w:val="20"/>
                <w:lang w:val="sq-AL"/>
              </w:rPr>
            </w:pPr>
          </w:p>
        </w:tc>
        <w:tc>
          <w:tcPr>
            <w:tcW w:w="1977" w:type="dxa"/>
            <w:vMerge/>
            <w:vAlign w:val="center"/>
          </w:tcPr>
          <w:p w14:paraId="509CE116" w14:textId="77777777" w:rsidR="00712023" w:rsidRPr="003E7289" w:rsidRDefault="00712023" w:rsidP="00712023">
            <w:pPr>
              <w:spacing w:before="0" w:line="240" w:lineRule="auto"/>
              <w:jc w:val="center"/>
              <w:rPr>
                <w:rFonts w:ascii="Arial" w:hAnsi="Arial" w:cs="Arial"/>
                <w:b/>
                <w:bCs/>
                <w:sz w:val="20"/>
                <w:szCs w:val="20"/>
                <w:lang w:val="sq-AL"/>
              </w:rPr>
            </w:pPr>
          </w:p>
        </w:tc>
        <w:tc>
          <w:tcPr>
            <w:tcW w:w="1706" w:type="dxa"/>
            <w:gridSpan w:val="2"/>
            <w:vMerge/>
            <w:vAlign w:val="center"/>
          </w:tcPr>
          <w:p w14:paraId="2D73EEAC" w14:textId="77777777" w:rsidR="00712023" w:rsidRPr="003E7289" w:rsidRDefault="00712023" w:rsidP="00712023">
            <w:pPr>
              <w:spacing w:before="0" w:line="240" w:lineRule="auto"/>
              <w:jc w:val="center"/>
              <w:rPr>
                <w:rFonts w:ascii="Arial" w:hAnsi="Arial" w:cs="Arial"/>
                <w:b/>
                <w:bCs/>
                <w:sz w:val="20"/>
                <w:szCs w:val="20"/>
                <w:lang w:val="sq-AL"/>
              </w:rPr>
            </w:pPr>
          </w:p>
        </w:tc>
        <w:tc>
          <w:tcPr>
            <w:tcW w:w="902" w:type="dxa"/>
            <w:shd w:val="clear" w:color="auto" w:fill="C6E7F6"/>
            <w:vAlign w:val="center"/>
          </w:tcPr>
          <w:p w14:paraId="5398029E"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2026</w:t>
            </w:r>
          </w:p>
        </w:tc>
        <w:tc>
          <w:tcPr>
            <w:tcW w:w="900" w:type="dxa"/>
            <w:shd w:val="clear" w:color="auto" w:fill="C6E7F6"/>
            <w:vAlign w:val="center"/>
          </w:tcPr>
          <w:p w14:paraId="09A941D7"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2027</w:t>
            </w:r>
          </w:p>
        </w:tc>
        <w:tc>
          <w:tcPr>
            <w:tcW w:w="898" w:type="dxa"/>
            <w:gridSpan w:val="2"/>
            <w:shd w:val="clear" w:color="auto" w:fill="C6E7F6"/>
            <w:vAlign w:val="center"/>
          </w:tcPr>
          <w:p w14:paraId="3D4F91CC"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2028</w:t>
            </w:r>
          </w:p>
        </w:tc>
        <w:tc>
          <w:tcPr>
            <w:tcW w:w="1559" w:type="dxa"/>
            <w:vMerge/>
            <w:vAlign w:val="center"/>
          </w:tcPr>
          <w:p w14:paraId="30991DE5" w14:textId="77777777" w:rsidR="00712023" w:rsidRPr="003E7289" w:rsidRDefault="00712023" w:rsidP="00712023">
            <w:pPr>
              <w:spacing w:before="0" w:line="240" w:lineRule="auto"/>
              <w:jc w:val="center"/>
              <w:rPr>
                <w:rFonts w:ascii="Arial" w:hAnsi="Arial" w:cs="Arial"/>
                <w:b/>
                <w:bCs/>
                <w:sz w:val="20"/>
                <w:szCs w:val="20"/>
                <w:lang w:val="sq-AL"/>
              </w:rPr>
            </w:pPr>
          </w:p>
        </w:tc>
        <w:tc>
          <w:tcPr>
            <w:tcW w:w="1415" w:type="dxa"/>
            <w:vMerge/>
            <w:vAlign w:val="center"/>
          </w:tcPr>
          <w:p w14:paraId="7D1CAB69" w14:textId="77777777" w:rsidR="00712023" w:rsidRPr="003E7289" w:rsidRDefault="00712023" w:rsidP="00712023">
            <w:pPr>
              <w:spacing w:before="0" w:line="240" w:lineRule="auto"/>
              <w:jc w:val="center"/>
              <w:rPr>
                <w:rFonts w:ascii="Arial" w:hAnsi="Arial" w:cs="Arial"/>
                <w:b/>
                <w:bCs/>
                <w:sz w:val="20"/>
                <w:szCs w:val="20"/>
                <w:lang w:val="sq-AL"/>
              </w:rPr>
            </w:pPr>
          </w:p>
        </w:tc>
        <w:tc>
          <w:tcPr>
            <w:tcW w:w="1418" w:type="dxa"/>
            <w:vMerge/>
            <w:vAlign w:val="center"/>
          </w:tcPr>
          <w:p w14:paraId="4FE8D773" w14:textId="77777777" w:rsidR="00712023" w:rsidRPr="003E7289" w:rsidRDefault="00712023" w:rsidP="00712023">
            <w:pPr>
              <w:spacing w:before="0" w:line="240" w:lineRule="auto"/>
              <w:jc w:val="center"/>
              <w:rPr>
                <w:rFonts w:ascii="Arial" w:hAnsi="Arial" w:cs="Arial"/>
                <w:b/>
                <w:bCs/>
                <w:sz w:val="20"/>
                <w:szCs w:val="20"/>
                <w:lang w:val="sq-AL"/>
              </w:rPr>
            </w:pPr>
          </w:p>
        </w:tc>
        <w:tc>
          <w:tcPr>
            <w:tcW w:w="3400" w:type="dxa"/>
            <w:gridSpan w:val="3"/>
            <w:vMerge/>
            <w:vAlign w:val="center"/>
          </w:tcPr>
          <w:p w14:paraId="329E3DCE" w14:textId="77777777" w:rsidR="00712023" w:rsidRPr="003E7289" w:rsidRDefault="00712023" w:rsidP="00712023">
            <w:pPr>
              <w:spacing w:before="0" w:line="240" w:lineRule="auto"/>
              <w:jc w:val="center"/>
              <w:rPr>
                <w:rFonts w:ascii="Arial" w:hAnsi="Arial" w:cs="Arial"/>
                <w:b/>
                <w:bCs/>
                <w:sz w:val="20"/>
                <w:szCs w:val="20"/>
                <w:lang w:val="sq-AL"/>
              </w:rPr>
            </w:pPr>
          </w:p>
        </w:tc>
      </w:tr>
      <w:tr w:rsidR="00712023" w:rsidRPr="003E7289" w14:paraId="2D00278B" w14:textId="77777777" w:rsidTr="004807C9">
        <w:tc>
          <w:tcPr>
            <w:tcW w:w="993" w:type="dxa"/>
            <w:vAlign w:val="center"/>
          </w:tcPr>
          <w:p w14:paraId="0A382BB0" w14:textId="3D27004F"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w:t>
            </w:r>
            <w:r w:rsidR="00E0225B" w:rsidRPr="003E7289">
              <w:rPr>
                <w:rFonts w:ascii="Arial" w:hAnsi="Arial" w:cs="Arial"/>
                <w:b/>
                <w:bCs/>
                <w:sz w:val="20"/>
                <w:szCs w:val="20"/>
                <w:lang w:val="sq-AL"/>
              </w:rPr>
              <w:t>20</w:t>
            </w:r>
            <w:r w:rsidRPr="003E7289">
              <w:rPr>
                <w:rFonts w:ascii="Arial" w:hAnsi="Arial" w:cs="Arial"/>
                <w:b/>
                <w:bCs/>
                <w:sz w:val="20"/>
                <w:szCs w:val="20"/>
                <w:lang w:val="sq-AL"/>
              </w:rPr>
              <w:t>.1</w:t>
            </w:r>
          </w:p>
        </w:tc>
        <w:tc>
          <w:tcPr>
            <w:tcW w:w="1977" w:type="dxa"/>
            <w:vAlign w:val="center"/>
          </w:tcPr>
          <w:p w14:paraId="27F0C273" w14:textId="4E2E7321" w:rsidR="00712023" w:rsidRPr="003E7289" w:rsidRDefault="00D30D59" w:rsidP="00D30D5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Vlerësimi dhe përmirësimi me faza i infrastrukturës së automatizimit të rrjetit</w:t>
            </w:r>
          </w:p>
        </w:tc>
        <w:tc>
          <w:tcPr>
            <w:tcW w:w="1706" w:type="dxa"/>
            <w:gridSpan w:val="2"/>
            <w:vAlign w:val="center"/>
          </w:tcPr>
          <w:p w14:paraId="5A608281" w14:textId="77777777"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2028</w:t>
            </w:r>
          </w:p>
        </w:tc>
        <w:tc>
          <w:tcPr>
            <w:tcW w:w="902" w:type="dxa"/>
            <w:vAlign w:val="center"/>
          </w:tcPr>
          <w:p w14:paraId="437B68B4" w14:textId="77777777"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w:t>
            </w:r>
          </w:p>
        </w:tc>
        <w:tc>
          <w:tcPr>
            <w:tcW w:w="900" w:type="dxa"/>
            <w:vAlign w:val="center"/>
          </w:tcPr>
          <w:p w14:paraId="706C930F" w14:textId="77777777" w:rsidR="00712023" w:rsidRPr="003E7289" w:rsidRDefault="00712023" w:rsidP="00712023">
            <w:pPr>
              <w:spacing w:before="0" w:line="240" w:lineRule="auto"/>
              <w:jc w:val="center"/>
              <w:rPr>
                <w:rFonts w:ascii="Arial" w:hAnsi="Arial" w:cs="Arial"/>
                <w:sz w:val="20"/>
                <w:szCs w:val="20"/>
                <w:lang w:val="sq-AL"/>
              </w:rPr>
            </w:pPr>
          </w:p>
        </w:tc>
        <w:tc>
          <w:tcPr>
            <w:tcW w:w="898" w:type="dxa"/>
            <w:gridSpan w:val="2"/>
            <w:vAlign w:val="center"/>
          </w:tcPr>
          <w:p w14:paraId="1052A635" w14:textId="77777777" w:rsidR="00712023" w:rsidRPr="003E7289" w:rsidRDefault="00712023" w:rsidP="00712023">
            <w:pPr>
              <w:spacing w:before="0" w:line="240" w:lineRule="auto"/>
              <w:jc w:val="center"/>
              <w:rPr>
                <w:rFonts w:ascii="Arial" w:hAnsi="Arial" w:cs="Arial"/>
                <w:sz w:val="20"/>
                <w:szCs w:val="20"/>
                <w:lang w:val="sq-AL"/>
              </w:rPr>
            </w:pPr>
          </w:p>
        </w:tc>
        <w:tc>
          <w:tcPr>
            <w:tcW w:w="1559" w:type="dxa"/>
            <w:vMerge w:val="restart"/>
            <w:vAlign w:val="center"/>
          </w:tcPr>
          <w:p w14:paraId="4DBEE731" w14:textId="56FFADF6"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Budgeted over 100 mil implemented by  KOSTT own investment</w:t>
            </w:r>
          </w:p>
        </w:tc>
        <w:tc>
          <w:tcPr>
            <w:tcW w:w="1415" w:type="dxa"/>
            <w:vMerge w:val="restart"/>
            <w:vAlign w:val="center"/>
          </w:tcPr>
          <w:p w14:paraId="5C9FE9F4"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Qeveria e Kosovës</w:t>
            </w:r>
          </w:p>
          <w:p w14:paraId="7DDF29B3"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Ministria e Ekonomisë</w:t>
            </w:r>
          </w:p>
          <w:p w14:paraId="754FC617"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 xml:space="preserve"> Ministria e Financave</w:t>
            </w:r>
          </w:p>
          <w:p w14:paraId="106F492F"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Fondi për Efiçiencë të Energjisë i Kosovës</w:t>
            </w:r>
          </w:p>
          <w:p w14:paraId="1857480C"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KEK</w:t>
            </w:r>
          </w:p>
          <w:p w14:paraId="6773C222"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Zyra e Rregullatorit për Energji (ERO)</w:t>
            </w:r>
          </w:p>
          <w:p w14:paraId="5EEB8105"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Operator i Sistemit, Transmetimit dhe Tregut të Energjisë Elektrike (KOSTT)</w:t>
            </w:r>
          </w:p>
          <w:p w14:paraId="0BC18186"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lastRenderedPageBreak/>
              <w:t>Kompania për Distribuimin e Energjisë Elektrike në Kosovë (KEDS)</w:t>
            </w:r>
          </w:p>
          <w:p w14:paraId="2FB81586" w14:textId="1992A9F4" w:rsidR="00712023" w:rsidRPr="003E7289" w:rsidRDefault="00712023" w:rsidP="00F36447">
            <w:pPr>
              <w:pStyle w:val="ListParagraph"/>
              <w:numPr>
                <w:ilvl w:val="0"/>
                <w:numId w:val="27"/>
              </w:numPr>
              <w:spacing w:before="0" w:line="240" w:lineRule="auto"/>
              <w:ind w:left="139" w:hanging="180"/>
              <w:rPr>
                <w:rFonts w:ascii="Arial" w:hAnsi="Arial" w:cs="Arial"/>
                <w:b/>
                <w:bCs/>
                <w:color w:val="EE0000"/>
                <w:sz w:val="20"/>
                <w:szCs w:val="20"/>
                <w:lang w:val="sq-AL"/>
              </w:rPr>
            </w:pPr>
            <w:r w:rsidRPr="003E7289">
              <w:rPr>
                <w:rFonts w:ascii="Arial" w:hAnsi="Arial" w:cs="Arial"/>
                <w:color w:val="000000" w:themeColor="text1"/>
                <w:sz w:val="20"/>
                <w:szCs w:val="20"/>
                <w:lang w:val="sq-AL"/>
              </w:rPr>
              <w:t>Ngrohtorja e qytetit – DH Termokos</w:t>
            </w:r>
          </w:p>
        </w:tc>
        <w:tc>
          <w:tcPr>
            <w:tcW w:w="1418" w:type="dxa"/>
            <w:vAlign w:val="center"/>
          </w:tcPr>
          <w:p w14:paraId="441E7D89" w14:textId="0E82FB4C" w:rsidR="00712023" w:rsidRPr="003E7289" w:rsidRDefault="00D30D59" w:rsidP="00D30D59">
            <w:pPr>
              <w:spacing w:before="0" w:line="240" w:lineRule="auto"/>
              <w:jc w:val="center"/>
              <w:rPr>
                <w:rFonts w:ascii="Arial" w:hAnsi="Arial" w:cs="Arial"/>
                <w:sz w:val="20"/>
                <w:szCs w:val="20"/>
                <w:lang w:val="sq-AL"/>
              </w:rPr>
            </w:pPr>
            <w:r w:rsidRPr="003E7289">
              <w:rPr>
                <w:rFonts w:ascii="Arial" w:hAnsi="Arial" w:cs="Arial"/>
                <w:sz w:val="20"/>
                <w:szCs w:val="20"/>
                <w:lang w:val="sq-AL"/>
              </w:rPr>
              <w:lastRenderedPageBreak/>
              <w:t>Sistemet SCADA dhe EMS janë vendosur në të paktën 40% të rrjetit, duke mundësuar monitorim në kohë reale dhe automatizim bazik në zonat me prioritet të lartë.</w:t>
            </w:r>
          </w:p>
        </w:tc>
        <w:tc>
          <w:tcPr>
            <w:tcW w:w="3400" w:type="dxa"/>
            <w:gridSpan w:val="3"/>
            <w:vAlign w:val="center"/>
          </w:tcPr>
          <w:p w14:paraId="60C2D206" w14:textId="1C43992A" w:rsidR="00712023" w:rsidRPr="003E7289" w:rsidRDefault="00BE39C7"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Strategjia</w:t>
            </w:r>
            <w:r w:rsidR="00D30D59" w:rsidRPr="003E7289">
              <w:rPr>
                <w:rFonts w:ascii="Arial" w:hAnsi="Arial" w:cs="Arial"/>
                <w:sz w:val="20"/>
                <w:szCs w:val="20"/>
                <w:lang w:val="sq-AL"/>
              </w:rPr>
              <w:t xml:space="preserve"> e Energjisë 2022–2031</w:t>
            </w:r>
          </w:p>
        </w:tc>
      </w:tr>
      <w:tr w:rsidR="00712023" w:rsidRPr="003E7289" w14:paraId="4D23662B" w14:textId="77777777" w:rsidTr="004807C9">
        <w:tc>
          <w:tcPr>
            <w:tcW w:w="993" w:type="dxa"/>
            <w:vAlign w:val="center"/>
          </w:tcPr>
          <w:p w14:paraId="79F9C088" w14:textId="6857982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w:t>
            </w:r>
            <w:r w:rsidR="00E0225B" w:rsidRPr="003E7289">
              <w:rPr>
                <w:rFonts w:ascii="Arial" w:hAnsi="Arial" w:cs="Arial"/>
                <w:b/>
                <w:bCs/>
                <w:sz w:val="20"/>
                <w:szCs w:val="20"/>
                <w:lang w:val="sq-AL"/>
              </w:rPr>
              <w:t>20</w:t>
            </w:r>
            <w:r w:rsidRPr="003E7289">
              <w:rPr>
                <w:rFonts w:ascii="Arial" w:hAnsi="Arial" w:cs="Arial"/>
                <w:b/>
                <w:bCs/>
                <w:sz w:val="20"/>
                <w:szCs w:val="20"/>
                <w:lang w:val="sq-AL"/>
              </w:rPr>
              <w:t>.2</w:t>
            </w:r>
          </w:p>
        </w:tc>
        <w:tc>
          <w:tcPr>
            <w:tcW w:w="1977" w:type="dxa"/>
            <w:vAlign w:val="center"/>
          </w:tcPr>
          <w:p w14:paraId="7D5C14B8" w14:textId="3B530CD8" w:rsidR="00712023" w:rsidRPr="003E7289" w:rsidRDefault="00D30D59" w:rsidP="00D30D5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Vendosja e matësve të mençur dhe pajisjeve të automatizuara të kalimit në rrjetet e shpërndarjes</w:t>
            </w:r>
          </w:p>
        </w:tc>
        <w:tc>
          <w:tcPr>
            <w:tcW w:w="1706" w:type="dxa"/>
            <w:gridSpan w:val="2"/>
            <w:vAlign w:val="center"/>
          </w:tcPr>
          <w:p w14:paraId="5093C5A9" w14:textId="77777777"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2030</w:t>
            </w:r>
          </w:p>
        </w:tc>
        <w:tc>
          <w:tcPr>
            <w:tcW w:w="902" w:type="dxa"/>
            <w:vAlign w:val="center"/>
          </w:tcPr>
          <w:p w14:paraId="5012D71C" w14:textId="77777777" w:rsidR="00712023" w:rsidRPr="003E7289" w:rsidRDefault="00712023" w:rsidP="00712023">
            <w:pPr>
              <w:spacing w:before="0" w:line="240" w:lineRule="auto"/>
              <w:jc w:val="center"/>
              <w:rPr>
                <w:rFonts w:ascii="Arial" w:hAnsi="Arial" w:cs="Arial"/>
                <w:sz w:val="20"/>
                <w:szCs w:val="20"/>
                <w:lang w:val="sq-AL"/>
              </w:rPr>
            </w:pPr>
          </w:p>
        </w:tc>
        <w:tc>
          <w:tcPr>
            <w:tcW w:w="900" w:type="dxa"/>
            <w:vAlign w:val="center"/>
          </w:tcPr>
          <w:p w14:paraId="7DD32A87" w14:textId="77777777"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w:t>
            </w:r>
          </w:p>
        </w:tc>
        <w:tc>
          <w:tcPr>
            <w:tcW w:w="898" w:type="dxa"/>
            <w:gridSpan w:val="2"/>
            <w:vAlign w:val="center"/>
          </w:tcPr>
          <w:p w14:paraId="291389AF" w14:textId="77777777" w:rsidR="00712023" w:rsidRPr="003E7289" w:rsidRDefault="00712023" w:rsidP="00712023">
            <w:pPr>
              <w:spacing w:before="0" w:line="240" w:lineRule="auto"/>
              <w:jc w:val="center"/>
              <w:rPr>
                <w:rFonts w:ascii="Arial" w:hAnsi="Arial" w:cs="Arial"/>
                <w:sz w:val="20"/>
                <w:szCs w:val="20"/>
                <w:lang w:val="sq-AL"/>
              </w:rPr>
            </w:pPr>
          </w:p>
        </w:tc>
        <w:tc>
          <w:tcPr>
            <w:tcW w:w="1559" w:type="dxa"/>
            <w:vMerge/>
            <w:vAlign w:val="center"/>
          </w:tcPr>
          <w:p w14:paraId="6D95D62A" w14:textId="77777777" w:rsidR="00712023" w:rsidRPr="003E7289" w:rsidRDefault="00712023" w:rsidP="00712023">
            <w:pPr>
              <w:spacing w:before="0" w:line="240" w:lineRule="auto"/>
              <w:jc w:val="center"/>
              <w:rPr>
                <w:rFonts w:ascii="Arial" w:hAnsi="Arial" w:cs="Arial"/>
                <w:b/>
                <w:bCs/>
                <w:sz w:val="20"/>
                <w:szCs w:val="20"/>
                <w:lang w:val="sq-AL"/>
              </w:rPr>
            </w:pPr>
          </w:p>
        </w:tc>
        <w:tc>
          <w:tcPr>
            <w:tcW w:w="1415" w:type="dxa"/>
            <w:vMerge/>
            <w:vAlign w:val="center"/>
          </w:tcPr>
          <w:p w14:paraId="2845F010" w14:textId="77777777" w:rsidR="00712023" w:rsidRPr="003E7289" w:rsidRDefault="00712023" w:rsidP="00712023">
            <w:pPr>
              <w:spacing w:before="0" w:line="240" w:lineRule="auto"/>
              <w:jc w:val="center"/>
              <w:rPr>
                <w:rFonts w:ascii="Arial" w:hAnsi="Arial" w:cs="Arial"/>
                <w:b/>
                <w:bCs/>
                <w:sz w:val="20"/>
                <w:szCs w:val="20"/>
                <w:lang w:val="sq-AL"/>
              </w:rPr>
            </w:pPr>
          </w:p>
        </w:tc>
        <w:tc>
          <w:tcPr>
            <w:tcW w:w="1418" w:type="dxa"/>
            <w:vAlign w:val="center"/>
          </w:tcPr>
          <w:p w14:paraId="1E175162" w14:textId="037A52AB" w:rsidR="00712023" w:rsidRPr="003E7289" w:rsidRDefault="00D30D59" w:rsidP="00D30D59">
            <w:pPr>
              <w:spacing w:before="0" w:line="240" w:lineRule="auto"/>
              <w:jc w:val="center"/>
              <w:rPr>
                <w:rFonts w:ascii="Arial" w:hAnsi="Arial" w:cs="Arial"/>
                <w:sz w:val="20"/>
                <w:szCs w:val="20"/>
                <w:lang w:val="sq-AL"/>
              </w:rPr>
            </w:pPr>
            <w:r w:rsidRPr="003E7289">
              <w:rPr>
                <w:rFonts w:ascii="Arial" w:hAnsi="Arial" w:cs="Arial"/>
                <w:sz w:val="20"/>
                <w:szCs w:val="20"/>
                <w:lang w:val="sq-AL"/>
              </w:rPr>
              <w:t xml:space="preserve">Infrastruktura për matje të mençur dhe kalim automatik është instaluar në të gjitha zonat urbane kryesore dhe nënstacionet kyçe; SAIDI </w:t>
            </w:r>
            <w:r w:rsidRPr="003E7289">
              <w:rPr>
                <w:rFonts w:ascii="Arial" w:hAnsi="Arial" w:cs="Arial"/>
                <w:sz w:val="20"/>
                <w:szCs w:val="20"/>
                <w:lang w:val="sq-AL"/>
              </w:rPr>
              <w:lastRenderedPageBreak/>
              <w:t>është reduktuar në &lt;15 orë dhe SAIFI në &lt;10.</w:t>
            </w:r>
          </w:p>
        </w:tc>
        <w:tc>
          <w:tcPr>
            <w:tcW w:w="3400" w:type="dxa"/>
            <w:gridSpan w:val="3"/>
            <w:vAlign w:val="center"/>
          </w:tcPr>
          <w:p w14:paraId="7F99DF95" w14:textId="0374FD58" w:rsidR="00712023" w:rsidRPr="003E7289" w:rsidRDefault="00BE39C7"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lastRenderedPageBreak/>
              <w:t>Strategjia</w:t>
            </w:r>
            <w:r w:rsidR="00D30D59" w:rsidRPr="003E7289">
              <w:rPr>
                <w:rFonts w:ascii="Arial" w:hAnsi="Arial" w:cs="Arial"/>
                <w:sz w:val="20"/>
                <w:szCs w:val="20"/>
                <w:lang w:val="sq-AL"/>
              </w:rPr>
              <w:t xml:space="preserve"> e Energjisë 2022–2031</w:t>
            </w:r>
          </w:p>
        </w:tc>
      </w:tr>
      <w:tr w:rsidR="00712023" w:rsidRPr="003E7289" w14:paraId="7C3FBF03" w14:textId="77777777" w:rsidTr="004807C9">
        <w:tc>
          <w:tcPr>
            <w:tcW w:w="993" w:type="dxa"/>
            <w:vAlign w:val="center"/>
          </w:tcPr>
          <w:p w14:paraId="62135004" w14:textId="3A27BF08"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lastRenderedPageBreak/>
              <w:t>II.</w:t>
            </w:r>
            <w:r w:rsidR="00E0225B" w:rsidRPr="003E7289">
              <w:rPr>
                <w:rFonts w:ascii="Arial" w:hAnsi="Arial" w:cs="Arial"/>
                <w:b/>
                <w:bCs/>
                <w:sz w:val="20"/>
                <w:szCs w:val="20"/>
                <w:lang w:val="sq-AL"/>
              </w:rPr>
              <w:t>20</w:t>
            </w:r>
            <w:r w:rsidRPr="003E7289">
              <w:rPr>
                <w:rFonts w:ascii="Arial" w:hAnsi="Arial" w:cs="Arial"/>
                <w:b/>
                <w:bCs/>
                <w:sz w:val="20"/>
                <w:szCs w:val="20"/>
                <w:lang w:val="sq-AL"/>
              </w:rPr>
              <w:t>.3</w:t>
            </w:r>
          </w:p>
        </w:tc>
        <w:tc>
          <w:tcPr>
            <w:tcW w:w="1977" w:type="dxa"/>
            <w:vAlign w:val="center"/>
          </w:tcPr>
          <w:p w14:paraId="19F1A5D6" w14:textId="3B724E98" w:rsidR="00712023" w:rsidRPr="003E7289" w:rsidRDefault="00D30D59" w:rsidP="00D30D59">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Arritja e qëndrueshmërisë së plotë të rrjetit në të gjithë sistemin me redundancë N-1 dhe dizajn të rrjetit vetë-rikuperues</w:t>
            </w:r>
          </w:p>
        </w:tc>
        <w:tc>
          <w:tcPr>
            <w:tcW w:w="1706" w:type="dxa"/>
            <w:gridSpan w:val="2"/>
            <w:vAlign w:val="center"/>
          </w:tcPr>
          <w:p w14:paraId="6673CA4C" w14:textId="77777777"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2040</w:t>
            </w:r>
          </w:p>
        </w:tc>
        <w:tc>
          <w:tcPr>
            <w:tcW w:w="902" w:type="dxa"/>
            <w:vAlign w:val="center"/>
          </w:tcPr>
          <w:p w14:paraId="0324B15C" w14:textId="77777777" w:rsidR="00712023" w:rsidRPr="003E7289" w:rsidRDefault="00712023" w:rsidP="00712023">
            <w:pPr>
              <w:spacing w:before="0" w:line="240" w:lineRule="auto"/>
              <w:jc w:val="center"/>
              <w:rPr>
                <w:rFonts w:ascii="Arial" w:hAnsi="Arial" w:cs="Arial"/>
                <w:sz w:val="20"/>
                <w:szCs w:val="20"/>
                <w:lang w:val="sq-AL"/>
              </w:rPr>
            </w:pPr>
          </w:p>
        </w:tc>
        <w:tc>
          <w:tcPr>
            <w:tcW w:w="900" w:type="dxa"/>
            <w:vAlign w:val="center"/>
          </w:tcPr>
          <w:p w14:paraId="31B4D18B" w14:textId="77777777" w:rsidR="00712023" w:rsidRPr="003E7289" w:rsidRDefault="00712023" w:rsidP="00712023">
            <w:pPr>
              <w:spacing w:before="0" w:line="240" w:lineRule="auto"/>
              <w:jc w:val="center"/>
              <w:rPr>
                <w:rFonts w:ascii="Arial" w:hAnsi="Arial" w:cs="Arial"/>
                <w:sz w:val="20"/>
                <w:szCs w:val="20"/>
                <w:lang w:val="sq-AL"/>
              </w:rPr>
            </w:pPr>
          </w:p>
        </w:tc>
        <w:tc>
          <w:tcPr>
            <w:tcW w:w="898" w:type="dxa"/>
            <w:gridSpan w:val="2"/>
            <w:vAlign w:val="center"/>
          </w:tcPr>
          <w:p w14:paraId="00D7810B" w14:textId="77777777"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w:t>
            </w:r>
          </w:p>
        </w:tc>
        <w:tc>
          <w:tcPr>
            <w:tcW w:w="1559" w:type="dxa"/>
            <w:vMerge/>
            <w:vAlign w:val="center"/>
          </w:tcPr>
          <w:p w14:paraId="667E284F" w14:textId="77777777" w:rsidR="00712023" w:rsidRPr="003E7289" w:rsidRDefault="00712023" w:rsidP="00712023">
            <w:pPr>
              <w:spacing w:before="0" w:line="240" w:lineRule="auto"/>
              <w:jc w:val="center"/>
              <w:rPr>
                <w:rFonts w:ascii="Arial" w:hAnsi="Arial" w:cs="Arial"/>
                <w:b/>
                <w:bCs/>
                <w:sz w:val="20"/>
                <w:szCs w:val="20"/>
                <w:lang w:val="sq-AL"/>
              </w:rPr>
            </w:pPr>
          </w:p>
        </w:tc>
        <w:tc>
          <w:tcPr>
            <w:tcW w:w="1415" w:type="dxa"/>
            <w:vMerge/>
            <w:vAlign w:val="center"/>
          </w:tcPr>
          <w:p w14:paraId="10DD4A13" w14:textId="77777777" w:rsidR="00712023" w:rsidRPr="003E7289" w:rsidRDefault="00712023" w:rsidP="00712023">
            <w:pPr>
              <w:spacing w:before="0" w:line="240" w:lineRule="auto"/>
              <w:jc w:val="center"/>
              <w:rPr>
                <w:rFonts w:ascii="Arial" w:hAnsi="Arial" w:cs="Arial"/>
                <w:b/>
                <w:bCs/>
                <w:sz w:val="20"/>
                <w:szCs w:val="20"/>
                <w:lang w:val="sq-AL"/>
              </w:rPr>
            </w:pPr>
          </w:p>
        </w:tc>
        <w:tc>
          <w:tcPr>
            <w:tcW w:w="1418" w:type="dxa"/>
            <w:vAlign w:val="center"/>
          </w:tcPr>
          <w:p w14:paraId="146F8502" w14:textId="238272A2" w:rsidR="00712023" w:rsidRPr="003E7289" w:rsidRDefault="00D30D59" w:rsidP="00D30D59">
            <w:pPr>
              <w:spacing w:before="0" w:line="240" w:lineRule="auto"/>
              <w:jc w:val="center"/>
              <w:rPr>
                <w:rFonts w:ascii="Arial" w:hAnsi="Arial" w:cs="Arial"/>
                <w:sz w:val="20"/>
                <w:szCs w:val="20"/>
                <w:lang w:val="sq-AL"/>
              </w:rPr>
            </w:pPr>
            <w:r w:rsidRPr="003E7289">
              <w:rPr>
                <w:rFonts w:ascii="Arial" w:hAnsi="Arial" w:cs="Arial"/>
                <w:sz w:val="20"/>
                <w:szCs w:val="20"/>
                <w:lang w:val="sq-AL"/>
              </w:rPr>
              <w:t>Rrjet i mençur dhe vetë-rikuperues që plotëson kriteret e besueshmërisë N-1 në nivel kombëtar; SAIDI &lt;1 orë dhe SAIFI ~1; vazhdimësi e pandërprerë e shërbimit gjatë ngjarjeve ekstreme.</w:t>
            </w:r>
          </w:p>
        </w:tc>
        <w:tc>
          <w:tcPr>
            <w:tcW w:w="3400" w:type="dxa"/>
            <w:gridSpan w:val="3"/>
            <w:vAlign w:val="center"/>
          </w:tcPr>
          <w:p w14:paraId="154E69DB" w14:textId="21D87A3D" w:rsidR="00712023" w:rsidRPr="003E7289" w:rsidRDefault="00BE39C7"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Strategjia</w:t>
            </w:r>
            <w:r w:rsidR="00D30D59" w:rsidRPr="003E7289">
              <w:rPr>
                <w:rFonts w:ascii="Arial" w:hAnsi="Arial" w:cs="Arial"/>
                <w:sz w:val="20"/>
                <w:szCs w:val="20"/>
                <w:lang w:val="sq-AL"/>
              </w:rPr>
              <w:t xml:space="preserve"> e Energjisë 2022–2031</w:t>
            </w:r>
          </w:p>
        </w:tc>
      </w:tr>
      <w:tr w:rsidR="00712023" w:rsidRPr="003E7289" w14:paraId="2D2B0E4B" w14:textId="77777777" w:rsidTr="00D42597">
        <w:tc>
          <w:tcPr>
            <w:tcW w:w="2970" w:type="dxa"/>
            <w:gridSpan w:val="2"/>
            <w:shd w:val="clear" w:color="auto" w:fill="C6E7F6"/>
            <w:vAlign w:val="center"/>
          </w:tcPr>
          <w:p w14:paraId="348FC8BB" w14:textId="08D631F5" w:rsidR="00712023" w:rsidRPr="003E7289" w:rsidRDefault="00712023" w:rsidP="00712023">
            <w:pPr>
              <w:spacing w:before="0" w:line="240" w:lineRule="auto"/>
              <w:rPr>
                <w:rFonts w:ascii="Arial" w:hAnsi="Arial" w:cs="Arial"/>
                <w:sz w:val="20"/>
                <w:szCs w:val="20"/>
                <w:lang w:val="sq-AL"/>
              </w:rPr>
            </w:pPr>
            <w:r w:rsidRPr="003E7289">
              <w:rPr>
                <w:rFonts w:ascii="Arial" w:eastAsia="Aptos" w:hAnsi="Arial" w:cs="Arial"/>
                <w:b/>
                <w:bCs/>
                <w:sz w:val="20"/>
                <w:szCs w:val="20"/>
                <w:lang w:val="sq-AL"/>
              </w:rPr>
              <w:t>Buxheti total për Objektivin specifik II.</w:t>
            </w:r>
            <w:r w:rsidR="00E0225B" w:rsidRPr="003E7289">
              <w:rPr>
                <w:rFonts w:ascii="Arial" w:eastAsia="Aptos" w:hAnsi="Arial" w:cs="Arial"/>
                <w:b/>
                <w:bCs/>
                <w:sz w:val="20"/>
                <w:szCs w:val="20"/>
                <w:lang w:val="sq-AL"/>
              </w:rPr>
              <w:t>20</w:t>
            </w:r>
            <w:r w:rsidRPr="003E7289">
              <w:rPr>
                <w:rFonts w:ascii="Arial" w:eastAsia="Aptos" w:hAnsi="Arial" w:cs="Arial"/>
                <w:b/>
                <w:bCs/>
                <w:sz w:val="20"/>
                <w:szCs w:val="20"/>
                <w:lang w:val="sq-AL"/>
              </w:rPr>
              <w:t>:</w:t>
            </w:r>
          </w:p>
        </w:tc>
        <w:tc>
          <w:tcPr>
            <w:tcW w:w="12198" w:type="dxa"/>
            <w:gridSpan w:val="12"/>
            <w:vAlign w:val="center"/>
          </w:tcPr>
          <w:p w14:paraId="0B14847B" w14:textId="7DBA2602"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sz w:val="20"/>
                <w:szCs w:val="20"/>
                <w:lang w:val="sq-AL"/>
              </w:rPr>
              <w:t>&gt;100-120 mil €</w:t>
            </w:r>
          </w:p>
        </w:tc>
      </w:tr>
      <w:tr w:rsidR="00712023" w:rsidRPr="003E7289" w14:paraId="36D2CD1D" w14:textId="77777777" w:rsidTr="00D42597">
        <w:tc>
          <w:tcPr>
            <w:tcW w:w="2970" w:type="dxa"/>
            <w:gridSpan w:val="2"/>
            <w:shd w:val="clear" w:color="auto" w:fill="C6E7F6"/>
          </w:tcPr>
          <w:p w14:paraId="67D02225" w14:textId="7829068A" w:rsidR="00712023" w:rsidRPr="003E7289" w:rsidRDefault="00712023" w:rsidP="00712023">
            <w:pPr>
              <w:spacing w:before="0" w:line="240" w:lineRule="auto"/>
              <w:rPr>
                <w:rFonts w:ascii="Arial" w:hAnsi="Arial" w:cs="Arial"/>
                <w:sz w:val="20"/>
                <w:szCs w:val="20"/>
                <w:lang w:val="sq-AL"/>
              </w:rPr>
            </w:pPr>
            <w:r w:rsidRPr="003E7289">
              <w:rPr>
                <w:rFonts w:ascii="Arial" w:eastAsia="Aptos" w:hAnsi="Arial" w:cs="Arial"/>
                <w:b/>
                <w:bCs/>
                <w:sz w:val="20"/>
                <w:szCs w:val="20"/>
                <w:lang w:val="sq-AL"/>
              </w:rPr>
              <w:t>Nga kjo, kapital:</w:t>
            </w:r>
          </w:p>
        </w:tc>
        <w:tc>
          <w:tcPr>
            <w:tcW w:w="12198" w:type="dxa"/>
            <w:gridSpan w:val="12"/>
            <w:vAlign w:val="center"/>
          </w:tcPr>
          <w:p w14:paraId="36BAC98C" w14:textId="77777777" w:rsidR="00712023" w:rsidRPr="003E7289" w:rsidRDefault="00712023" w:rsidP="00712023">
            <w:pPr>
              <w:spacing w:before="0" w:line="240" w:lineRule="auto"/>
              <w:jc w:val="center"/>
              <w:rPr>
                <w:rFonts w:ascii="Arial" w:hAnsi="Arial" w:cs="Arial"/>
                <w:b/>
                <w:bCs/>
                <w:sz w:val="20"/>
                <w:szCs w:val="20"/>
                <w:lang w:val="sq-AL"/>
              </w:rPr>
            </w:pPr>
          </w:p>
        </w:tc>
      </w:tr>
      <w:tr w:rsidR="00712023" w:rsidRPr="003E7289" w14:paraId="4AD3B208" w14:textId="77777777" w:rsidTr="00D42597">
        <w:tc>
          <w:tcPr>
            <w:tcW w:w="2970" w:type="dxa"/>
            <w:gridSpan w:val="2"/>
            <w:shd w:val="clear" w:color="auto" w:fill="C6E7F6"/>
          </w:tcPr>
          <w:p w14:paraId="50138F6D" w14:textId="10C52CE4" w:rsidR="00712023" w:rsidRPr="003E7289" w:rsidRDefault="00712023" w:rsidP="00712023">
            <w:pPr>
              <w:spacing w:before="0" w:line="240" w:lineRule="auto"/>
              <w:rPr>
                <w:rFonts w:ascii="Arial" w:hAnsi="Arial" w:cs="Arial"/>
                <w:sz w:val="20"/>
                <w:szCs w:val="20"/>
                <w:lang w:val="sq-AL"/>
              </w:rPr>
            </w:pPr>
            <w:r w:rsidRPr="003E7289">
              <w:rPr>
                <w:rFonts w:ascii="Arial" w:eastAsia="Aptos" w:hAnsi="Arial" w:cs="Arial"/>
                <w:b/>
                <w:bCs/>
                <w:sz w:val="20"/>
                <w:szCs w:val="20"/>
                <w:lang w:val="sq-AL"/>
              </w:rPr>
              <w:t>Nga kjo, shpenzime korrente:</w:t>
            </w:r>
          </w:p>
        </w:tc>
        <w:tc>
          <w:tcPr>
            <w:tcW w:w="12198" w:type="dxa"/>
            <w:gridSpan w:val="12"/>
            <w:vAlign w:val="center"/>
          </w:tcPr>
          <w:p w14:paraId="197223CA" w14:textId="77777777" w:rsidR="00712023" w:rsidRPr="003E7289" w:rsidRDefault="00712023" w:rsidP="00712023">
            <w:pPr>
              <w:spacing w:before="0" w:line="240" w:lineRule="auto"/>
              <w:jc w:val="center"/>
              <w:rPr>
                <w:rFonts w:ascii="Arial" w:hAnsi="Arial" w:cs="Arial"/>
                <w:b/>
                <w:bCs/>
                <w:sz w:val="20"/>
                <w:szCs w:val="20"/>
                <w:lang w:val="sq-AL"/>
              </w:rPr>
            </w:pPr>
          </w:p>
        </w:tc>
      </w:tr>
      <w:tr w:rsidR="00712023" w:rsidRPr="003E7289" w14:paraId="4FACA0C7" w14:textId="77777777" w:rsidTr="00A70686">
        <w:tc>
          <w:tcPr>
            <w:tcW w:w="993" w:type="dxa"/>
            <w:shd w:val="clear" w:color="auto" w:fill="84CCEC"/>
            <w:vAlign w:val="center"/>
          </w:tcPr>
          <w:p w14:paraId="3661B8D8" w14:textId="1C473589"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w:t>
            </w:r>
            <w:r w:rsidR="00E0225B" w:rsidRPr="003E7289">
              <w:rPr>
                <w:rFonts w:ascii="Arial" w:hAnsi="Arial" w:cs="Arial"/>
                <w:b/>
                <w:bCs/>
                <w:sz w:val="20"/>
                <w:szCs w:val="20"/>
                <w:lang w:val="sq-AL"/>
              </w:rPr>
              <w:t>3</w:t>
            </w:r>
          </w:p>
        </w:tc>
        <w:tc>
          <w:tcPr>
            <w:tcW w:w="14175" w:type="dxa"/>
            <w:gridSpan w:val="13"/>
            <w:shd w:val="clear" w:color="auto" w:fill="84CCEC"/>
            <w:vAlign w:val="center"/>
          </w:tcPr>
          <w:p w14:paraId="5DFD0B70" w14:textId="3B7F70DD"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Përmirësimi i besueshmërisë së sistemit: Rehabilitimi i Termocentralit “Kosova A” dhe Modernizimi i Termocentralit “Kosova B”</w:t>
            </w:r>
          </w:p>
        </w:tc>
      </w:tr>
      <w:tr w:rsidR="00D30D59" w:rsidRPr="003E7289" w14:paraId="673FFCE2" w14:textId="77777777" w:rsidTr="00D42597">
        <w:tc>
          <w:tcPr>
            <w:tcW w:w="2970" w:type="dxa"/>
            <w:gridSpan w:val="2"/>
            <w:vAlign w:val="center"/>
          </w:tcPr>
          <w:p w14:paraId="730AD847" w14:textId="77777777" w:rsidR="00D30D59" w:rsidRPr="003E7289" w:rsidRDefault="00D30D59" w:rsidP="00D30D59">
            <w:pPr>
              <w:widowControl w:val="0"/>
              <w:autoSpaceDE w:val="0"/>
              <w:autoSpaceDN w:val="0"/>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Efikasiteti elektrik neto – [prodhimi neto i energjisë MWh / (linjit i konsumuar x vlera kalorifike e linjitit MWh)]</w:t>
            </w:r>
          </w:p>
          <w:p w14:paraId="2CA0CB02" w14:textId="02180452" w:rsidR="00D30D59" w:rsidRPr="003E7289" w:rsidRDefault="00D30D59" w:rsidP="00D30D59">
            <w:pPr>
              <w:widowControl w:val="0"/>
              <w:autoSpaceDE w:val="0"/>
              <w:autoSpaceDN w:val="0"/>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(përqindje)</w:t>
            </w:r>
          </w:p>
        </w:tc>
        <w:tc>
          <w:tcPr>
            <w:tcW w:w="1706" w:type="dxa"/>
            <w:gridSpan w:val="2"/>
            <w:vAlign w:val="center"/>
          </w:tcPr>
          <w:p w14:paraId="2F98E7F7" w14:textId="77777777" w:rsidR="00D30D59" w:rsidRPr="003E7289" w:rsidRDefault="00D30D59" w:rsidP="00D30D59">
            <w:pPr>
              <w:spacing w:before="0" w:line="240" w:lineRule="auto"/>
              <w:jc w:val="center"/>
              <w:rPr>
                <w:rFonts w:ascii="Arial" w:hAnsi="Arial" w:cs="Arial"/>
                <w:b/>
                <w:bCs/>
                <w:sz w:val="20"/>
                <w:szCs w:val="20"/>
                <w:lang w:val="sq-AL"/>
              </w:rPr>
            </w:pPr>
            <w:r w:rsidRPr="003E7289">
              <w:rPr>
                <w:rFonts w:ascii="Arial" w:hAnsi="Arial" w:cs="Arial"/>
                <w:sz w:val="20"/>
                <w:szCs w:val="20"/>
                <w:lang w:val="sq-AL"/>
              </w:rPr>
              <w:t>Kosova A (24%)</w:t>
            </w:r>
            <w:r w:rsidRPr="003E7289">
              <w:rPr>
                <w:rFonts w:ascii="Arial" w:hAnsi="Arial" w:cs="Arial"/>
                <w:sz w:val="20"/>
                <w:szCs w:val="20"/>
                <w:lang w:val="sq-AL"/>
              </w:rPr>
              <w:br/>
              <w:t>Kosova B (29 %)</w:t>
            </w:r>
          </w:p>
        </w:tc>
        <w:tc>
          <w:tcPr>
            <w:tcW w:w="2700" w:type="dxa"/>
            <w:gridSpan w:val="4"/>
            <w:vAlign w:val="center"/>
          </w:tcPr>
          <w:p w14:paraId="1807B936" w14:textId="77777777" w:rsidR="00D30D59" w:rsidRPr="003E7289" w:rsidRDefault="00D30D59" w:rsidP="00D30D59">
            <w:pPr>
              <w:spacing w:before="0" w:line="240" w:lineRule="auto"/>
              <w:jc w:val="center"/>
              <w:rPr>
                <w:rFonts w:ascii="Arial" w:hAnsi="Arial" w:cs="Arial"/>
                <w:b/>
                <w:bCs/>
                <w:sz w:val="20"/>
                <w:szCs w:val="20"/>
                <w:lang w:val="sq-AL"/>
              </w:rPr>
            </w:pPr>
            <w:r w:rsidRPr="003E7289">
              <w:rPr>
                <w:rFonts w:ascii="Arial" w:hAnsi="Arial" w:cs="Arial"/>
                <w:sz w:val="20"/>
                <w:szCs w:val="20"/>
                <w:lang w:val="sq-AL"/>
              </w:rPr>
              <w:t>Kosova A (27%)</w:t>
            </w:r>
            <w:r w:rsidRPr="003E7289">
              <w:rPr>
                <w:rFonts w:ascii="Arial" w:hAnsi="Arial" w:cs="Arial"/>
                <w:sz w:val="20"/>
                <w:szCs w:val="20"/>
                <w:lang w:val="sq-AL"/>
              </w:rPr>
              <w:br/>
              <w:t>Kosova B (32.5 %)</w:t>
            </w:r>
          </w:p>
        </w:tc>
        <w:tc>
          <w:tcPr>
            <w:tcW w:w="1559" w:type="dxa"/>
            <w:vAlign w:val="center"/>
          </w:tcPr>
          <w:p w14:paraId="7B591538" w14:textId="77777777" w:rsidR="00D30D59" w:rsidRPr="003E7289" w:rsidRDefault="00D30D59" w:rsidP="00D30D59">
            <w:pPr>
              <w:spacing w:before="0" w:line="240" w:lineRule="auto"/>
              <w:jc w:val="center"/>
              <w:rPr>
                <w:rFonts w:ascii="Arial" w:hAnsi="Arial" w:cs="Arial"/>
                <w:b/>
                <w:bCs/>
                <w:sz w:val="20"/>
                <w:szCs w:val="20"/>
                <w:lang w:val="sq-AL"/>
              </w:rPr>
            </w:pPr>
            <w:r w:rsidRPr="003E7289">
              <w:rPr>
                <w:rFonts w:ascii="Arial" w:hAnsi="Arial" w:cs="Arial"/>
                <w:sz w:val="20"/>
                <w:szCs w:val="20"/>
                <w:lang w:val="sq-AL"/>
              </w:rPr>
              <w:t>Kosova A (27.5 %)</w:t>
            </w:r>
            <w:r w:rsidRPr="003E7289">
              <w:rPr>
                <w:rFonts w:ascii="Arial" w:hAnsi="Arial" w:cs="Arial"/>
                <w:sz w:val="20"/>
                <w:szCs w:val="20"/>
                <w:lang w:val="sq-AL"/>
              </w:rPr>
              <w:br/>
              <w:t>Kosova B (33%)</w:t>
            </w:r>
          </w:p>
        </w:tc>
        <w:tc>
          <w:tcPr>
            <w:tcW w:w="6233" w:type="dxa"/>
            <w:gridSpan w:val="5"/>
            <w:vAlign w:val="center"/>
          </w:tcPr>
          <w:p w14:paraId="239005EC" w14:textId="77777777" w:rsidR="00D30D59" w:rsidRPr="003E7289" w:rsidRDefault="00D30D59" w:rsidP="00D30D59">
            <w:pPr>
              <w:spacing w:before="0" w:line="240" w:lineRule="auto"/>
              <w:jc w:val="center"/>
              <w:rPr>
                <w:rFonts w:ascii="Arial" w:hAnsi="Arial" w:cs="Arial"/>
                <w:b/>
                <w:bCs/>
                <w:sz w:val="20"/>
                <w:szCs w:val="20"/>
                <w:lang w:val="sq-AL"/>
              </w:rPr>
            </w:pPr>
            <w:r w:rsidRPr="003E7289">
              <w:rPr>
                <w:rFonts w:ascii="Arial" w:hAnsi="Arial" w:cs="Arial"/>
                <w:sz w:val="20"/>
                <w:szCs w:val="20"/>
                <w:lang w:val="sq-AL"/>
              </w:rPr>
              <w:t>Kosova A (27.5 %)</w:t>
            </w:r>
            <w:r w:rsidRPr="003E7289">
              <w:rPr>
                <w:rFonts w:ascii="Arial" w:hAnsi="Arial" w:cs="Arial"/>
                <w:sz w:val="20"/>
                <w:szCs w:val="20"/>
                <w:lang w:val="sq-AL"/>
              </w:rPr>
              <w:br/>
              <w:t>Kosova B (33 %)</w:t>
            </w:r>
          </w:p>
        </w:tc>
      </w:tr>
      <w:tr w:rsidR="00D30D59" w:rsidRPr="003E7289" w14:paraId="5FC53681" w14:textId="77777777" w:rsidTr="00D42597">
        <w:tc>
          <w:tcPr>
            <w:tcW w:w="2970" w:type="dxa"/>
            <w:gridSpan w:val="2"/>
            <w:vAlign w:val="center"/>
          </w:tcPr>
          <w:p w14:paraId="06C6F584" w14:textId="77777777" w:rsidR="00D30D59" w:rsidRPr="003E7289" w:rsidRDefault="00D30D59" w:rsidP="00D30D59">
            <w:pPr>
              <w:widowControl w:val="0"/>
              <w:autoSpaceDE w:val="0"/>
              <w:autoSpaceDN w:val="0"/>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Faktori i disponueshmërisë [(orët e periudhës - orët e ndërprerjes së planifikuar - orët e ndërprerjes së paplanifikuar/orët e periudhës)x100)]</w:t>
            </w:r>
          </w:p>
          <w:p w14:paraId="1CD55540" w14:textId="19C5807A" w:rsidR="00D30D59" w:rsidRPr="003E7289" w:rsidRDefault="00D30D59" w:rsidP="00D30D59">
            <w:pPr>
              <w:widowControl w:val="0"/>
              <w:autoSpaceDE w:val="0"/>
              <w:autoSpaceDN w:val="0"/>
              <w:spacing w:before="0" w:line="240" w:lineRule="auto"/>
              <w:jc w:val="center"/>
              <w:rPr>
                <w:rFonts w:ascii="Arial" w:hAnsi="Arial" w:cs="Arial"/>
                <w:b/>
                <w:bCs/>
                <w:sz w:val="20"/>
                <w:szCs w:val="20"/>
                <w:lang w:val="sq-AL"/>
              </w:rPr>
            </w:pPr>
            <w:r w:rsidRPr="003E7289">
              <w:rPr>
                <w:rFonts w:ascii="Arial" w:hAnsi="Arial" w:cs="Arial"/>
                <w:b/>
                <w:bCs/>
                <w:sz w:val="20"/>
                <w:szCs w:val="20"/>
                <w:lang w:val="sq-AL"/>
              </w:rPr>
              <w:lastRenderedPageBreak/>
              <w:t>(përqindje)</w:t>
            </w:r>
          </w:p>
        </w:tc>
        <w:tc>
          <w:tcPr>
            <w:tcW w:w="1706" w:type="dxa"/>
            <w:gridSpan w:val="2"/>
            <w:vAlign w:val="center"/>
          </w:tcPr>
          <w:p w14:paraId="3F344859" w14:textId="77777777" w:rsidR="00D30D59" w:rsidRPr="003E7289" w:rsidRDefault="00D30D59" w:rsidP="00D30D59">
            <w:pPr>
              <w:spacing w:before="0" w:line="240" w:lineRule="auto"/>
              <w:jc w:val="center"/>
              <w:rPr>
                <w:rFonts w:ascii="Arial" w:hAnsi="Arial" w:cs="Arial"/>
                <w:b/>
                <w:bCs/>
                <w:sz w:val="20"/>
                <w:szCs w:val="20"/>
                <w:lang w:val="sq-AL"/>
              </w:rPr>
            </w:pPr>
            <w:r w:rsidRPr="003E7289">
              <w:rPr>
                <w:rFonts w:ascii="Arial" w:hAnsi="Arial" w:cs="Arial"/>
                <w:sz w:val="20"/>
                <w:szCs w:val="20"/>
                <w:lang w:val="sq-AL"/>
              </w:rPr>
              <w:lastRenderedPageBreak/>
              <w:t>Kosova A (67.6 %)</w:t>
            </w:r>
            <w:r w:rsidRPr="003E7289">
              <w:rPr>
                <w:rFonts w:ascii="Arial" w:hAnsi="Arial" w:cs="Arial"/>
                <w:sz w:val="20"/>
                <w:szCs w:val="20"/>
                <w:lang w:val="sq-AL"/>
              </w:rPr>
              <w:br/>
              <w:t>Kosova B (86.1%)</w:t>
            </w:r>
          </w:p>
        </w:tc>
        <w:tc>
          <w:tcPr>
            <w:tcW w:w="2700" w:type="dxa"/>
            <w:gridSpan w:val="4"/>
            <w:vAlign w:val="center"/>
          </w:tcPr>
          <w:p w14:paraId="53C85ED7" w14:textId="77777777" w:rsidR="00D30D59" w:rsidRPr="003E7289" w:rsidRDefault="00D30D59" w:rsidP="00D30D59">
            <w:pPr>
              <w:spacing w:before="0" w:line="240" w:lineRule="auto"/>
              <w:jc w:val="center"/>
              <w:rPr>
                <w:rFonts w:ascii="Arial" w:hAnsi="Arial" w:cs="Arial"/>
                <w:b/>
                <w:bCs/>
                <w:sz w:val="20"/>
                <w:szCs w:val="20"/>
                <w:lang w:val="sq-AL"/>
              </w:rPr>
            </w:pPr>
            <w:r w:rsidRPr="003E7289">
              <w:rPr>
                <w:rFonts w:ascii="Arial" w:hAnsi="Arial" w:cs="Arial"/>
                <w:sz w:val="20"/>
                <w:szCs w:val="20"/>
                <w:lang w:val="sq-AL"/>
              </w:rPr>
              <w:t>Kosova A (85 %)</w:t>
            </w:r>
            <w:r w:rsidRPr="003E7289">
              <w:rPr>
                <w:rFonts w:ascii="Arial" w:hAnsi="Arial" w:cs="Arial"/>
                <w:sz w:val="20"/>
                <w:szCs w:val="20"/>
                <w:lang w:val="sq-AL"/>
              </w:rPr>
              <w:br/>
              <w:t>Kosova B (95 %)</w:t>
            </w:r>
          </w:p>
        </w:tc>
        <w:tc>
          <w:tcPr>
            <w:tcW w:w="1559" w:type="dxa"/>
            <w:vAlign w:val="center"/>
          </w:tcPr>
          <w:p w14:paraId="48EB3625" w14:textId="77777777" w:rsidR="00D30D59" w:rsidRPr="003E7289" w:rsidRDefault="00D30D59" w:rsidP="00D30D59">
            <w:pPr>
              <w:spacing w:before="0" w:line="240" w:lineRule="auto"/>
              <w:jc w:val="center"/>
              <w:rPr>
                <w:rFonts w:ascii="Arial" w:hAnsi="Arial" w:cs="Arial"/>
                <w:b/>
                <w:bCs/>
                <w:sz w:val="20"/>
                <w:szCs w:val="20"/>
                <w:lang w:val="sq-AL"/>
              </w:rPr>
            </w:pPr>
            <w:r w:rsidRPr="003E7289">
              <w:rPr>
                <w:rFonts w:ascii="Arial" w:hAnsi="Arial" w:cs="Arial"/>
                <w:sz w:val="20"/>
                <w:szCs w:val="20"/>
                <w:lang w:val="sq-AL"/>
              </w:rPr>
              <w:t>Kosova A (85%)</w:t>
            </w:r>
            <w:r w:rsidRPr="003E7289">
              <w:rPr>
                <w:rFonts w:ascii="Arial" w:hAnsi="Arial" w:cs="Arial"/>
                <w:sz w:val="20"/>
                <w:szCs w:val="20"/>
                <w:lang w:val="sq-AL"/>
              </w:rPr>
              <w:br/>
              <w:t>Kosova B (95%)</w:t>
            </w:r>
          </w:p>
        </w:tc>
        <w:tc>
          <w:tcPr>
            <w:tcW w:w="6233" w:type="dxa"/>
            <w:gridSpan w:val="5"/>
            <w:vAlign w:val="center"/>
          </w:tcPr>
          <w:p w14:paraId="028913B2" w14:textId="77777777" w:rsidR="00D30D59" w:rsidRPr="003E7289" w:rsidRDefault="00D30D59" w:rsidP="00D30D59">
            <w:pPr>
              <w:spacing w:before="0" w:line="240" w:lineRule="auto"/>
              <w:jc w:val="center"/>
              <w:rPr>
                <w:rFonts w:ascii="Arial" w:hAnsi="Arial" w:cs="Arial"/>
                <w:b/>
                <w:bCs/>
                <w:sz w:val="20"/>
                <w:szCs w:val="20"/>
                <w:lang w:val="sq-AL"/>
              </w:rPr>
            </w:pPr>
            <w:r w:rsidRPr="003E7289">
              <w:rPr>
                <w:rFonts w:ascii="Arial" w:hAnsi="Arial" w:cs="Arial"/>
                <w:sz w:val="20"/>
                <w:szCs w:val="20"/>
                <w:lang w:val="sq-AL"/>
              </w:rPr>
              <w:t>Kosova A (&lt; 50.0 (Strategic Reserve))</w:t>
            </w:r>
            <w:r w:rsidRPr="003E7289">
              <w:rPr>
                <w:rFonts w:ascii="Arial" w:hAnsi="Arial" w:cs="Arial"/>
                <w:sz w:val="20"/>
                <w:szCs w:val="20"/>
                <w:lang w:val="sq-AL"/>
              </w:rPr>
              <w:br/>
              <w:t>Kosova B (92%)</w:t>
            </w:r>
          </w:p>
        </w:tc>
      </w:tr>
      <w:tr w:rsidR="00D30D59" w:rsidRPr="003E7289" w14:paraId="31FF6BF4" w14:textId="77777777" w:rsidTr="00D42597">
        <w:tc>
          <w:tcPr>
            <w:tcW w:w="2970" w:type="dxa"/>
            <w:gridSpan w:val="2"/>
            <w:vAlign w:val="center"/>
          </w:tcPr>
          <w:p w14:paraId="2BC8DE77" w14:textId="1DACCB57" w:rsidR="00D30D59" w:rsidRPr="003E7289" w:rsidRDefault="00D30D59" w:rsidP="00D30D59">
            <w:pPr>
              <w:pStyle w:val="Default"/>
              <w:jc w:val="center"/>
              <w:rPr>
                <w:rFonts w:ascii="Arial" w:hAnsi="Arial" w:cs="Arial"/>
                <w:b/>
                <w:bCs/>
                <w:color w:val="auto"/>
                <w:kern w:val="2"/>
                <w:sz w:val="20"/>
                <w:szCs w:val="20"/>
                <w:lang w:val="sq-AL"/>
              </w:rPr>
            </w:pPr>
            <w:r w:rsidRPr="003E7289">
              <w:rPr>
                <w:rFonts w:ascii="Arial" w:hAnsi="Arial" w:cs="Arial"/>
                <w:b/>
                <w:bCs/>
                <w:color w:val="auto"/>
                <w:kern w:val="2"/>
                <w:sz w:val="20"/>
                <w:szCs w:val="20"/>
                <w:lang w:val="sq-AL"/>
              </w:rPr>
              <w:lastRenderedPageBreak/>
              <w:t>Emetimet e lëndës grimcore dhe pluhurit [emetimet e SO2, NOx dhe pluhurit] (mg/Nm3: 6% O2)</w:t>
            </w:r>
          </w:p>
        </w:tc>
        <w:tc>
          <w:tcPr>
            <w:tcW w:w="1706" w:type="dxa"/>
            <w:gridSpan w:val="2"/>
            <w:vAlign w:val="center"/>
          </w:tcPr>
          <w:p w14:paraId="540B3F6A" w14:textId="77777777" w:rsidR="00D30D59" w:rsidRPr="003E7289" w:rsidRDefault="00D30D59" w:rsidP="00D30D59">
            <w:pPr>
              <w:widowControl w:val="0"/>
              <w:autoSpaceDE w:val="0"/>
              <w:autoSpaceDN w:val="0"/>
              <w:spacing w:before="0" w:line="240" w:lineRule="auto"/>
              <w:jc w:val="center"/>
              <w:rPr>
                <w:rFonts w:ascii="Arial" w:hAnsi="Arial" w:cs="Arial"/>
                <w:sz w:val="20"/>
                <w:szCs w:val="20"/>
                <w:lang w:val="sq-AL"/>
              </w:rPr>
            </w:pPr>
            <w:r w:rsidRPr="003E7289">
              <w:rPr>
                <w:rFonts w:ascii="Arial" w:hAnsi="Arial" w:cs="Arial"/>
                <w:sz w:val="20"/>
                <w:szCs w:val="20"/>
                <w:lang w:val="sq-AL"/>
              </w:rPr>
              <w:t>Dust (PM) - &gt; 50</w:t>
            </w:r>
          </w:p>
          <w:p w14:paraId="4E8CAA96" w14:textId="77777777" w:rsidR="00D30D59" w:rsidRPr="003E7289" w:rsidRDefault="00D30D59" w:rsidP="00D30D59">
            <w:pPr>
              <w:widowControl w:val="0"/>
              <w:autoSpaceDE w:val="0"/>
              <w:autoSpaceDN w:val="0"/>
              <w:spacing w:before="0" w:line="240" w:lineRule="auto"/>
              <w:jc w:val="center"/>
              <w:rPr>
                <w:rFonts w:ascii="Arial" w:hAnsi="Arial" w:cs="Arial"/>
                <w:sz w:val="20"/>
                <w:szCs w:val="20"/>
                <w:lang w:val="sq-AL"/>
              </w:rPr>
            </w:pPr>
            <w:r w:rsidRPr="003E7289">
              <w:rPr>
                <w:rFonts w:ascii="Arial" w:hAnsi="Arial" w:cs="Arial"/>
                <w:sz w:val="20"/>
                <w:szCs w:val="20"/>
                <w:lang w:val="sq-AL"/>
              </w:rPr>
              <w:t>SO2 - &gt; 400</w:t>
            </w:r>
          </w:p>
          <w:p w14:paraId="0579179C" w14:textId="77777777" w:rsidR="00D30D59" w:rsidRPr="003E7289" w:rsidRDefault="00D30D59" w:rsidP="00D30D59">
            <w:pPr>
              <w:spacing w:before="0" w:line="240" w:lineRule="auto"/>
              <w:jc w:val="center"/>
              <w:rPr>
                <w:rFonts w:ascii="Arial" w:hAnsi="Arial" w:cs="Arial"/>
                <w:b/>
                <w:bCs/>
                <w:sz w:val="20"/>
                <w:szCs w:val="20"/>
                <w:lang w:val="sq-AL"/>
              </w:rPr>
            </w:pPr>
            <w:r w:rsidRPr="003E7289">
              <w:rPr>
                <w:rFonts w:ascii="Arial" w:hAnsi="Arial" w:cs="Arial"/>
                <w:sz w:val="20"/>
                <w:szCs w:val="20"/>
                <w:lang w:val="sq-AL"/>
              </w:rPr>
              <w:t>NOx - &gt; 500</w:t>
            </w:r>
          </w:p>
        </w:tc>
        <w:tc>
          <w:tcPr>
            <w:tcW w:w="2700" w:type="dxa"/>
            <w:gridSpan w:val="4"/>
            <w:vAlign w:val="center"/>
          </w:tcPr>
          <w:p w14:paraId="118B6A5B" w14:textId="77777777" w:rsidR="00D30D59" w:rsidRPr="003E7289" w:rsidRDefault="00D30D59" w:rsidP="00D30D59">
            <w:pPr>
              <w:widowControl w:val="0"/>
              <w:autoSpaceDE w:val="0"/>
              <w:autoSpaceDN w:val="0"/>
              <w:spacing w:before="0" w:line="240" w:lineRule="auto"/>
              <w:jc w:val="center"/>
              <w:rPr>
                <w:rFonts w:ascii="Arial" w:hAnsi="Arial" w:cs="Arial"/>
                <w:sz w:val="20"/>
                <w:szCs w:val="20"/>
                <w:lang w:val="sq-AL"/>
              </w:rPr>
            </w:pPr>
            <w:r w:rsidRPr="003E7289">
              <w:rPr>
                <w:rFonts w:ascii="Arial" w:hAnsi="Arial" w:cs="Arial"/>
                <w:sz w:val="20"/>
                <w:szCs w:val="20"/>
                <w:lang w:val="sq-AL"/>
              </w:rPr>
              <w:t>Dust (PM) – &lt; 25</w:t>
            </w:r>
          </w:p>
          <w:p w14:paraId="2C7BDEC1" w14:textId="77777777" w:rsidR="00D30D59" w:rsidRPr="003E7289" w:rsidRDefault="00D30D59" w:rsidP="00D30D59">
            <w:pPr>
              <w:widowControl w:val="0"/>
              <w:autoSpaceDE w:val="0"/>
              <w:autoSpaceDN w:val="0"/>
              <w:spacing w:before="0" w:line="240" w:lineRule="auto"/>
              <w:jc w:val="center"/>
              <w:rPr>
                <w:rFonts w:ascii="Arial" w:hAnsi="Arial" w:cs="Arial"/>
                <w:sz w:val="20"/>
                <w:szCs w:val="20"/>
                <w:lang w:val="sq-AL"/>
              </w:rPr>
            </w:pPr>
            <w:r w:rsidRPr="003E7289">
              <w:rPr>
                <w:rFonts w:ascii="Arial" w:hAnsi="Arial" w:cs="Arial"/>
                <w:sz w:val="20"/>
                <w:szCs w:val="20"/>
                <w:lang w:val="sq-AL"/>
              </w:rPr>
              <w:t>SO2 – &lt; 400</w:t>
            </w:r>
          </w:p>
          <w:p w14:paraId="271D66B6" w14:textId="77777777" w:rsidR="00D30D59" w:rsidRPr="003E7289" w:rsidRDefault="00D30D59" w:rsidP="00D30D59">
            <w:pPr>
              <w:spacing w:before="0" w:line="240" w:lineRule="auto"/>
              <w:jc w:val="center"/>
              <w:rPr>
                <w:rFonts w:ascii="Arial" w:hAnsi="Arial" w:cs="Arial"/>
                <w:b/>
                <w:bCs/>
                <w:sz w:val="20"/>
                <w:szCs w:val="20"/>
                <w:lang w:val="sq-AL"/>
              </w:rPr>
            </w:pPr>
            <w:r w:rsidRPr="003E7289">
              <w:rPr>
                <w:rFonts w:ascii="Arial" w:hAnsi="Arial" w:cs="Arial"/>
                <w:sz w:val="20"/>
                <w:szCs w:val="20"/>
                <w:lang w:val="sq-AL"/>
              </w:rPr>
              <w:t>NOx - &lt; 250</w:t>
            </w:r>
          </w:p>
        </w:tc>
        <w:tc>
          <w:tcPr>
            <w:tcW w:w="1559" w:type="dxa"/>
            <w:vAlign w:val="center"/>
          </w:tcPr>
          <w:p w14:paraId="2DFA0A5E" w14:textId="77777777" w:rsidR="00D30D59" w:rsidRPr="003E7289" w:rsidRDefault="00D30D59" w:rsidP="00D30D59">
            <w:pPr>
              <w:widowControl w:val="0"/>
              <w:autoSpaceDE w:val="0"/>
              <w:autoSpaceDN w:val="0"/>
              <w:spacing w:before="0" w:line="240" w:lineRule="auto"/>
              <w:jc w:val="center"/>
              <w:rPr>
                <w:rFonts w:ascii="Arial" w:hAnsi="Arial" w:cs="Arial"/>
                <w:sz w:val="20"/>
                <w:szCs w:val="20"/>
                <w:lang w:val="sq-AL"/>
              </w:rPr>
            </w:pPr>
            <w:r w:rsidRPr="003E7289">
              <w:rPr>
                <w:rFonts w:ascii="Arial" w:hAnsi="Arial" w:cs="Arial"/>
                <w:sz w:val="20"/>
                <w:szCs w:val="20"/>
                <w:lang w:val="sq-AL"/>
              </w:rPr>
              <w:t>Dust (PM) – &lt; 20</w:t>
            </w:r>
          </w:p>
          <w:p w14:paraId="6C6C7F1A" w14:textId="77777777" w:rsidR="00D30D59" w:rsidRPr="003E7289" w:rsidRDefault="00D30D59" w:rsidP="00D30D59">
            <w:pPr>
              <w:widowControl w:val="0"/>
              <w:autoSpaceDE w:val="0"/>
              <w:autoSpaceDN w:val="0"/>
              <w:spacing w:before="0" w:line="240" w:lineRule="auto"/>
              <w:jc w:val="center"/>
              <w:rPr>
                <w:rFonts w:ascii="Arial" w:hAnsi="Arial" w:cs="Arial"/>
                <w:sz w:val="20"/>
                <w:szCs w:val="20"/>
                <w:lang w:val="sq-AL"/>
              </w:rPr>
            </w:pPr>
            <w:r w:rsidRPr="003E7289">
              <w:rPr>
                <w:rFonts w:ascii="Arial" w:hAnsi="Arial" w:cs="Arial"/>
                <w:sz w:val="20"/>
                <w:szCs w:val="20"/>
                <w:lang w:val="sq-AL"/>
              </w:rPr>
              <w:t>SO2 – &lt; 400</w:t>
            </w:r>
          </w:p>
          <w:p w14:paraId="1955092D" w14:textId="77777777" w:rsidR="00D30D59" w:rsidRPr="003E7289" w:rsidRDefault="00D30D59" w:rsidP="00D30D59">
            <w:pPr>
              <w:spacing w:before="0" w:line="240" w:lineRule="auto"/>
              <w:jc w:val="center"/>
              <w:rPr>
                <w:rFonts w:ascii="Arial" w:hAnsi="Arial" w:cs="Arial"/>
                <w:b/>
                <w:bCs/>
                <w:sz w:val="20"/>
                <w:szCs w:val="20"/>
                <w:lang w:val="sq-AL"/>
              </w:rPr>
            </w:pPr>
            <w:r w:rsidRPr="003E7289">
              <w:rPr>
                <w:rFonts w:ascii="Arial" w:hAnsi="Arial" w:cs="Arial"/>
                <w:sz w:val="20"/>
                <w:szCs w:val="20"/>
                <w:lang w:val="sq-AL"/>
              </w:rPr>
              <w:t>NOx - &lt; 200</w:t>
            </w:r>
          </w:p>
        </w:tc>
        <w:tc>
          <w:tcPr>
            <w:tcW w:w="6233" w:type="dxa"/>
            <w:gridSpan w:val="5"/>
            <w:vAlign w:val="center"/>
          </w:tcPr>
          <w:p w14:paraId="6E4DB938" w14:textId="77777777" w:rsidR="00D30D59" w:rsidRPr="003E7289" w:rsidRDefault="00D30D59" w:rsidP="00D30D59">
            <w:pPr>
              <w:widowControl w:val="0"/>
              <w:autoSpaceDE w:val="0"/>
              <w:autoSpaceDN w:val="0"/>
              <w:spacing w:before="0" w:line="240" w:lineRule="auto"/>
              <w:jc w:val="center"/>
              <w:rPr>
                <w:rFonts w:ascii="Arial" w:hAnsi="Arial" w:cs="Arial"/>
                <w:sz w:val="20"/>
                <w:szCs w:val="20"/>
                <w:lang w:val="sq-AL"/>
              </w:rPr>
            </w:pPr>
            <w:r w:rsidRPr="003E7289">
              <w:rPr>
                <w:rFonts w:ascii="Arial" w:hAnsi="Arial" w:cs="Arial"/>
                <w:sz w:val="20"/>
                <w:szCs w:val="20"/>
                <w:lang w:val="sq-AL"/>
              </w:rPr>
              <w:t>Dust (PM) – &lt; 20</w:t>
            </w:r>
          </w:p>
          <w:p w14:paraId="36C78A30" w14:textId="77777777" w:rsidR="00D30D59" w:rsidRPr="003E7289" w:rsidRDefault="00D30D59" w:rsidP="00D30D59">
            <w:pPr>
              <w:widowControl w:val="0"/>
              <w:autoSpaceDE w:val="0"/>
              <w:autoSpaceDN w:val="0"/>
              <w:spacing w:before="0" w:line="240" w:lineRule="auto"/>
              <w:jc w:val="center"/>
              <w:rPr>
                <w:rFonts w:ascii="Arial" w:hAnsi="Arial" w:cs="Arial"/>
                <w:sz w:val="20"/>
                <w:szCs w:val="20"/>
                <w:lang w:val="sq-AL"/>
              </w:rPr>
            </w:pPr>
            <w:r w:rsidRPr="003E7289">
              <w:rPr>
                <w:rFonts w:ascii="Arial" w:hAnsi="Arial" w:cs="Arial"/>
                <w:sz w:val="20"/>
                <w:szCs w:val="20"/>
                <w:lang w:val="sq-AL"/>
              </w:rPr>
              <w:t>SO2 – &lt; 400</w:t>
            </w:r>
          </w:p>
          <w:p w14:paraId="200D1C32" w14:textId="77777777" w:rsidR="00D30D59" w:rsidRPr="003E7289" w:rsidRDefault="00D30D59" w:rsidP="00D30D59">
            <w:pPr>
              <w:spacing w:before="0" w:line="240" w:lineRule="auto"/>
              <w:jc w:val="center"/>
              <w:rPr>
                <w:rFonts w:ascii="Arial" w:hAnsi="Arial" w:cs="Arial"/>
                <w:b/>
                <w:bCs/>
                <w:sz w:val="20"/>
                <w:szCs w:val="20"/>
                <w:lang w:val="sq-AL"/>
              </w:rPr>
            </w:pPr>
            <w:r w:rsidRPr="003E7289">
              <w:rPr>
                <w:rFonts w:ascii="Arial" w:hAnsi="Arial" w:cs="Arial"/>
                <w:sz w:val="20"/>
                <w:szCs w:val="20"/>
                <w:lang w:val="sq-AL"/>
              </w:rPr>
              <w:t>NOx - &lt; 200</w:t>
            </w:r>
          </w:p>
        </w:tc>
      </w:tr>
      <w:tr w:rsidR="00D30D59" w:rsidRPr="003E7289" w14:paraId="22CE34A8" w14:textId="77777777" w:rsidTr="00D42597">
        <w:tc>
          <w:tcPr>
            <w:tcW w:w="2970" w:type="dxa"/>
            <w:gridSpan w:val="2"/>
            <w:vAlign w:val="center"/>
          </w:tcPr>
          <w:p w14:paraId="2EDD358D" w14:textId="1A4C946E" w:rsidR="00D30D59" w:rsidRPr="003E7289" w:rsidRDefault="00D30D59" w:rsidP="00D30D59">
            <w:pPr>
              <w:pStyle w:val="Default"/>
              <w:jc w:val="center"/>
              <w:rPr>
                <w:rFonts w:ascii="Arial" w:hAnsi="Arial" w:cs="Arial"/>
                <w:b/>
                <w:bCs/>
                <w:color w:val="auto"/>
                <w:kern w:val="2"/>
                <w:sz w:val="20"/>
                <w:szCs w:val="20"/>
                <w:lang w:val="sq-AL"/>
              </w:rPr>
            </w:pPr>
            <w:r w:rsidRPr="003E7289">
              <w:rPr>
                <w:rFonts w:ascii="Arial" w:hAnsi="Arial" w:cs="Arial"/>
                <w:b/>
                <w:bCs/>
                <w:color w:val="auto"/>
                <w:kern w:val="2"/>
                <w:sz w:val="20"/>
                <w:szCs w:val="20"/>
                <w:lang w:val="sq-AL"/>
              </w:rPr>
              <w:t>Intensiteti i emetimeve të CO2 (tCO2/MWh)</w:t>
            </w:r>
          </w:p>
        </w:tc>
        <w:tc>
          <w:tcPr>
            <w:tcW w:w="1706" w:type="dxa"/>
            <w:gridSpan w:val="2"/>
            <w:vAlign w:val="center"/>
          </w:tcPr>
          <w:p w14:paraId="775C27C1" w14:textId="77777777" w:rsidR="00D30D59" w:rsidRPr="003E7289" w:rsidRDefault="00D30D59" w:rsidP="00D30D59">
            <w:pPr>
              <w:spacing w:before="0" w:line="240" w:lineRule="auto"/>
              <w:jc w:val="center"/>
              <w:rPr>
                <w:rFonts w:ascii="Arial" w:hAnsi="Arial" w:cs="Arial"/>
                <w:b/>
                <w:bCs/>
                <w:sz w:val="20"/>
                <w:szCs w:val="20"/>
                <w:lang w:val="sq-AL"/>
              </w:rPr>
            </w:pPr>
            <w:r w:rsidRPr="003E7289">
              <w:rPr>
                <w:rFonts w:ascii="Arial" w:hAnsi="Arial" w:cs="Arial"/>
                <w:sz w:val="20"/>
                <w:szCs w:val="20"/>
                <w:lang w:val="sq-AL"/>
              </w:rPr>
              <w:t>Kosova A – 1.60</w:t>
            </w:r>
            <w:r w:rsidRPr="003E7289">
              <w:rPr>
                <w:rFonts w:ascii="Arial" w:hAnsi="Arial" w:cs="Arial"/>
                <w:sz w:val="20"/>
                <w:szCs w:val="20"/>
                <w:lang w:val="sq-AL"/>
              </w:rPr>
              <w:br/>
              <w:t>Kosova B – 1.21</w:t>
            </w:r>
          </w:p>
        </w:tc>
        <w:tc>
          <w:tcPr>
            <w:tcW w:w="2700" w:type="dxa"/>
            <w:gridSpan w:val="4"/>
            <w:vAlign w:val="center"/>
          </w:tcPr>
          <w:p w14:paraId="256E0689" w14:textId="77777777" w:rsidR="00D30D59" w:rsidRPr="003E7289" w:rsidRDefault="00D30D59" w:rsidP="00D30D59">
            <w:pPr>
              <w:spacing w:before="0" w:line="240" w:lineRule="auto"/>
              <w:jc w:val="center"/>
              <w:rPr>
                <w:rFonts w:ascii="Arial" w:hAnsi="Arial" w:cs="Arial"/>
                <w:b/>
                <w:bCs/>
                <w:sz w:val="20"/>
                <w:szCs w:val="20"/>
                <w:lang w:val="sq-AL"/>
              </w:rPr>
            </w:pPr>
            <w:r w:rsidRPr="003E7289">
              <w:rPr>
                <w:rFonts w:ascii="Arial" w:hAnsi="Arial" w:cs="Arial"/>
                <w:sz w:val="20"/>
                <w:szCs w:val="20"/>
                <w:lang w:val="sq-AL"/>
              </w:rPr>
              <w:t>Kosova A – 1.42</w:t>
            </w:r>
            <w:r w:rsidRPr="003E7289">
              <w:rPr>
                <w:rFonts w:ascii="Arial" w:hAnsi="Arial" w:cs="Arial"/>
                <w:sz w:val="20"/>
                <w:szCs w:val="20"/>
                <w:lang w:val="sq-AL"/>
              </w:rPr>
              <w:br/>
              <w:t>Kosova B – 1.08</w:t>
            </w:r>
          </w:p>
        </w:tc>
        <w:tc>
          <w:tcPr>
            <w:tcW w:w="1559" w:type="dxa"/>
            <w:vAlign w:val="center"/>
          </w:tcPr>
          <w:p w14:paraId="08FD6D25" w14:textId="77777777" w:rsidR="00D30D59" w:rsidRPr="003E7289" w:rsidRDefault="00D30D59" w:rsidP="00D30D59">
            <w:pPr>
              <w:spacing w:before="0" w:line="240" w:lineRule="auto"/>
              <w:jc w:val="center"/>
              <w:rPr>
                <w:rFonts w:ascii="Arial" w:hAnsi="Arial" w:cs="Arial"/>
                <w:b/>
                <w:bCs/>
                <w:sz w:val="20"/>
                <w:szCs w:val="20"/>
                <w:lang w:val="sq-AL"/>
              </w:rPr>
            </w:pPr>
            <w:r w:rsidRPr="003E7289">
              <w:rPr>
                <w:rFonts w:ascii="Arial" w:hAnsi="Arial" w:cs="Arial"/>
                <w:sz w:val="20"/>
                <w:szCs w:val="20"/>
                <w:lang w:val="sq-AL"/>
              </w:rPr>
              <w:t>Kosova A – 1.40</w:t>
            </w:r>
            <w:r w:rsidRPr="003E7289">
              <w:rPr>
                <w:rFonts w:ascii="Arial" w:hAnsi="Arial" w:cs="Arial"/>
                <w:sz w:val="20"/>
                <w:szCs w:val="20"/>
                <w:lang w:val="sq-AL"/>
              </w:rPr>
              <w:br/>
              <w:t>Kosova B – 1.06</w:t>
            </w:r>
          </w:p>
        </w:tc>
        <w:tc>
          <w:tcPr>
            <w:tcW w:w="6233" w:type="dxa"/>
            <w:gridSpan w:val="5"/>
            <w:vAlign w:val="center"/>
          </w:tcPr>
          <w:p w14:paraId="7D50E0D5" w14:textId="77777777" w:rsidR="00D30D59" w:rsidRPr="003E7289" w:rsidRDefault="00D30D59" w:rsidP="00D30D59">
            <w:pPr>
              <w:spacing w:before="0" w:line="240" w:lineRule="auto"/>
              <w:jc w:val="center"/>
              <w:rPr>
                <w:rFonts w:ascii="Arial" w:hAnsi="Arial" w:cs="Arial"/>
                <w:b/>
                <w:bCs/>
                <w:sz w:val="20"/>
                <w:szCs w:val="20"/>
                <w:lang w:val="sq-AL"/>
              </w:rPr>
            </w:pPr>
            <w:r w:rsidRPr="003E7289">
              <w:rPr>
                <w:rFonts w:ascii="Arial" w:hAnsi="Arial" w:cs="Arial"/>
                <w:sz w:val="20"/>
                <w:szCs w:val="20"/>
                <w:lang w:val="sq-AL"/>
              </w:rPr>
              <w:t>Kosova A – 1.40</w:t>
            </w:r>
            <w:r w:rsidRPr="003E7289">
              <w:rPr>
                <w:rFonts w:ascii="Arial" w:hAnsi="Arial" w:cs="Arial"/>
                <w:sz w:val="20"/>
                <w:szCs w:val="20"/>
                <w:lang w:val="sq-AL"/>
              </w:rPr>
              <w:br/>
              <w:t>Kosova B – 1.06</w:t>
            </w:r>
          </w:p>
        </w:tc>
      </w:tr>
      <w:tr w:rsidR="00712023" w:rsidRPr="003E7289" w14:paraId="508A4B07" w14:textId="77777777" w:rsidTr="004807C9">
        <w:trPr>
          <w:trHeight w:val="195"/>
        </w:trPr>
        <w:tc>
          <w:tcPr>
            <w:tcW w:w="993" w:type="dxa"/>
            <w:vMerge w:val="restart"/>
            <w:shd w:val="clear" w:color="auto" w:fill="C6E7F6"/>
            <w:vAlign w:val="center"/>
          </w:tcPr>
          <w:p w14:paraId="5BC6CC73" w14:textId="4D69DBAD"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Nr.</w:t>
            </w:r>
          </w:p>
        </w:tc>
        <w:tc>
          <w:tcPr>
            <w:tcW w:w="1977" w:type="dxa"/>
            <w:vMerge w:val="restart"/>
            <w:shd w:val="clear" w:color="auto" w:fill="C6E7F6"/>
            <w:vAlign w:val="center"/>
          </w:tcPr>
          <w:p w14:paraId="749E3330" w14:textId="0F869A6E"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Veprimi</w:t>
            </w:r>
          </w:p>
        </w:tc>
        <w:tc>
          <w:tcPr>
            <w:tcW w:w="1706" w:type="dxa"/>
            <w:gridSpan w:val="2"/>
            <w:vMerge w:val="restart"/>
            <w:shd w:val="clear" w:color="auto" w:fill="C6E7F6"/>
            <w:vAlign w:val="center"/>
          </w:tcPr>
          <w:p w14:paraId="741EA95A" w14:textId="3F82DDD3"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Afati I fundit</w:t>
            </w:r>
          </w:p>
        </w:tc>
        <w:tc>
          <w:tcPr>
            <w:tcW w:w="2700" w:type="dxa"/>
            <w:gridSpan w:val="4"/>
            <w:shd w:val="clear" w:color="auto" w:fill="C6E7F6"/>
            <w:vAlign w:val="center"/>
          </w:tcPr>
          <w:p w14:paraId="5753D7B5" w14:textId="7410B8A5"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Buxheti</w:t>
            </w:r>
          </w:p>
        </w:tc>
        <w:tc>
          <w:tcPr>
            <w:tcW w:w="1559" w:type="dxa"/>
            <w:vMerge w:val="restart"/>
            <w:shd w:val="clear" w:color="auto" w:fill="C6E7F6"/>
            <w:vAlign w:val="center"/>
          </w:tcPr>
          <w:p w14:paraId="468717E4" w14:textId="53A31872"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Burimi i financimit</w:t>
            </w:r>
          </w:p>
        </w:tc>
        <w:tc>
          <w:tcPr>
            <w:tcW w:w="1415" w:type="dxa"/>
            <w:vMerge w:val="restart"/>
            <w:shd w:val="clear" w:color="auto" w:fill="C6E7F6"/>
            <w:vAlign w:val="center"/>
          </w:tcPr>
          <w:p w14:paraId="47AC5733" w14:textId="61C61F54"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Institucionet përgjegjëse dhe partnere</w:t>
            </w:r>
          </w:p>
        </w:tc>
        <w:tc>
          <w:tcPr>
            <w:tcW w:w="1418" w:type="dxa"/>
            <w:vMerge w:val="restart"/>
            <w:shd w:val="clear" w:color="auto" w:fill="C6E7F6"/>
            <w:vAlign w:val="center"/>
          </w:tcPr>
          <w:p w14:paraId="399A2368" w14:textId="656F0FF6"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Rezultati i pritur</w:t>
            </w:r>
          </w:p>
        </w:tc>
        <w:tc>
          <w:tcPr>
            <w:tcW w:w="3400" w:type="dxa"/>
            <w:gridSpan w:val="3"/>
            <w:vMerge w:val="restart"/>
            <w:shd w:val="clear" w:color="auto" w:fill="C6E7F6"/>
            <w:vAlign w:val="center"/>
          </w:tcPr>
          <w:p w14:paraId="694D2B7D" w14:textId="31CD56D5"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Dokumenti strategjik referues</w:t>
            </w:r>
          </w:p>
        </w:tc>
      </w:tr>
      <w:tr w:rsidR="00712023" w:rsidRPr="003E7289" w14:paraId="508FF755" w14:textId="77777777" w:rsidTr="004807C9">
        <w:trPr>
          <w:trHeight w:val="195"/>
        </w:trPr>
        <w:tc>
          <w:tcPr>
            <w:tcW w:w="993" w:type="dxa"/>
            <w:vMerge/>
            <w:vAlign w:val="center"/>
          </w:tcPr>
          <w:p w14:paraId="646D259B" w14:textId="77777777" w:rsidR="00712023" w:rsidRPr="003E7289" w:rsidRDefault="00712023" w:rsidP="00712023">
            <w:pPr>
              <w:spacing w:before="0" w:line="240" w:lineRule="auto"/>
              <w:jc w:val="center"/>
              <w:rPr>
                <w:rFonts w:ascii="Arial" w:hAnsi="Arial" w:cs="Arial"/>
                <w:sz w:val="20"/>
                <w:szCs w:val="20"/>
                <w:lang w:val="sq-AL"/>
              </w:rPr>
            </w:pPr>
          </w:p>
        </w:tc>
        <w:tc>
          <w:tcPr>
            <w:tcW w:w="1977" w:type="dxa"/>
            <w:vMerge/>
            <w:vAlign w:val="center"/>
          </w:tcPr>
          <w:p w14:paraId="4A4891E3" w14:textId="77777777" w:rsidR="00712023" w:rsidRPr="003E7289" w:rsidRDefault="00712023" w:rsidP="00712023">
            <w:pPr>
              <w:spacing w:before="0" w:line="240" w:lineRule="auto"/>
              <w:jc w:val="center"/>
              <w:rPr>
                <w:rFonts w:ascii="Arial" w:hAnsi="Arial" w:cs="Arial"/>
                <w:b/>
                <w:bCs/>
                <w:sz w:val="20"/>
                <w:szCs w:val="20"/>
                <w:lang w:val="sq-AL"/>
              </w:rPr>
            </w:pPr>
          </w:p>
        </w:tc>
        <w:tc>
          <w:tcPr>
            <w:tcW w:w="1706" w:type="dxa"/>
            <w:gridSpan w:val="2"/>
            <w:vMerge/>
            <w:vAlign w:val="center"/>
          </w:tcPr>
          <w:p w14:paraId="5D117E7D" w14:textId="77777777" w:rsidR="00712023" w:rsidRPr="003E7289" w:rsidRDefault="00712023" w:rsidP="00712023">
            <w:pPr>
              <w:spacing w:before="0" w:line="240" w:lineRule="auto"/>
              <w:jc w:val="center"/>
              <w:rPr>
                <w:rFonts w:ascii="Arial" w:hAnsi="Arial" w:cs="Arial"/>
                <w:b/>
                <w:bCs/>
                <w:sz w:val="20"/>
                <w:szCs w:val="20"/>
                <w:lang w:val="sq-AL"/>
              </w:rPr>
            </w:pPr>
          </w:p>
        </w:tc>
        <w:tc>
          <w:tcPr>
            <w:tcW w:w="902" w:type="dxa"/>
            <w:shd w:val="clear" w:color="auto" w:fill="C6E7F6"/>
            <w:vAlign w:val="center"/>
          </w:tcPr>
          <w:p w14:paraId="032E7720"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2026</w:t>
            </w:r>
          </w:p>
        </w:tc>
        <w:tc>
          <w:tcPr>
            <w:tcW w:w="900" w:type="dxa"/>
            <w:shd w:val="clear" w:color="auto" w:fill="C6E7F6"/>
            <w:vAlign w:val="center"/>
          </w:tcPr>
          <w:p w14:paraId="289CC7D0"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2027</w:t>
            </w:r>
          </w:p>
        </w:tc>
        <w:tc>
          <w:tcPr>
            <w:tcW w:w="898" w:type="dxa"/>
            <w:gridSpan w:val="2"/>
            <w:shd w:val="clear" w:color="auto" w:fill="C6E7F6"/>
            <w:vAlign w:val="center"/>
          </w:tcPr>
          <w:p w14:paraId="21AA5174"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2028</w:t>
            </w:r>
          </w:p>
        </w:tc>
        <w:tc>
          <w:tcPr>
            <w:tcW w:w="1559" w:type="dxa"/>
            <w:vMerge/>
            <w:vAlign w:val="center"/>
          </w:tcPr>
          <w:p w14:paraId="1E03A649" w14:textId="77777777" w:rsidR="00712023" w:rsidRPr="003E7289" w:rsidRDefault="00712023" w:rsidP="00712023">
            <w:pPr>
              <w:spacing w:before="0" w:line="240" w:lineRule="auto"/>
              <w:jc w:val="center"/>
              <w:rPr>
                <w:rFonts w:ascii="Arial" w:hAnsi="Arial" w:cs="Arial"/>
                <w:b/>
                <w:bCs/>
                <w:sz w:val="20"/>
                <w:szCs w:val="20"/>
                <w:lang w:val="sq-AL"/>
              </w:rPr>
            </w:pPr>
          </w:p>
        </w:tc>
        <w:tc>
          <w:tcPr>
            <w:tcW w:w="1415" w:type="dxa"/>
            <w:vMerge/>
            <w:vAlign w:val="center"/>
          </w:tcPr>
          <w:p w14:paraId="0D0EFB84" w14:textId="77777777" w:rsidR="00712023" w:rsidRPr="003E7289" w:rsidRDefault="00712023" w:rsidP="00712023">
            <w:pPr>
              <w:spacing w:before="0" w:line="240" w:lineRule="auto"/>
              <w:jc w:val="center"/>
              <w:rPr>
                <w:rFonts w:ascii="Arial" w:hAnsi="Arial" w:cs="Arial"/>
                <w:b/>
                <w:bCs/>
                <w:sz w:val="20"/>
                <w:szCs w:val="20"/>
                <w:lang w:val="sq-AL"/>
              </w:rPr>
            </w:pPr>
          </w:p>
        </w:tc>
        <w:tc>
          <w:tcPr>
            <w:tcW w:w="1418" w:type="dxa"/>
            <w:vMerge/>
            <w:vAlign w:val="center"/>
          </w:tcPr>
          <w:p w14:paraId="12D3A4E3" w14:textId="77777777" w:rsidR="00712023" w:rsidRPr="003E7289" w:rsidRDefault="00712023" w:rsidP="00712023">
            <w:pPr>
              <w:spacing w:before="0" w:line="240" w:lineRule="auto"/>
              <w:jc w:val="center"/>
              <w:rPr>
                <w:rFonts w:ascii="Arial" w:hAnsi="Arial" w:cs="Arial"/>
                <w:b/>
                <w:bCs/>
                <w:sz w:val="20"/>
                <w:szCs w:val="20"/>
                <w:lang w:val="sq-AL"/>
              </w:rPr>
            </w:pPr>
          </w:p>
        </w:tc>
        <w:tc>
          <w:tcPr>
            <w:tcW w:w="3400" w:type="dxa"/>
            <w:gridSpan w:val="3"/>
            <w:vMerge/>
            <w:vAlign w:val="center"/>
          </w:tcPr>
          <w:p w14:paraId="5C695934" w14:textId="77777777" w:rsidR="00712023" w:rsidRPr="003E7289" w:rsidRDefault="00712023" w:rsidP="00712023">
            <w:pPr>
              <w:spacing w:before="0" w:line="240" w:lineRule="auto"/>
              <w:jc w:val="center"/>
              <w:rPr>
                <w:rFonts w:ascii="Arial" w:hAnsi="Arial" w:cs="Arial"/>
                <w:b/>
                <w:bCs/>
                <w:sz w:val="20"/>
                <w:szCs w:val="20"/>
                <w:lang w:val="sq-AL"/>
              </w:rPr>
            </w:pPr>
          </w:p>
        </w:tc>
      </w:tr>
      <w:tr w:rsidR="00712023" w:rsidRPr="003E7289" w14:paraId="5E90B1F7" w14:textId="77777777" w:rsidTr="004807C9">
        <w:tc>
          <w:tcPr>
            <w:tcW w:w="993" w:type="dxa"/>
            <w:vAlign w:val="center"/>
          </w:tcPr>
          <w:p w14:paraId="3E1050BF" w14:textId="72DD7EB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II.2</w:t>
            </w:r>
            <w:r w:rsidR="00E0225B" w:rsidRPr="003E7289">
              <w:rPr>
                <w:rFonts w:ascii="Arial" w:hAnsi="Arial" w:cs="Arial"/>
                <w:b/>
                <w:bCs/>
                <w:sz w:val="20"/>
                <w:szCs w:val="20"/>
                <w:lang w:val="sq-AL"/>
              </w:rPr>
              <w:t>3</w:t>
            </w:r>
            <w:r w:rsidRPr="003E7289">
              <w:rPr>
                <w:rFonts w:ascii="Arial" w:hAnsi="Arial" w:cs="Arial"/>
                <w:b/>
                <w:bCs/>
                <w:sz w:val="20"/>
                <w:szCs w:val="20"/>
                <w:lang w:val="sq-AL"/>
              </w:rPr>
              <w:t>.1</w:t>
            </w:r>
          </w:p>
        </w:tc>
        <w:tc>
          <w:tcPr>
            <w:tcW w:w="1977" w:type="dxa"/>
            <w:vAlign w:val="center"/>
          </w:tcPr>
          <w:p w14:paraId="12F67333" w14:textId="15BAC2CD" w:rsidR="00712023" w:rsidRPr="003E7289" w:rsidRDefault="00A61B74" w:rsidP="00A61B74">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Vlerësim inxhinierik dhe hartim i planit të rehabilitimit për njësitë Kosova A dhe B</w:t>
            </w:r>
          </w:p>
        </w:tc>
        <w:tc>
          <w:tcPr>
            <w:tcW w:w="1706" w:type="dxa"/>
            <w:gridSpan w:val="2"/>
            <w:vAlign w:val="center"/>
          </w:tcPr>
          <w:p w14:paraId="13AE2DC4" w14:textId="77777777"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2027</w:t>
            </w:r>
          </w:p>
        </w:tc>
        <w:tc>
          <w:tcPr>
            <w:tcW w:w="902" w:type="dxa"/>
            <w:vAlign w:val="center"/>
          </w:tcPr>
          <w:p w14:paraId="1C1E818F" w14:textId="77777777"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w:t>
            </w:r>
          </w:p>
        </w:tc>
        <w:tc>
          <w:tcPr>
            <w:tcW w:w="900" w:type="dxa"/>
            <w:vAlign w:val="center"/>
          </w:tcPr>
          <w:p w14:paraId="595D1E1E" w14:textId="77777777" w:rsidR="00712023" w:rsidRPr="003E7289" w:rsidRDefault="00712023" w:rsidP="00712023">
            <w:pPr>
              <w:spacing w:before="0" w:line="240" w:lineRule="auto"/>
              <w:jc w:val="center"/>
              <w:rPr>
                <w:rFonts w:ascii="Arial" w:hAnsi="Arial" w:cs="Arial"/>
                <w:sz w:val="20"/>
                <w:szCs w:val="20"/>
                <w:lang w:val="sq-AL"/>
              </w:rPr>
            </w:pPr>
          </w:p>
        </w:tc>
        <w:tc>
          <w:tcPr>
            <w:tcW w:w="898" w:type="dxa"/>
            <w:gridSpan w:val="2"/>
            <w:vAlign w:val="center"/>
          </w:tcPr>
          <w:p w14:paraId="64595690" w14:textId="77777777" w:rsidR="00712023" w:rsidRPr="003E7289" w:rsidRDefault="00712023" w:rsidP="00712023">
            <w:pPr>
              <w:spacing w:before="0" w:line="240" w:lineRule="auto"/>
              <w:jc w:val="center"/>
              <w:rPr>
                <w:rFonts w:ascii="Arial" w:hAnsi="Arial" w:cs="Arial"/>
                <w:sz w:val="20"/>
                <w:szCs w:val="20"/>
                <w:lang w:val="sq-AL"/>
              </w:rPr>
            </w:pPr>
          </w:p>
        </w:tc>
        <w:tc>
          <w:tcPr>
            <w:tcW w:w="1559" w:type="dxa"/>
            <w:vAlign w:val="center"/>
          </w:tcPr>
          <w:p w14:paraId="525AC135" w14:textId="77777777" w:rsidR="00712023" w:rsidRPr="003E7289" w:rsidRDefault="00712023" w:rsidP="00712023">
            <w:pPr>
              <w:spacing w:before="0" w:line="240" w:lineRule="auto"/>
              <w:jc w:val="center"/>
              <w:rPr>
                <w:rFonts w:ascii="Arial" w:hAnsi="Arial" w:cs="Arial"/>
                <w:b/>
                <w:bCs/>
                <w:sz w:val="20"/>
                <w:szCs w:val="20"/>
                <w:lang w:val="sq-AL"/>
              </w:rPr>
            </w:pPr>
          </w:p>
        </w:tc>
        <w:tc>
          <w:tcPr>
            <w:tcW w:w="1415" w:type="dxa"/>
            <w:vMerge w:val="restart"/>
            <w:vAlign w:val="center"/>
          </w:tcPr>
          <w:p w14:paraId="73DA4CC3"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Qeveria e Kosovës</w:t>
            </w:r>
          </w:p>
          <w:p w14:paraId="18BFD5A5"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Ministria e Ekonomisë</w:t>
            </w:r>
          </w:p>
          <w:p w14:paraId="1273D7B6"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 xml:space="preserve"> Ministria e Financave</w:t>
            </w:r>
          </w:p>
          <w:p w14:paraId="01272083"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Fondi për Efiçiencë të Energjisë i Kosovës</w:t>
            </w:r>
          </w:p>
          <w:p w14:paraId="5516E854"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KEK</w:t>
            </w:r>
          </w:p>
          <w:p w14:paraId="6ADBB4D5"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Zyra e Rregullatorit për Energji (ERO)</w:t>
            </w:r>
          </w:p>
          <w:p w14:paraId="09B53E47"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t>Operator i Sistemit, Transmetimit dhe Tregut të Energjisë Elektrike (KOSTT)</w:t>
            </w:r>
          </w:p>
          <w:p w14:paraId="0922D6AE" w14:textId="77777777" w:rsidR="00712023" w:rsidRPr="003E7289" w:rsidRDefault="00712023" w:rsidP="00F36447">
            <w:pPr>
              <w:pStyle w:val="ListParagraph"/>
              <w:numPr>
                <w:ilvl w:val="0"/>
                <w:numId w:val="27"/>
              </w:numPr>
              <w:spacing w:before="0"/>
              <w:ind w:left="139" w:hanging="180"/>
              <w:rPr>
                <w:rFonts w:ascii="Arial" w:hAnsi="Arial" w:cs="Arial"/>
                <w:color w:val="000000" w:themeColor="text1"/>
                <w:sz w:val="20"/>
                <w:szCs w:val="20"/>
                <w:lang w:val="sq-AL"/>
              </w:rPr>
            </w:pPr>
            <w:r w:rsidRPr="003E7289">
              <w:rPr>
                <w:rFonts w:ascii="Arial" w:hAnsi="Arial" w:cs="Arial"/>
                <w:color w:val="000000" w:themeColor="text1"/>
                <w:sz w:val="20"/>
                <w:szCs w:val="20"/>
                <w:lang w:val="sq-AL"/>
              </w:rPr>
              <w:lastRenderedPageBreak/>
              <w:t>Kompania për Distribuimin e Energjisë Elektrike në Kosovë (KEDS)</w:t>
            </w:r>
          </w:p>
          <w:p w14:paraId="7EB2E17F" w14:textId="18927D1F" w:rsidR="00712023" w:rsidRPr="003E7289" w:rsidRDefault="00712023" w:rsidP="00F36447">
            <w:pPr>
              <w:pStyle w:val="ListParagraph"/>
              <w:numPr>
                <w:ilvl w:val="0"/>
                <w:numId w:val="27"/>
              </w:numPr>
              <w:spacing w:before="0" w:line="240" w:lineRule="auto"/>
              <w:ind w:left="139" w:hanging="180"/>
              <w:rPr>
                <w:rFonts w:ascii="Arial" w:hAnsi="Arial" w:cs="Arial"/>
                <w:b/>
                <w:bCs/>
                <w:color w:val="EE0000"/>
                <w:sz w:val="20"/>
                <w:szCs w:val="20"/>
                <w:lang w:val="sq-AL"/>
              </w:rPr>
            </w:pPr>
            <w:r w:rsidRPr="003E7289">
              <w:rPr>
                <w:rFonts w:ascii="Arial" w:hAnsi="Arial" w:cs="Arial"/>
                <w:color w:val="000000" w:themeColor="text1"/>
                <w:sz w:val="20"/>
                <w:szCs w:val="20"/>
                <w:lang w:val="sq-AL"/>
              </w:rPr>
              <w:t>Ngrohtorja e qytetit – DH Termokos</w:t>
            </w:r>
          </w:p>
        </w:tc>
        <w:tc>
          <w:tcPr>
            <w:tcW w:w="1418" w:type="dxa"/>
            <w:vAlign w:val="center"/>
          </w:tcPr>
          <w:p w14:paraId="2F81BDC6" w14:textId="4D5365AF" w:rsidR="00712023" w:rsidRPr="003E7289" w:rsidRDefault="00A61B74" w:rsidP="00A61B74">
            <w:pPr>
              <w:spacing w:before="0" w:line="240" w:lineRule="auto"/>
              <w:jc w:val="center"/>
              <w:rPr>
                <w:rFonts w:ascii="Arial" w:hAnsi="Arial" w:cs="Arial"/>
                <w:sz w:val="20"/>
                <w:szCs w:val="20"/>
                <w:lang w:val="sq-AL"/>
              </w:rPr>
            </w:pPr>
            <w:r w:rsidRPr="003E7289">
              <w:rPr>
                <w:rFonts w:ascii="Arial" w:hAnsi="Arial" w:cs="Arial"/>
                <w:sz w:val="20"/>
                <w:szCs w:val="20"/>
                <w:lang w:val="sq-AL"/>
              </w:rPr>
              <w:lastRenderedPageBreak/>
              <w:t>Plani i plotë teknik i rehabilitimit i miratuar për dy njësi në “Kosova B” dhe një njësi në “Kosova A”, përfshirë masat për kontrollin e emisioneve dhe specifikat për përmirësimin e efikasitetit.</w:t>
            </w:r>
            <w:r w:rsidR="00712023" w:rsidRPr="003E7289">
              <w:rPr>
                <w:rFonts w:ascii="Arial" w:hAnsi="Arial" w:cs="Arial"/>
                <w:sz w:val="20"/>
                <w:szCs w:val="20"/>
                <w:lang w:val="sq-AL"/>
              </w:rPr>
              <w:t>.</w:t>
            </w:r>
          </w:p>
        </w:tc>
        <w:tc>
          <w:tcPr>
            <w:tcW w:w="3400" w:type="dxa"/>
            <w:gridSpan w:val="3"/>
            <w:vAlign w:val="center"/>
          </w:tcPr>
          <w:p w14:paraId="1F5A197E" w14:textId="36532A4B" w:rsidR="00712023" w:rsidRPr="003E7289" w:rsidRDefault="00BE39C7"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Strategjia</w:t>
            </w:r>
            <w:r w:rsidR="00D30D59" w:rsidRPr="003E7289">
              <w:rPr>
                <w:rFonts w:ascii="Arial" w:hAnsi="Arial" w:cs="Arial"/>
                <w:sz w:val="20"/>
                <w:szCs w:val="20"/>
                <w:lang w:val="sq-AL"/>
              </w:rPr>
              <w:t xml:space="preserve"> e Energjisë 2022–2031</w:t>
            </w:r>
          </w:p>
        </w:tc>
      </w:tr>
      <w:tr w:rsidR="00712023" w:rsidRPr="003E7289" w14:paraId="1D53F68F" w14:textId="77777777" w:rsidTr="004807C9">
        <w:tc>
          <w:tcPr>
            <w:tcW w:w="993" w:type="dxa"/>
            <w:vAlign w:val="center"/>
          </w:tcPr>
          <w:p w14:paraId="70083D99" w14:textId="2F8A43CF"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II.2</w:t>
            </w:r>
            <w:r w:rsidR="00E0225B" w:rsidRPr="003E7289">
              <w:rPr>
                <w:rFonts w:ascii="Arial" w:hAnsi="Arial" w:cs="Arial"/>
                <w:b/>
                <w:bCs/>
                <w:sz w:val="20"/>
                <w:szCs w:val="20"/>
                <w:lang w:val="sq-AL"/>
              </w:rPr>
              <w:t>3</w:t>
            </w:r>
            <w:r w:rsidRPr="003E7289">
              <w:rPr>
                <w:rFonts w:ascii="Arial" w:hAnsi="Arial" w:cs="Arial"/>
                <w:b/>
                <w:bCs/>
                <w:sz w:val="20"/>
                <w:szCs w:val="20"/>
                <w:lang w:val="sq-AL"/>
              </w:rPr>
              <w:t>.2</w:t>
            </w:r>
          </w:p>
        </w:tc>
        <w:tc>
          <w:tcPr>
            <w:tcW w:w="1977" w:type="dxa"/>
            <w:vAlign w:val="center"/>
          </w:tcPr>
          <w:p w14:paraId="073013DE" w14:textId="2958B340" w:rsidR="00712023" w:rsidRPr="003E7289" w:rsidRDefault="00A61B74" w:rsidP="00A61B74">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Zbatimi i punimeve të modernizimit në Termocentralin “Kosova B”</w:t>
            </w:r>
          </w:p>
        </w:tc>
        <w:tc>
          <w:tcPr>
            <w:tcW w:w="1706" w:type="dxa"/>
            <w:gridSpan w:val="2"/>
            <w:vAlign w:val="center"/>
          </w:tcPr>
          <w:p w14:paraId="5A76D3BC" w14:textId="77777777"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2029</w:t>
            </w:r>
          </w:p>
        </w:tc>
        <w:tc>
          <w:tcPr>
            <w:tcW w:w="902" w:type="dxa"/>
            <w:vAlign w:val="center"/>
          </w:tcPr>
          <w:p w14:paraId="1BA5B3F5" w14:textId="61135528"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~30 mil €</w:t>
            </w:r>
          </w:p>
        </w:tc>
        <w:tc>
          <w:tcPr>
            <w:tcW w:w="900" w:type="dxa"/>
            <w:vAlign w:val="center"/>
          </w:tcPr>
          <w:p w14:paraId="3EF57D9E" w14:textId="2391084B"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~30 mil €</w:t>
            </w:r>
          </w:p>
        </w:tc>
        <w:tc>
          <w:tcPr>
            <w:tcW w:w="898" w:type="dxa"/>
            <w:gridSpan w:val="2"/>
            <w:vAlign w:val="center"/>
          </w:tcPr>
          <w:p w14:paraId="6AE0F867" w14:textId="2E426DEB"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~40.593 mil €</w:t>
            </w:r>
          </w:p>
        </w:tc>
        <w:tc>
          <w:tcPr>
            <w:tcW w:w="1559" w:type="dxa"/>
            <w:vAlign w:val="center"/>
          </w:tcPr>
          <w:p w14:paraId="53A677BC" w14:textId="7A91E15F" w:rsidR="00712023" w:rsidRPr="003E7289" w:rsidRDefault="00A61B74"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Zyra e BE-së në Prishtina</w:t>
            </w:r>
          </w:p>
        </w:tc>
        <w:tc>
          <w:tcPr>
            <w:tcW w:w="1415" w:type="dxa"/>
            <w:vMerge/>
            <w:vAlign w:val="center"/>
          </w:tcPr>
          <w:p w14:paraId="344C4BED" w14:textId="77777777" w:rsidR="00712023" w:rsidRPr="003E7289" w:rsidRDefault="00712023" w:rsidP="00712023">
            <w:pPr>
              <w:spacing w:before="0" w:line="240" w:lineRule="auto"/>
              <w:jc w:val="center"/>
              <w:rPr>
                <w:rFonts w:ascii="Arial" w:hAnsi="Arial" w:cs="Arial"/>
                <w:b/>
                <w:bCs/>
                <w:sz w:val="20"/>
                <w:szCs w:val="20"/>
                <w:lang w:val="sq-AL"/>
              </w:rPr>
            </w:pPr>
          </w:p>
        </w:tc>
        <w:tc>
          <w:tcPr>
            <w:tcW w:w="1418" w:type="dxa"/>
            <w:vAlign w:val="center"/>
          </w:tcPr>
          <w:p w14:paraId="6E099AC3" w14:textId="64CF2DBD" w:rsidR="00712023" w:rsidRPr="003E7289" w:rsidRDefault="00A61B74" w:rsidP="00A61B74">
            <w:pPr>
              <w:spacing w:before="0" w:line="240" w:lineRule="auto"/>
              <w:jc w:val="center"/>
              <w:rPr>
                <w:rFonts w:ascii="Arial" w:hAnsi="Arial" w:cs="Arial"/>
                <w:sz w:val="20"/>
                <w:szCs w:val="20"/>
                <w:lang w:val="sq-AL"/>
              </w:rPr>
            </w:pPr>
            <w:r w:rsidRPr="003E7289">
              <w:rPr>
                <w:rFonts w:ascii="Arial" w:hAnsi="Arial" w:cs="Arial"/>
                <w:sz w:val="20"/>
                <w:szCs w:val="20"/>
                <w:lang w:val="sq-AL"/>
              </w:rPr>
              <w:t xml:space="preserve">Dy njësi të “Kosova B” janë rinovuar plotësisht dhe janë në funksion, me efikasitet neto të përmirësuar në 33%, koeficient të disponueshmërisë të rritur </w:t>
            </w:r>
            <w:r w:rsidRPr="003E7289">
              <w:rPr>
                <w:rFonts w:ascii="Arial" w:hAnsi="Arial" w:cs="Arial"/>
                <w:sz w:val="20"/>
                <w:szCs w:val="20"/>
                <w:lang w:val="sq-AL"/>
              </w:rPr>
              <w:lastRenderedPageBreak/>
              <w:t>në 95% dhe emisione të reduktuara ndjeshëm të PM, SO</w:t>
            </w:r>
            <w:r w:rsidRPr="003E7289">
              <w:rPr>
                <w:rFonts w:ascii="Cambria Math" w:hAnsi="Cambria Math" w:cs="Cambria Math"/>
                <w:sz w:val="20"/>
                <w:szCs w:val="20"/>
                <w:lang w:val="sq-AL"/>
              </w:rPr>
              <w:t>₂</w:t>
            </w:r>
            <w:r w:rsidRPr="003E7289">
              <w:rPr>
                <w:rFonts w:ascii="Arial" w:hAnsi="Arial" w:cs="Arial"/>
                <w:sz w:val="20"/>
                <w:szCs w:val="20"/>
                <w:lang w:val="sq-AL"/>
              </w:rPr>
              <w:t xml:space="preserve"> dhe NOₓ.</w:t>
            </w:r>
          </w:p>
        </w:tc>
        <w:tc>
          <w:tcPr>
            <w:tcW w:w="3400" w:type="dxa"/>
            <w:gridSpan w:val="3"/>
            <w:vAlign w:val="center"/>
          </w:tcPr>
          <w:p w14:paraId="0183189D" w14:textId="66581764" w:rsidR="00712023" w:rsidRPr="003E7289" w:rsidRDefault="00BE39C7"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lastRenderedPageBreak/>
              <w:t>Strategjia</w:t>
            </w:r>
            <w:r w:rsidR="00D30D59" w:rsidRPr="003E7289">
              <w:rPr>
                <w:rFonts w:ascii="Arial" w:hAnsi="Arial" w:cs="Arial"/>
                <w:sz w:val="20"/>
                <w:szCs w:val="20"/>
                <w:lang w:val="sq-AL"/>
              </w:rPr>
              <w:t xml:space="preserve"> e Energjisë 2022–2031</w:t>
            </w:r>
          </w:p>
        </w:tc>
      </w:tr>
      <w:tr w:rsidR="00712023" w:rsidRPr="003E7289" w14:paraId="73645587" w14:textId="77777777" w:rsidTr="004807C9">
        <w:tc>
          <w:tcPr>
            <w:tcW w:w="993" w:type="dxa"/>
            <w:vAlign w:val="center"/>
          </w:tcPr>
          <w:p w14:paraId="39269648" w14:textId="5C864433"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lastRenderedPageBreak/>
              <w:t>II.2</w:t>
            </w:r>
            <w:r w:rsidR="00E0225B" w:rsidRPr="003E7289">
              <w:rPr>
                <w:rFonts w:ascii="Arial" w:hAnsi="Arial" w:cs="Arial"/>
                <w:b/>
                <w:bCs/>
                <w:sz w:val="20"/>
                <w:szCs w:val="20"/>
                <w:lang w:val="sq-AL"/>
              </w:rPr>
              <w:t>3</w:t>
            </w:r>
            <w:r w:rsidRPr="003E7289">
              <w:rPr>
                <w:rFonts w:ascii="Arial" w:hAnsi="Arial" w:cs="Arial"/>
                <w:b/>
                <w:bCs/>
                <w:sz w:val="20"/>
                <w:szCs w:val="20"/>
                <w:lang w:val="sq-AL"/>
              </w:rPr>
              <w:t>.3</w:t>
            </w:r>
          </w:p>
        </w:tc>
        <w:tc>
          <w:tcPr>
            <w:tcW w:w="1977" w:type="dxa"/>
            <w:vAlign w:val="center"/>
          </w:tcPr>
          <w:p w14:paraId="18600E54" w14:textId="51669E3D" w:rsidR="00712023" w:rsidRPr="003E7289" w:rsidRDefault="00A61B74" w:rsidP="00A61B74">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Konvertimi i njësisë “Kosova A” në rezervë strategjike dhe realizimi i përmirësimeve të synuara për efikasitet</w:t>
            </w:r>
          </w:p>
        </w:tc>
        <w:tc>
          <w:tcPr>
            <w:tcW w:w="1706" w:type="dxa"/>
            <w:gridSpan w:val="2"/>
            <w:vAlign w:val="center"/>
          </w:tcPr>
          <w:p w14:paraId="3812774B" w14:textId="77777777"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2030</w:t>
            </w:r>
          </w:p>
        </w:tc>
        <w:tc>
          <w:tcPr>
            <w:tcW w:w="902" w:type="dxa"/>
            <w:vAlign w:val="center"/>
          </w:tcPr>
          <w:p w14:paraId="37775CBA" w14:textId="528C97DA"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~50 mil €</w:t>
            </w:r>
          </w:p>
        </w:tc>
        <w:tc>
          <w:tcPr>
            <w:tcW w:w="900" w:type="dxa"/>
            <w:vAlign w:val="center"/>
          </w:tcPr>
          <w:p w14:paraId="792D154C" w14:textId="0785E8B0"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~67.74 mil €</w:t>
            </w:r>
          </w:p>
        </w:tc>
        <w:tc>
          <w:tcPr>
            <w:tcW w:w="898" w:type="dxa"/>
            <w:gridSpan w:val="2"/>
            <w:vAlign w:val="center"/>
          </w:tcPr>
          <w:p w14:paraId="5196FA9F" w14:textId="787E6029"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~20 mil €</w:t>
            </w:r>
          </w:p>
        </w:tc>
        <w:tc>
          <w:tcPr>
            <w:tcW w:w="1559" w:type="dxa"/>
            <w:vAlign w:val="center"/>
          </w:tcPr>
          <w:p w14:paraId="281982E6" w14:textId="72DFECA9"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KEK</w:t>
            </w:r>
          </w:p>
        </w:tc>
        <w:tc>
          <w:tcPr>
            <w:tcW w:w="1415" w:type="dxa"/>
            <w:vMerge/>
            <w:vAlign w:val="center"/>
          </w:tcPr>
          <w:p w14:paraId="75BF82ED" w14:textId="77777777" w:rsidR="00712023" w:rsidRPr="003E7289" w:rsidRDefault="00712023" w:rsidP="00712023">
            <w:pPr>
              <w:spacing w:before="0" w:line="240" w:lineRule="auto"/>
              <w:jc w:val="center"/>
              <w:rPr>
                <w:rFonts w:ascii="Arial" w:hAnsi="Arial" w:cs="Arial"/>
                <w:b/>
                <w:bCs/>
                <w:sz w:val="20"/>
                <w:szCs w:val="20"/>
                <w:lang w:val="sq-AL"/>
              </w:rPr>
            </w:pPr>
          </w:p>
        </w:tc>
        <w:tc>
          <w:tcPr>
            <w:tcW w:w="1418" w:type="dxa"/>
            <w:vAlign w:val="center"/>
          </w:tcPr>
          <w:p w14:paraId="4F0EA1FA" w14:textId="2439A756" w:rsidR="00712023" w:rsidRPr="003E7289" w:rsidRDefault="00A61B74" w:rsidP="00A61B74">
            <w:pPr>
              <w:spacing w:before="0" w:line="240" w:lineRule="auto"/>
              <w:jc w:val="center"/>
              <w:rPr>
                <w:rFonts w:ascii="Arial" w:hAnsi="Arial" w:cs="Arial"/>
                <w:sz w:val="20"/>
                <w:szCs w:val="20"/>
                <w:lang w:val="sq-AL"/>
              </w:rPr>
            </w:pPr>
            <w:r w:rsidRPr="003E7289">
              <w:rPr>
                <w:rFonts w:ascii="Arial" w:hAnsi="Arial" w:cs="Arial"/>
                <w:sz w:val="20"/>
                <w:szCs w:val="20"/>
                <w:lang w:val="sq-AL"/>
              </w:rPr>
              <w:t>Një njësi e “Kosova A” është përmirësuar dhe lëshuar në funksion si rezervë strategjike, duke arritur efikasitet prej 27.5% dhe intensitet të reduktuar të CO</w:t>
            </w:r>
            <w:r w:rsidRPr="003E7289">
              <w:rPr>
                <w:rFonts w:ascii="Cambria Math" w:hAnsi="Cambria Math" w:cs="Cambria Math"/>
                <w:sz w:val="20"/>
                <w:szCs w:val="20"/>
                <w:lang w:val="sq-AL"/>
              </w:rPr>
              <w:t>₂</w:t>
            </w:r>
            <w:r w:rsidRPr="003E7289">
              <w:rPr>
                <w:rFonts w:ascii="Arial" w:hAnsi="Arial" w:cs="Arial"/>
                <w:sz w:val="20"/>
                <w:szCs w:val="20"/>
                <w:lang w:val="sq-AL"/>
              </w:rPr>
              <w:t>; mbetet e gatshme për funksionim në raste emergjente.</w:t>
            </w:r>
          </w:p>
        </w:tc>
        <w:tc>
          <w:tcPr>
            <w:tcW w:w="3400" w:type="dxa"/>
            <w:gridSpan w:val="3"/>
            <w:vAlign w:val="center"/>
          </w:tcPr>
          <w:p w14:paraId="7F68D29A" w14:textId="25F32F72" w:rsidR="00712023" w:rsidRPr="003E7289" w:rsidRDefault="00BE39C7"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Strategjia</w:t>
            </w:r>
            <w:r w:rsidR="00D30D59" w:rsidRPr="003E7289">
              <w:rPr>
                <w:rFonts w:ascii="Arial" w:hAnsi="Arial" w:cs="Arial"/>
                <w:sz w:val="20"/>
                <w:szCs w:val="20"/>
                <w:lang w:val="sq-AL"/>
              </w:rPr>
              <w:t xml:space="preserve"> e Energjisë 2022–2031</w:t>
            </w:r>
          </w:p>
        </w:tc>
      </w:tr>
      <w:tr w:rsidR="00712023" w:rsidRPr="003E7289" w14:paraId="66BD9AF8" w14:textId="77777777" w:rsidTr="00D42597">
        <w:tc>
          <w:tcPr>
            <w:tcW w:w="2970" w:type="dxa"/>
            <w:gridSpan w:val="2"/>
            <w:shd w:val="clear" w:color="auto" w:fill="C6E7F6"/>
            <w:vAlign w:val="center"/>
          </w:tcPr>
          <w:p w14:paraId="6B321859" w14:textId="7D6FF6DC" w:rsidR="00712023" w:rsidRPr="003E7289" w:rsidRDefault="00712023" w:rsidP="00712023">
            <w:pPr>
              <w:spacing w:before="0" w:line="240" w:lineRule="auto"/>
              <w:rPr>
                <w:rFonts w:ascii="Arial" w:hAnsi="Arial" w:cs="Arial"/>
                <w:sz w:val="20"/>
                <w:szCs w:val="20"/>
                <w:lang w:val="sq-AL"/>
              </w:rPr>
            </w:pPr>
            <w:r w:rsidRPr="003E7289">
              <w:rPr>
                <w:rFonts w:ascii="Arial" w:eastAsia="Aptos" w:hAnsi="Arial" w:cs="Arial"/>
                <w:b/>
                <w:bCs/>
                <w:sz w:val="20"/>
                <w:szCs w:val="20"/>
                <w:lang w:val="sq-AL"/>
              </w:rPr>
              <w:t>Buxheti total për Objektivin specifik II.2</w:t>
            </w:r>
            <w:r w:rsidR="00E0225B" w:rsidRPr="003E7289">
              <w:rPr>
                <w:rFonts w:ascii="Arial" w:eastAsia="Aptos" w:hAnsi="Arial" w:cs="Arial"/>
                <w:b/>
                <w:bCs/>
                <w:sz w:val="20"/>
                <w:szCs w:val="20"/>
                <w:lang w:val="sq-AL"/>
              </w:rPr>
              <w:t>3</w:t>
            </w:r>
            <w:r w:rsidRPr="003E7289">
              <w:rPr>
                <w:rFonts w:ascii="Arial" w:eastAsia="Aptos" w:hAnsi="Arial" w:cs="Arial"/>
                <w:b/>
                <w:bCs/>
                <w:sz w:val="20"/>
                <w:szCs w:val="20"/>
                <w:lang w:val="sq-AL"/>
              </w:rPr>
              <w:t>:</w:t>
            </w:r>
          </w:p>
        </w:tc>
        <w:tc>
          <w:tcPr>
            <w:tcW w:w="12198" w:type="dxa"/>
            <w:gridSpan w:val="12"/>
            <w:vAlign w:val="center"/>
          </w:tcPr>
          <w:p w14:paraId="7BDCF55B"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w:t>
            </w:r>
          </w:p>
        </w:tc>
      </w:tr>
      <w:tr w:rsidR="00712023" w:rsidRPr="003E7289" w14:paraId="5CBE59A8" w14:textId="77777777" w:rsidTr="00D42597">
        <w:tc>
          <w:tcPr>
            <w:tcW w:w="2970" w:type="dxa"/>
            <w:gridSpan w:val="2"/>
            <w:shd w:val="clear" w:color="auto" w:fill="C6E7F6"/>
          </w:tcPr>
          <w:p w14:paraId="12EF0020" w14:textId="383EBA1D" w:rsidR="00712023" w:rsidRPr="003E7289" w:rsidRDefault="00712023" w:rsidP="00712023">
            <w:pPr>
              <w:spacing w:before="0" w:line="240" w:lineRule="auto"/>
              <w:rPr>
                <w:rFonts w:ascii="Arial" w:hAnsi="Arial" w:cs="Arial"/>
                <w:sz w:val="20"/>
                <w:szCs w:val="20"/>
                <w:lang w:val="sq-AL"/>
              </w:rPr>
            </w:pPr>
            <w:r w:rsidRPr="003E7289">
              <w:rPr>
                <w:rFonts w:ascii="Arial" w:eastAsia="Aptos" w:hAnsi="Arial" w:cs="Arial"/>
                <w:b/>
                <w:bCs/>
                <w:sz w:val="20"/>
                <w:szCs w:val="20"/>
                <w:lang w:val="sq-AL"/>
              </w:rPr>
              <w:t>Nga kjo, kapital:</w:t>
            </w:r>
          </w:p>
        </w:tc>
        <w:tc>
          <w:tcPr>
            <w:tcW w:w="12198" w:type="dxa"/>
            <w:gridSpan w:val="12"/>
            <w:vAlign w:val="center"/>
          </w:tcPr>
          <w:p w14:paraId="75E491E8" w14:textId="77777777" w:rsidR="00712023" w:rsidRPr="003E7289" w:rsidRDefault="00712023" w:rsidP="00712023">
            <w:pPr>
              <w:spacing w:before="0" w:line="240" w:lineRule="auto"/>
              <w:jc w:val="center"/>
              <w:rPr>
                <w:rFonts w:ascii="Arial" w:hAnsi="Arial" w:cs="Arial"/>
                <w:b/>
                <w:bCs/>
                <w:sz w:val="20"/>
                <w:szCs w:val="20"/>
                <w:lang w:val="sq-AL"/>
              </w:rPr>
            </w:pPr>
          </w:p>
        </w:tc>
      </w:tr>
      <w:tr w:rsidR="00712023" w:rsidRPr="003E7289" w14:paraId="1D3D1C6F" w14:textId="77777777" w:rsidTr="00D42597">
        <w:tc>
          <w:tcPr>
            <w:tcW w:w="2970" w:type="dxa"/>
            <w:gridSpan w:val="2"/>
            <w:shd w:val="clear" w:color="auto" w:fill="C6E7F6"/>
          </w:tcPr>
          <w:p w14:paraId="0D825CEC" w14:textId="3BA070D3" w:rsidR="00712023" w:rsidRPr="003E7289" w:rsidRDefault="00712023" w:rsidP="00712023">
            <w:pPr>
              <w:spacing w:before="0" w:line="240" w:lineRule="auto"/>
              <w:rPr>
                <w:rFonts w:ascii="Arial" w:hAnsi="Arial" w:cs="Arial"/>
                <w:sz w:val="20"/>
                <w:szCs w:val="20"/>
                <w:lang w:val="sq-AL"/>
              </w:rPr>
            </w:pPr>
            <w:r w:rsidRPr="003E7289">
              <w:rPr>
                <w:rFonts w:ascii="Arial" w:eastAsia="Aptos" w:hAnsi="Arial" w:cs="Arial"/>
                <w:b/>
                <w:bCs/>
                <w:sz w:val="20"/>
                <w:szCs w:val="20"/>
                <w:lang w:val="sq-AL"/>
              </w:rPr>
              <w:t>Nga kjo, shpenzime korrente:</w:t>
            </w:r>
          </w:p>
        </w:tc>
        <w:tc>
          <w:tcPr>
            <w:tcW w:w="12198" w:type="dxa"/>
            <w:gridSpan w:val="12"/>
            <w:vAlign w:val="center"/>
          </w:tcPr>
          <w:p w14:paraId="5D3389DF" w14:textId="77777777" w:rsidR="00712023" w:rsidRPr="003E7289" w:rsidRDefault="00712023" w:rsidP="00712023">
            <w:pPr>
              <w:spacing w:before="0" w:line="240" w:lineRule="auto"/>
              <w:jc w:val="center"/>
              <w:rPr>
                <w:rFonts w:ascii="Arial" w:hAnsi="Arial" w:cs="Arial"/>
                <w:b/>
                <w:bCs/>
                <w:sz w:val="20"/>
                <w:szCs w:val="20"/>
                <w:lang w:val="sq-AL"/>
              </w:rPr>
            </w:pPr>
          </w:p>
        </w:tc>
      </w:tr>
      <w:tr w:rsidR="00712023" w:rsidRPr="003E7289" w14:paraId="4AE3CFEC" w14:textId="77777777" w:rsidTr="00A70686">
        <w:tc>
          <w:tcPr>
            <w:tcW w:w="15168" w:type="dxa"/>
            <w:gridSpan w:val="14"/>
            <w:shd w:val="clear" w:color="auto" w:fill="0F4761"/>
          </w:tcPr>
          <w:p w14:paraId="4C78A1CB" w14:textId="4B5E5CF1"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 xml:space="preserve">Prioriteti kyç për përshtatje: </w:t>
            </w:r>
            <w:r w:rsidR="00E0225B" w:rsidRPr="003E7289">
              <w:rPr>
                <w:rFonts w:ascii="Arial" w:hAnsi="Arial" w:cs="Arial"/>
                <w:b/>
                <w:bCs/>
                <w:sz w:val="20"/>
                <w:szCs w:val="20"/>
                <w:lang w:val="sq-AL"/>
              </w:rPr>
              <w:t>Sigurimi i qëndrueshmërisë energjetike përmes menaxhimit të burimeve të brendshme</w:t>
            </w:r>
          </w:p>
        </w:tc>
      </w:tr>
      <w:tr w:rsidR="00712023" w:rsidRPr="003E7289" w14:paraId="7156FC9F" w14:textId="77777777" w:rsidTr="00A70686">
        <w:tc>
          <w:tcPr>
            <w:tcW w:w="993" w:type="dxa"/>
            <w:shd w:val="clear" w:color="auto" w:fill="84CCEC"/>
            <w:vAlign w:val="center"/>
          </w:tcPr>
          <w:p w14:paraId="20AC6F25" w14:textId="7E206FAD"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II.2</w:t>
            </w:r>
            <w:r w:rsidR="00E0225B" w:rsidRPr="003E7289">
              <w:rPr>
                <w:rFonts w:ascii="Arial" w:hAnsi="Arial" w:cs="Arial"/>
                <w:b/>
                <w:bCs/>
                <w:sz w:val="20"/>
                <w:szCs w:val="20"/>
                <w:lang w:val="sq-AL"/>
              </w:rPr>
              <w:t>4</w:t>
            </w:r>
          </w:p>
        </w:tc>
        <w:tc>
          <w:tcPr>
            <w:tcW w:w="14175" w:type="dxa"/>
            <w:gridSpan w:val="13"/>
            <w:shd w:val="clear" w:color="auto" w:fill="84CCEC"/>
            <w:vAlign w:val="center"/>
          </w:tcPr>
          <w:p w14:paraId="1230B330" w14:textId="41FEDCC1"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Rinovimi i ndërtesave publike dhe banesore për rritjen e efiçiencës energjetike (izolim, ndriçim dhe ngrohje efiçiente)</w:t>
            </w:r>
          </w:p>
        </w:tc>
      </w:tr>
      <w:tr w:rsidR="00A61B74" w:rsidRPr="003E7289" w14:paraId="23446BEA" w14:textId="77777777" w:rsidTr="004807C9">
        <w:tc>
          <w:tcPr>
            <w:tcW w:w="2976" w:type="dxa"/>
            <w:gridSpan w:val="3"/>
            <w:vAlign w:val="center"/>
          </w:tcPr>
          <w:p w14:paraId="312644D7" w14:textId="09B5379A" w:rsidR="00A61B74" w:rsidRPr="003E7289" w:rsidRDefault="00A61B74" w:rsidP="00A61B74">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Numri i ndërtesave të rinovuara me masa të efikasitetit të energjisë (kumulative).</w:t>
            </w:r>
          </w:p>
        </w:tc>
        <w:tc>
          <w:tcPr>
            <w:tcW w:w="1700" w:type="dxa"/>
            <w:vAlign w:val="center"/>
          </w:tcPr>
          <w:p w14:paraId="242BC74C" w14:textId="36225695" w:rsidR="00A61B74" w:rsidRPr="003E7289" w:rsidRDefault="00A61B74" w:rsidP="00A61B74">
            <w:pPr>
              <w:spacing w:before="0" w:line="240" w:lineRule="auto"/>
              <w:rPr>
                <w:rFonts w:ascii="Arial" w:hAnsi="Arial" w:cs="Arial"/>
                <w:b/>
                <w:bCs/>
                <w:sz w:val="20"/>
                <w:szCs w:val="20"/>
                <w:lang w:val="sq-AL"/>
              </w:rPr>
            </w:pPr>
            <w:r w:rsidRPr="003E7289">
              <w:rPr>
                <w:rFonts w:ascii="Arial" w:hAnsi="Arial" w:cs="Arial"/>
                <w:sz w:val="20"/>
                <w:szCs w:val="20"/>
                <w:lang w:val="sq-AL"/>
              </w:rPr>
              <w:t>Niveli bazë: 100 ndërtesa publike dhe &lt;5% e familjeve kanë pësuar rinovime të konsiderueshme (projekte fillestare të donatorëve).</w:t>
            </w:r>
          </w:p>
        </w:tc>
        <w:tc>
          <w:tcPr>
            <w:tcW w:w="2700" w:type="dxa"/>
            <w:gridSpan w:val="4"/>
            <w:vAlign w:val="center"/>
          </w:tcPr>
          <w:p w14:paraId="3E896442" w14:textId="33F85C52" w:rsidR="00A61B74" w:rsidRPr="003E7289" w:rsidRDefault="00A61B74" w:rsidP="00A61B74">
            <w:pPr>
              <w:spacing w:before="0" w:line="240" w:lineRule="auto"/>
              <w:rPr>
                <w:rFonts w:ascii="Arial" w:hAnsi="Arial" w:cs="Arial"/>
                <w:b/>
                <w:bCs/>
                <w:sz w:val="20"/>
                <w:szCs w:val="20"/>
                <w:lang w:val="sq-AL"/>
              </w:rPr>
            </w:pPr>
            <w:r w:rsidRPr="003E7289">
              <w:rPr>
                <w:rFonts w:ascii="Arial" w:hAnsi="Arial" w:cs="Arial"/>
                <w:sz w:val="20"/>
                <w:szCs w:val="20"/>
                <w:lang w:val="sq-AL"/>
              </w:rPr>
              <w:t>400 ndërtesa publike të rinovuara; 10% e familjeve të izoluara ose të përmirësuara (nëpërmjet granteve/stimujve).</w:t>
            </w:r>
          </w:p>
        </w:tc>
        <w:tc>
          <w:tcPr>
            <w:tcW w:w="2974" w:type="dxa"/>
            <w:gridSpan w:val="2"/>
            <w:vAlign w:val="center"/>
          </w:tcPr>
          <w:p w14:paraId="37D813EA" w14:textId="783D5502" w:rsidR="00A61B74" w:rsidRPr="003E7289" w:rsidRDefault="00A61B74" w:rsidP="00A61B74">
            <w:pPr>
              <w:spacing w:before="0" w:line="240" w:lineRule="auto"/>
              <w:rPr>
                <w:rFonts w:ascii="Arial" w:hAnsi="Arial" w:cs="Arial"/>
                <w:b/>
                <w:bCs/>
                <w:sz w:val="20"/>
                <w:szCs w:val="20"/>
                <w:lang w:val="sq-AL"/>
              </w:rPr>
            </w:pPr>
            <w:r w:rsidRPr="003E7289">
              <w:rPr>
                <w:rFonts w:ascii="Arial" w:hAnsi="Arial" w:cs="Arial"/>
                <w:sz w:val="20"/>
                <w:szCs w:val="20"/>
                <w:lang w:val="sq-AL"/>
              </w:rPr>
              <w:t>800 ndërtesa publike; 25% e familjeve me rinovime (programe të mëdha kombëtare të EE-së).</w:t>
            </w:r>
          </w:p>
        </w:tc>
        <w:tc>
          <w:tcPr>
            <w:tcW w:w="4818" w:type="dxa"/>
            <w:gridSpan w:val="4"/>
            <w:vAlign w:val="center"/>
          </w:tcPr>
          <w:p w14:paraId="7780CCF9" w14:textId="01AEE6CD" w:rsidR="00A61B74" w:rsidRPr="003E7289" w:rsidRDefault="00A61B74" w:rsidP="00A61B74">
            <w:pPr>
              <w:spacing w:before="0" w:line="240" w:lineRule="auto"/>
              <w:rPr>
                <w:rFonts w:ascii="Arial" w:hAnsi="Arial" w:cs="Arial"/>
                <w:b/>
                <w:bCs/>
                <w:sz w:val="20"/>
                <w:szCs w:val="20"/>
                <w:lang w:val="sq-AL"/>
              </w:rPr>
            </w:pPr>
            <w:r w:rsidRPr="003E7289">
              <w:rPr>
                <w:rFonts w:ascii="Arial" w:hAnsi="Arial" w:cs="Arial"/>
                <w:sz w:val="20"/>
                <w:szCs w:val="20"/>
                <w:lang w:val="sq-AL"/>
              </w:rPr>
              <w:t>Të gjitha ndërtesat kryesore publike (~1,200+) të rinovuara; 75% e stokut të banesave të modernizuara për efikasitet (adoptim pothuajse universal i standardeve të EE-së).</w:t>
            </w:r>
          </w:p>
        </w:tc>
      </w:tr>
      <w:tr w:rsidR="00712023" w:rsidRPr="003E7289" w14:paraId="0721F472" w14:textId="77777777" w:rsidTr="004807C9">
        <w:trPr>
          <w:trHeight w:val="120"/>
        </w:trPr>
        <w:tc>
          <w:tcPr>
            <w:tcW w:w="993" w:type="dxa"/>
            <w:vMerge w:val="restart"/>
            <w:shd w:val="clear" w:color="auto" w:fill="C6E7F6"/>
            <w:vAlign w:val="center"/>
          </w:tcPr>
          <w:p w14:paraId="12ECA270" w14:textId="5261F013"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lastRenderedPageBreak/>
              <w:t>Nr.</w:t>
            </w:r>
          </w:p>
        </w:tc>
        <w:tc>
          <w:tcPr>
            <w:tcW w:w="1983" w:type="dxa"/>
            <w:gridSpan w:val="2"/>
            <w:vMerge w:val="restart"/>
            <w:shd w:val="clear" w:color="auto" w:fill="C6E7F6"/>
            <w:vAlign w:val="center"/>
          </w:tcPr>
          <w:p w14:paraId="1B205F88" w14:textId="5540F7F3"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Veprimi</w:t>
            </w:r>
          </w:p>
        </w:tc>
        <w:tc>
          <w:tcPr>
            <w:tcW w:w="1700" w:type="dxa"/>
            <w:vMerge w:val="restart"/>
            <w:shd w:val="clear" w:color="auto" w:fill="C6E7F6"/>
            <w:vAlign w:val="center"/>
          </w:tcPr>
          <w:p w14:paraId="43FDAAC4" w14:textId="7A637F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Afati I fundit</w:t>
            </w:r>
          </w:p>
        </w:tc>
        <w:tc>
          <w:tcPr>
            <w:tcW w:w="2700" w:type="dxa"/>
            <w:gridSpan w:val="4"/>
            <w:shd w:val="clear" w:color="auto" w:fill="C6E7F6"/>
            <w:vAlign w:val="center"/>
          </w:tcPr>
          <w:p w14:paraId="758CEA2E" w14:textId="5612D49B"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Buxheti</w:t>
            </w:r>
          </w:p>
        </w:tc>
        <w:tc>
          <w:tcPr>
            <w:tcW w:w="2974" w:type="dxa"/>
            <w:gridSpan w:val="2"/>
            <w:vMerge w:val="restart"/>
            <w:shd w:val="clear" w:color="auto" w:fill="C6E7F6"/>
            <w:vAlign w:val="center"/>
          </w:tcPr>
          <w:p w14:paraId="3A00E3C4" w14:textId="7AF08A46"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Burimi i financimit</w:t>
            </w:r>
          </w:p>
        </w:tc>
        <w:tc>
          <w:tcPr>
            <w:tcW w:w="1512" w:type="dxa"/>
            <w:gridSpan w:val="2"/>
            <w:vMerge w:val="restart"/>
            <w:shd w:val="clear" w:color="auto" w:fill="C6E7F6"/>
            <w:vAlign w:val="center"/>
          </w:tcPr>
          <w:p w14:paraId="4F2EB630" w14:textId="00420F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Institucionet përgjegjëse dhe partnere</w:t>
            </w:r>
          </w:p>
        </w:tc>
        <w:tc>
          <w:tcPr>
            <w:tcW w:w="1653" w:type="dxa"/>
            <w:vMerge w:val="restart"/>
            <w:shd w:val="clear" w:color="auto" w:fill="C6E7F6"/>
            <w:vAlign w:val="center"/>
          </w:tcPr>
          <w:p w14:paraId="4E101D10" w14:textId="2629AE65"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Rezultati i pritur</w:t>
            </w:r>
          </w:p>
        </w:tc>
        <w:tc>
          <w:tcPr>
            <w:tcW w:w="1653" w:type="dxa"/>
            <w:vMerge w:val="restart"/>
            <w:shd w:val="clear" w:color="auto" w:fill="C6E7F6"/>
            <w:vAlign w:val="center"/>
          </w:tcPr>
          <w:p w14:paraId="5B37CF8B" w14:textId="29AF20EE"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Dokumenti strategjik referues</w:t>
            </w:r>
          </w:p>
        </w:tc>
      </w:tr>
      <w:tr w:rsidR="00712023" w:rsidRPr="003E7289" w14:paraId="3F7C2983" w14:textId="77777777" w:rsidTr="004807C9">
        <w:trPr>
          <w:trHeight w:val="120"/>
        </w:trPr>
        <w:tc>
          <w:tcPr>
            <w:tcW w:w="993" w:type="dxa"/>
            <w:vMerge/>
            <w:vAlign w:val="center"/>
          </w:tcPr>
          <w:p w14:paraId="3CAB70F0" w14:textId="77777777" w:rsidR="00712023" w:rsidRPr="003E7289" w:rsidRDefault="00712023" w:rsidP="00712023">
            <w:pPr>
              <w:spacing w:before="0" w:line="240" w:lineRule="auto"/>
              <w:jc w:val="center"/>
              <w:rPr>
                <w:rFonts w:ascii="Arial" w:hAnsi="Arial" w:cs="Arial"/>
                <w:b/>
                <w:bCs/>
                <w:sz w:val="20"/>
                <w:szCs w:val="20"/>
                <w:lang w:val="sq-AL"/>
              </w:rPr>
            </w:pPr>
          </w:p>
        </w:tc>
        <w:tc>
          <w:tcPr>
            <w:tcW w:w="1983" w:type="dxa"/>
            <w:gridSpan w:val="2"/>
            <w:vMerge/>
            <w:vAlign w:val="center"/>
          </w:tcPr>
          <w:p w14:paraId="18187185" w14:textId="77777777" w:rsidR="00712023" w:rsidRPr="003E7289" w:rsidRDefault="00712023" w:rsidP="00712023">
            <w:pPr>
              <w:spacing w:before="0" w:line="240" w:lineRule="auto"/>
              <w:jc w:val="center"/>
              <w:rPr>
                <w:rFonts w:ascii="Arial" w:hAnsi="Arial" w:cs="Arial"/>
                <w:b/>
                <w:bCs/>
                <w:sz w:val="20"/>
                <w:szCs w:val="20"/>
                <w:lang w:val="sq-AL"/>
              </w:rPr>
            </w:pPr>
          </w:p>
        </w:tc>
        <w:tc>
          <w:tcPr>
            <w:tcW w:w="1700" w:type="dxa"/>
            <w:vMerge/>
            <w:vAlign w:val="center"/>
          </w:tcPr>
          <w:p w14:paraId="7CC7B5FB" w14:textId="77777777" w:rsidR="00712023" w:rsidRPr="003E7289" w:rsidRDefault="00712023" w:rsidP="00712023">
            <w:pPr>
              <w:spacing w:before="0" w:line="240" w:lineRule="auto"/>
              <w:jc w:val="center"/>
              <w:rPr>
                <w:rFonts w:ascii="Arial" w:hAnsi="Arial" w:cs="Arial"/>
                <w:b/>
                <w:bCs/>
                <w:sz w:val="20"/>
                <w:szCs w:val="20"/>
                <w:lang w:val="sq-AL"/>
              </w:rPr>
            </w:pPr>
          </w:p>
        </w:tc>
        <w:tc>
          <w:tcPr>
            <w:tcW w:w="902" w:type="dxa"/>
            <w:shd w:val="clear" w:color="auto" w:fill="C6E7F6"/>
            <w:vAlign w:val="center"/>
          </w:tcPr>
          <w:p w14:paraId="149D6701"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2026</w:t>
            </w:r>
          </w:p>
        </w:tc>
        <w:tc>
          <w:tcPr>
            <w:tcW w:w="900" w:type="dxa"/>
            <w:shd w:val="clear" w:color="auto" w:fill="C6E7F6"/>
            <w:vAlign w:val="center"/>
          </w:tcPr>
          <w:p w14:paraId="75855EE9"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2027</w:t>
            </w:r>
          </w:p>
        </w:tc>
        <w:tc>
          <w:tcPr>
            <w:tcW w:w="898" w:type="dxa"/>
            <w:gridSpan w:val="2"/>
            <w:shd w:val="clear" w:color="auto" w:fill="C6E7F6"/>
            <w:vAlign w:val="center"/>
          </w:tcPr>
          <w:p w14:paraId="189710C6"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2028</w:t>
            </w:r>
          </w:p>
        </w:tc>
        <w:tc>
          <w:tcPr>
            <w:tcW w:w="2974" w:type="dxa"/>
            <w:gridSpan w:val="2"/>
            <w:vMerge/>
            <w:vAlign w:val="center"/>
          </w:tcPr>
          <w:p w14:paraId="766B46C8" w14:textId="77777777" w:rsidR="00712023" w:rsidRPr="003E7289" w:rsidRDefault="00712023" w:rsidP="00712023">
            <w:pPr>
              <w:spacing w:before="0" w:line="240" w:lineRule="auto"/>
              <w:jc w:val="center"/>
              <w:rPr>
                <w:rFonts w:ascii="Arial" w:hAnsi="Arial" w:cs="Arial"/>
                <w:b/>
                <w:bCs/>
                <w:sz w:val="20"/>
                <w:szCs w:val="20"/>
                <w:lang w:val="sq-AL"/>
              </w:rPr>
            </w:pPr>
          </w:p>
        </w:tc>
        <w:tc>
          <w:tcPr>
            <w:tcW w:w="1512" w:type="dxa"/>
            <w:gridSpan w:val="2"/>
            <w:vMerge/>
            <w:vAlign w:val="center"/>
          </w:tcPr>
          <w:p w14:paraId="0C87521B" w14:textId="77777777" w:rsidR="00712023" w:rsidRPr="003E7289" w:rsidRDefault="00712023" w:rsidP="00712023">
            <w:pPr>
              <w:spacing w:before="0" w:line="240" w:lineRule="auto"/>
              <w:jc w:val="center"/>
              <w:rPr>
                <w:rFonts w:ascii="Arial" w:hAnsi="Arial" w:cs="Arial"/>
                <w:b/>
                <w:bCs/>
                <w:sz w:val="20"/>
                <w:szCs w:val="20"/>
                <w:lang w:val="sq-AL"/>
              </w:rPr>
            </w:pPr>
          </w:p>
        </w:tc>
        <w:tc>
          <w:tcPr>
            <w:tcW w:w="1653" w:type="dxa"/>
            <w:vMerge/>
            <w:vAlign w:val="center"/>
          </w:tcPr>
          <w:p w14:paraId="3E659B91" w14:textId="77777777" w:rsidR="00712023" w:rsidRPr="003E7289" w:rsidRDefault="00712023" w:rsidP="00712023">
            <w:pPr>
              <w:spacing w:before="0" w:line="240" w:lineRule="auto"/>
              <w:jc w:val="center"/>
              <w:rPr>
                <w:rFonts w:ascii="Arial" w:hAnsi="Arial" w:cs="Arial"/>
                <w:b/>
                <w:bCs/>
                <w:sz w:val="20"/>
                <w:szCs w:val="20"/>
                <w:lang w:val="sq-AL"/>
              </w:rPr>
            </w:pPr>
          </w:p>
        </w:tc>
        <w:tc>
          <w:tcPr>
            <w:tcW w:w="1653" w:type="dxa"/>
            <w:vMerge/>
            <w:vAlign w:val="center"/>
          </w:tcPr>
          <w:p w14:paraId="5B0DE7A2" w14:textId="77777777" w:rsidR="00712023" w:rsidRPr="003E7289" w:rsidRDefault="00712023" w:rsidP="00712023">
            <w:pPr>
              <w:spacing w:before="0" w:line="240" w:lineRule="auto"/>
              <w:jc w:val="center"/>
              <w:rPr>
                <w:rFonts w:ascii="Arial" w:hAnsi="Arial" w:cs="Arial"/>
                <w:b/>
                <w:bCs/>
                <w:sz w:val="20"/>
                <w:szCs w:val="20"/>
                <w:lang w:val="sq-AL"/>
              </w:rPr>
            </w:pPr>
          </w:p>
        </w:tc>
      </w:tr>
      <w:tr w:rsidR="00712023" w:rsidRPr="003E7289" w14:paraId="5546DDEC" w14:textId="77777777" w:rsidTr="004807C9">
        <w:trPr>
          <w:trHeight w:val="120"/>
        </w:trPr>
        <w:tc>
          <w:tcPr>
            <w:tcW w:w="993" w:type="dxa"/>
            <w:vAlign w:val="center"/>
          </w:tcPr>
          <w:p w14:paraId="19516381" w14:textId="3D692FCB"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II.2</w:t>
            </w:r>
            <w:r w:rsidR="00E0225B" w:rsidRPr="003E7289">
              <w:rPr>
                <w:rFonts w:ascii="Arial" w:hAnsi="Arial" w:cs="Arial"/>
                <w:b/>
                <w:bCs/>
                <w:sz w:val="20"/>
                <w:szCs w:val="20"/>
                <w:lang w:val="sq-AL"/>
              </w:rPr>
              <w:t>4</w:t>
            </w:r>
            <w:r w:rsidRPr="003E7289">
              <w:rPr>
                <w:rFonts w:ascii="Arial" w:hAnsi="Arial" w:cs="Arial"/>
                <w:b/>
                <w:bCs/>
                <w:sz w:val="20"/>
                <w:szCs w:val="20"/>
                <w:lang w:val="sq-AL"/>
              </w:rPr>
              <w:t>.1</w:t>
            </w:r>
          </w:p>
        </w:tc>
        <w:tc>
          <w:tcPr>
            <w:tcW w:w="1983" w:type="dxa"/>
            <w:gridSpan w:val="2"/>
            <w:vAlign w:val="center"/>
          </w:tcPr>
          <w:p w14:paraId="62630854" w14:textId="0AF2E7DB" w:rsidR="00712023" w:rsidRPr="003E7289" w:rsidRDefault="00A61B74" w:rsidP="00A61B74">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Hartimi i Programit Kombëtar për Rinovim të Efikasitetit të Energjisë dhe Planit të Prioritizimit</w:t>
            </w:r>
          </w:p>
        </w:tc>
        <w:tc>
          <w:tcPr>
            <w:tcW w:w="1700" w:type="dxa"/>
            <w:vAlign w:val="center"/>
          </w:tcPr>
          <w:p w14:paraId="0C436EC3"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sz w:val="20"/>
                <w:szCs w:val="20"/>
                <w:lang w:val="sq-AL"/>
              </w:rPr>
              <w:t>2026</w:t>
            </w:r>
          </w:p>
        </w:tc>
        <w:tc>
          <w:tcPr>
            <w:tcW w:w="902" w:type="dxa"/>
            <w:vAlign w:val="center"/>
          </w:tcPr>
          <w:p w14:paraId="11FCE611" w14:textId="16B6173A"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~8 mil €</w:t>
            </w:r>
          </w:p>
        </w:tc>
        <w:tc>
          <w:tcPr>
            <w:tcW w:w="900" w:type="dxa"/>
            <w:vAlign w:val="center"/>
          </w:tcPr>
          <w:p w14:paraId="2E12C8A2" w14:textId="167A34B0"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~2.6 mil €</w:t>
            </w:r>
          </w:p>
        </w:tc>
        <w:tc>
          <w:tcPr>
            <w:tcW w:w="898" w:type="dxa"/>
            <w:gridSpan w:val="2"/>
            <w:vAlign w:val="center"/>
          </w:tcPr>
          <w:p w14:paraId="21A7BA02" w14:textId="7239A91B"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w:t>
            </w:r>
          </w:p>
        </w:tc>
        <w:tc>
          <w:tcPr>
            <w:tcW w:w="2974" w:type="dxa"/>
            <w:gridSpan w:val="2"/>
            <w:vMerge w:val="restart"/>
            <w:vAlign w:val="center"/>
          </w:tcPr>
          <w:p w14:paraId="0F66189E" w14:textId="46E1B9E7" w:rsidR="00712023" w:rsidRPr="003E7289" w:rsidRDefault="00A61B74" w:rsidP="00A61B74">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Paketa Mbështetëse për Energjinë – Programi IPA</w:t>
            </w:r>
          </w:p>
          <w:p w14:paraId="05F274E6" w14:textId="19CB5676" w:rsidR="00A61B74" w:rsidRPr="003E7289" w:rsidRDefault="00A61B74" w:rsidP="004807C9">
            <w:pPr>
              <w:pStyle w:val="ListParagraph"/>
              <w:numPr>
                <w:ilvl w:val="0"/>
                <w:numId w:val="27"/>
              </w:numPr>
              <w:spacing w:before="0"/>
              <w:ind w:left="73" w:hanging="197"/>
              <w:rPr>
                <w:rFonts w:ascii="Arial" w:hAnsi="Arial" w:cs="Arial"/>
                <w:b/>
                <w:bCs/>
                <w:sz w:val="20"/>
                <w:szCs w:val="20"/>
                <w:lang w:val="sq-AL"/>
              </w:rPr>
            </w:pPr>
            <w:r w:rsidRPr="003E7289">
              <w:rPr>
                <w:rFonts w:ascii="Arial" w:hAnsi="Arial" w:cs="Arial"/>
                <w:b/>
                <w:bCs/>
                <w:sz w:val="20"/>
                <w:szCs w:val="20"/>
                <w:lang w:val="sq-AL"/>
              </w:rPr>
              <w:t>Qeveria e Kosovës (Ministria e Ekonomisë)</w:t>
            </w:r>
            <w:r w:rsidRPr="003E7289">
              <w:rPr>
                <w:rFonts w:ascii="Arial" w:hAnsi="Arial" w:cs="Arial"/>
                <w:b/>
                <w:bCs/>
                <w:sz w:val="20"/>
                <w:szCs w:val="20"/>
                <w:lang w:val="sq-AL"/>
              </w:rPr>
              <w:br/>
            </w:r>
            <w:r w:rsidRPr="003E7289">
              <w:rPr>
                <w:rFonts w:ascii="Arial" w:hAnsi="Arial" w:cs="Arial"/>
                <w:i/>
                <w:iCs/>
                <w:sz w:val="20"/>
                <w:szCs w:val="20"/>
                <w:lang w:val="sq-AL"/>
              </w:rPr>
              <w:t>Shuma:</w:t>
            </w:r>
            <w:r w:rsidRPr="003E7289">
              <w:rPr>
                <w:rFonts w:ascii="Arial" w:hAnsi="Arial" w:cs="Arial"/>
                <w:sz w:val="20"/>
                <w:szCs w:val="20"/>
                <w:lang w:val="sq-AL"/>
              </w:rPr>
              <w:t xml:space="preserve"> Alokime vjetore</w:t>
            </w:r>
            <w:r w:rsidRPr="003E7289">
              <w:rPr>
                <w:rFonts w:ascii="Arial" w:hAnsi="Arial" w:cs="Arial"/>
                <w:sz w:val="20"/>
                <w:szCs w:val="20"/>
                <w:lang w:val="sq-AL"/>
              </w:rPr>
              <w:br/>
            </w:r>
            <w:r w:rsidRPr="003E7289">
              <w:rPr>
                <w:rFonts w:ascii="Arial" w:hAnsi="Arial" w:cs="Arial"/>
                <w:i/>
                <w:iCs/>
                <w:sz w:val="20"/>
                <w:szCs w:val="20"/>
                <w:lang w:val="sq-AL"/>
              </w:rPr>
              <w:t>Synimi:</w:t>
            </w:r>
            <w:r w:rsidRPr="003E7289">
              <w:rPr>
                <w:rFonts w:ascii="Arial" w:hAnsi="Arial" w:cs="Arial"/>
                <w:sz w:val="20"/>
                <w:szCs w:val="20"/>
                <w:lang w:val="sq-AL"/>
              </w:rPr>
              <w:t xml:space="preserve"> Subvencione për sektorin rezidencial dhe projekte të efikasitetit të energjisë të financuara nga KEEF</w:t>
            </w:r>
          </w:p>
          <w:p w14:paraId="417B4703" w14:textId="00193A30" w:rsidR="00A61B74" w:rsidRPr="003E7289" w:rsidRDefault="00A61B74" w:rsidP="004807C9">
            <w:pPr>
              <w:pStyle w:val="ListParagraph"/>
              <w:numPr>
                <w:ilvl w:val="0"/>
                <w:numId w:val="27"/>
              </w:numPr>
              <w:spacing w:before="0"/>
              <w:ind w:left="73" w:hanging="197"/>
              <w:rPr>
                <w:rFonts w:ascii="Arial" w:hAnsi="Arial" w:cs="Arial"/>
                <w:b/>
                <w:bCs/>
                <w:sz w:val="20"/>
                <w:szCs w:val="20"/>
                <w:lang w:val="sq-AL"/>
              </w:rPr>
            </w:pPr>
            <w:r w:rsidRPr="003E7289">
              <w:rPr>
                <w:rFonts w:ascii="Arial" w:hAnsi="Arial" w:cs="Arial"/>
                <w:b/>
                <w:bCs/>
                <w:sz w:val="20"/>
                <w:szCs w:val="20"/>
                <w:lang w:val="sq-AL"/>
              </w:rPr>
              <w:t>Fondi i Efiçiencës së Energjisë i Kosovës (KEEF)</w:t>
            </w:r>
            <w:r w:rsidRPr="003E7289">
              <w:rPr>
                <w:rFonts w:ascii="Arial" w:hAnsi="Arial" w:cs="Arial"/>
                <w:b/>
                <w:bCs/>
                <w:sz w:val="20"/>
                <w:szCs w:val="20"/>
                <w:lang w:val="sq-AL"/>
              </w:rPr>
              <w:br/>
            </w:r>
            <w:r w:rsidRPr="003E7289">
              <w:rPr>
                <w:rFonts w:ascii="Arial" w:hAnsi="Arial" w:cs="Arial"/>
                <w:i/>
                <w:iCs/>
                <w:sz w:val="20"/>
                <w:szCs w:val="20"/>
                <w:lang w:val="sq-AL"/>
              </w:rPr>
              <w:t>Shuma:</w:t>
            </w:r>
            <w:r w:rsidRPr="003E7289">
              <w:rPr>
                <w:rFonts w:ascii="Arial" w:hAnsi="Arial" w:cs="Arial"/>
                <w:sz w:val="20"/>
                <w:szCs w:val="20"/>
                <w:lang w:val="sq-AL"/>
              </w:rPr>
              <w:t xml:space="preserve"> 17 milionë euro kapital fillestar – financuar nga Banka Botërore dhe Qeveria e Kosovës</w:t>
            </w:r>
            <w:r w:rsidRPr="003E7289">
              <w:rPr>
                <w:rFonts w:ascii="Arial" w:hAnsi="Arial" w:cs="Arial"/>
                <w:sz w:val="20"/>
                <w:szCs w:val="20"/>
                <w:lang w:val="sq-AL"/>
              </w:rPr>
              <w:br/>
            </w:r>
            <w:r w:rsidRPr="003E7289">
              <w:rPr>
                <w:rFonts w:ascii="Arial" w:hAnsi="Arial" w:cs="Arial"/>
                <w:i/>
                <w:iCs/>
                <w:sz w:val="20"/>
                <w:szCs w:val="20"/>
                <w:lang w:val="sq-AL"/>
              </w:rPr>
              <w:t>Synimi:</w:t>
            </w:r>
            <w:r w:rsidRPr="003E7289">
              <w:rPr>
                <w:rFonts w:ascii="Arial" w:hAnsi="Arial" w:cs="Arial"/>
                <w:sz w:val="20"/>
                <w:szCs w:val="20"/>
                <w:lang w:val="sq-AL"/>
              </w:rPr>
              <w:t xml:space="preserve"> Masa të efikasitetit të energjisë në të gjitha sektorët</w:t>
            </w:r>
          </w:p>
          <w:p w14:paraId="3160256B" w14:textId="44AFD633" w:rsidR="00A61B74" w:rsidRPr="003E7289" w:rsidRDefault="00A61B74" w:rsidP="004807C9">
            <w:pPr>
              <w:pStyle w:val="ListParagraph"/>
              <w:numPr>
                <w:ilvl w:val="0"/>
                <w:numId w:val="27"/>
              </w:numPr>
              <w:spacing w:before="0"/>
              <w:ind w:left="73" w:hanging="197"/>
              <w:rPr>
                <w:rFonts w:ascii="Arial" w:hAnsi="Arial" w:cs="Arial"/>
                <w:b/>
                <w:bCs/>
                <w:sz w:val="20"/>
                <w:szCs w:val="20"/>
                <w:lang w:val="sq-AL"/>
              </w:rPr>
            </w:pPr>
            <w:r w:rsidRPr="003E7289">
              <w:rPr>
                <w:rFonts w:ascii="Arial" w:hAnsi="Arial" w:cs="Arial"/>
                <w:b/>
                <w:bCs/>
                <w:sz w:val="20"/>
                <w:szCs w:val="20"/>
                <w:lang w:val="sq-AL"/>
              </w:rPr>
              <w:t>Banka Botërore (IDA)</w:t>
            </w:r>
            <w:r w:rsidRPr="003E7289">
              <w:rPr>
                <w:rFonts w:ascii="Arial" w:hAnsi="Arial" w:cs="Arial"/>
                <w:b/>
                <w:bCs/>
                <w:sz w:val="20"/>
                <w:szCs w:val="20"/>
                <w:lang w:val="sq-AL"/>
              </w:rPr>
              <w:br/>
            </w:r>
            <w:r w:rsidRPr="003E7289">
              <w:rPr>
                <w:rFonts w:ascii="Arial" w:hAnsi="Arial" w:cs="Arial"/>
                <w:i/>
                <w:iCs/>
                <w:sz w:val="20"/>
                <w:szCs w:val="20"/>
                <w:lang w:val="sq-AL"/>
              </w:rPr>
              <w:t>Shuma:</w:t>
            </w:r>
            <w:r w:rsidRPr="003E7289">
              <w:rPr>
                <w:rFonts w:ascii="Arial" w:hAnsi="Arial" w:cs="Arial"/>
                <w:sz w:val="20"/>
                <w:szCs w:val="20"/>
                <w:lang w:val="sq-AL"/>
              </w:rPr>
              <w:t xml:space="preserve"> 31 milionë dollarë amerikanë hua/kredit + mbështetje politike</w:t>
            </w:r>
            <w:r w:rsidRPr="003E7289">
              <w:rPr>
                <w:rFonts w:ascii="Arial" w:hAnsi="Arial" w:cs="Arial"/>
                <w:sz w:val="20"/>
                <w:szCs w:val="20"/>
                <w:lang w:val="sq-AL"/>
              </w:rPr>
              <w:br/>
            </w:r>
            <w:r w:rsidRPr="003E7289">
              <w:rPr>
                <w:rFonts w:ascii="Arial" w:hAnsi="Arial" w:cs="Arial"/>
                <w:i/>
                <w:iCs/>
                <w:sz w:val="20"/>
                <w:szCs w:val="20"/>
                <w:lang w:val="sq-AL"/>
              </w:rPr>
              <w:t>Synimi:</w:t>
            </w:r>
            <w:r w:rsidRPr="003E7289">
              <w:rPr>
                <w:rFonts w:ascii="Arial" w:hAnsi="Arial" w:cs="Arial"/>
                <w:sz w:val="20"/>
                <w:szCs w:val="20"/>
                <w:lang w:val="sq-AL"/>
              </w:rPr>
              <w:t xml:space="preserve"> Rinovimi i ndërtesave publike</w:t>
            </w:r>
          </w:p>
          <w:p w14:paraId="50883FDA" w14:textId="3D744033" w:rsidR="00A61B74" w:rsidRPr="003E7289" w:rsidRDefault="00A61B74" w:rsidP="00702B19">
            <w:pPr>
              <w:pStyle w:val="ListParagraph"/>
              <w:numPr>
                <w:ilvl w:val="0"/>
                <w:numId w:val="27"/>
              </w:numPr>
              <w:spacing w:before="0"/>
              <w:ind w:left="73" w:hanging="197"/>
              <w:rPr>
                <w:rFonts w:ascii="Arial" w:hAnsi="Arial" w:cs="Arial"/>
                <w:b/>
                <w:bCs/>
                <w:sz w:val="20"/>
                <w:szCs w:val="20"/>
                <w:lang w:val="sq-AL"/>
              </w:rPr>
            </w:pPr>
            <w:r w:rsidRPr="003E7289">
              <w:rPr>
                <w:rFonts w:ascii="Arial" w:hAnsi="Arial" w:cs="Arial"/>
                <w:b/>
                <w:bCs/>
                <w:sz w:val="20"/>
                <w:szCs w:val="20"/>
                <w:lang w:val="sq-AL"/>
              </w:rPr>
              <w:t>Banka Evropiane për Rindërtim dhe Zhvillim (BERZH)</w:t>
            </w:r>
            <w:r w:rsidRPr="003E7289">
              <w:rPr>
                <w:rFonts w:ascii="Arial" w:hAnsi="Arial" w:cs="Arial"/>
                <w:b/>
                <w:bCs/>
                <w:sz w:val="20"/>
                <w:szCs w:val="20"/>
                <w:lang w:val="sq-AL"/>
              </w:rPr>
              <w:br/>
            </w:r>
            <w:r w:rsidRPr="003E7289">
              <w:rPr>
                <w:rFonts w:ascii="Arial" w:hAnsi="Arial" w:cs="Arial"/>
                <w:i/>
                <w:iCs/>
                <w:sz w:val="20"/>
                <w:szCs w:val="20"/>
                <w:lang w:val="sq-AL"/>
              </w:rPr>
              <w:t>Shuma:</w:t>
            </w:r>
            <w:r w:rsidRPr="003E7289">
              <w:rPr>
                <w:rFonts w:ascii="Arial" w:hAnsi="Arial" w:cs="Arial"/>
                <w:sz w:val="20"/>
                <w:szCs w:val="20"/>
                <w:lang w:val="sq-AL"/>
              </w:rPr>
              <w:t xml:space="preserve"> 50 milionë euro për huadhënie sekondare</w:t>
            </w:r>
            <w:r w:rsidRPr="003E7289">
              <w:rPr>
                <w:rFonts w:ascii="Arial" w:hAnsi="Arial" w:cs="Arial"/>
                <w:sz w:val="20"/>
                <w:szCs w:val="20"/>
                <w:lang w:val="sq-AL"/>
              </w:rPr>
              <w:br/>
            </w:r>
            <w:r w:rsidRPr="003E7289">
              <w:rPr>
                <w:rFonts w:ascii="Arial" w:hAnsi="Arial" w:cs="Arial"/>
                <w:i/>
                <w:iCs/>
                <w:sz w:val="20"/>
                <w:szCs w:val="20"/>
                <w:lang w:val="sq-AL"/>
              </w:rPr>
              <w:t>Synimi:</w:t>
            </w:r>
            <w:r w:rsidRPr="003E7289">
              <w:rPr>
                <w:rFonts w:ascii="Arial" w:hAnsi="Arial" w:cs="Arial"/>
                <w:sz w:val="20"/>
                <w:szCs w:val="20"/>
                <w:lang w:val="sq-AL"/>
              </w:rPr>
              <w:t xml:space="preserve"> Përmirësimi i efikasitetit të energjisë në rreth 400 ndërtesa publike</w:t>
            </w:r>
          </w:p>
          <w:p w14:paraId="16068110" w14:textId="4A940B37" w:rsidR="00A61B74" w:rsidRPr="003E7289" w:rsidRDefault="00A61B74" w:rsidP="00702B19">
            <w:pPr>
              <w:pStyle w:val="ListParagraph"/>
              <w:numPr>
                <w:ilvl w:val="0"/>
                <w:numId w:val="27"/>
              </w:numPr>
              <w:spacing w:before="0"/>
              <w:ind w:left="73" w:hanging="197"/>
              <w:rPr>
                <w:rFonts w:ascii="Arial" w:hAnsi="Arial" w:cs="Arial"/>
                <w:b/>
                <w:bCs/>
                <w:sz w:val="20"/>
                <w:szCs w:val="20"/>
                <w:lang w:val="sq-AL"/>
              </w:rPr>
            </w:pPr>
            <w:r w:rsidRPr="003E7289">
              <w:rPr>
                <w:rFonts w:ascii="Arial" w:hAnsi="Arial" w:cs="Arial"/>
                <w:b/>
                <w:bCs/>
                <w:sz w:val="20"/>
                <w:szCs w:val="20"/>
                <w:lang w:val="sq-AL"/>
              </w:rPr>
              <w:t xml:space="preserve">Bashkimi Evropian </w:t>
            </w:r>
            <w:r w:rsidRPr="003E7289">
              <w:rPr>
                <w:rFonts w:ascii="Arial" w:hAnsi="Arial" w:cs="Arial"/>
                <w:sz w:val="20"/>
                <w:szCs w:val="20"/>
                <w:lang w:val="sq-AL"/>
              </w:rPr>
              <w:t>(Programi REEP)</w:t>
            </w:r>
            <w:r w:rsidRPr="003E7289">
              <w:rPr>
                <w:rFonts w:ascii="Arial" w:hAnsi="Arial" w:cs="Arial"/>
                <w:sz w:val="20"/>
                <w:szCs w:val="20"/>
                <w:lang w:val="sq-AL"/>
              </w:rPr>
              <w:br/>
            </w:r>
            <w:r w:rsidRPr="003E7289">
              <w:rPr>
                <w:rFonts w:ascii="Arial" w:hAnsi="Arial" w:cs="Arial"/>
                <w:i/>
                <w:iCs/>
                <w:sz w:val="20"/>
                <w:szCs w:val="20"/>
                <w:lang w:val="sq-AL"/>
              </w:rPr>
              <w:lastRenderedPageBreak/>
              <w:t>Shuma:</w:t>
            </w:r>
            <w:r w:rsidRPr="003E7289">
              <w:rPr>
                <w:rFonts w:ascii="Arial" w:hAnsi="Arial" w:cs="Arial"/>
                <w:sz w:val="20"/>
                <w:szCs w:val="20"/>
                <w:lang w:val="sq-AL"/>
              </w:rPr>
              <w:t xml:space="preserve"> 7 milionë euro grant + subvencione</w:t>
            </w:r>
            <w:r w:rsidRPr="003E7289">
              <w:rPr>
                <w:rFonts w:ascii="Arial" w:hAnsi="Arial" w:cs="Arial"/>
                <w:sz w:val="20"/>
                <w:szCs w:val="20"/>
                <w:lang w:val="sq-AL"/>
              </w:rPr>
              <w:br/>
            </w:r>
            <w:r w:rsidRPr="003E7289">
              <w:rPr>
                <w:rFonts w:ascii="Arial" w:hAnsi="Arial" w:cs="Arial"/>
                <w:i/>
                <w:iCs/>
                <w:sz w:val="20"/>
                <w:szCs w:val="20"/>
                <w:lang w:val="sq-AL"/>
              </w:rPr>
              <w:t>Synimi:</w:t>
            </w:r>
            <w:r w:rsidRPr="003E7289">
              <w:rPr>
                <w:rFonts w:ascii="Arial" w:hAnsi="Arial" w:cs="Arial"/>
                <w:sz w:val="20"/>
                <w:szCs w:val="20"/>
                <w:lang w:val="sq-AL"/>
              </w:rPr>
              <w:t xml:space="preserve"> Ndërtesa publike, amvisëri dhe ndërmarrje të vogla dhe të mesme (MSMEs)</w:t>
            </w:r>
          </w:p>
          <w:p w14:paraId="129207C0" w14:textId="497ABF60" w:rsidR="00A61B74" w:rsidRPr="003E7289" w:rsidRDefault="00A61B74" w:rsidP="00702B19">
            <w:pPr>
              <w:pStyle w:val="ListParagraph"/>
              <w:numPr>
                <w:ilvl w:val="0"/>
                <w:numId w:val="27"/>
              </w:numPr>
              <w:spacing w:before="0"/>
              <w:ind w:left="73" w:hanging="197"/>
              <w:rPr>
                <w:rFonts w:ascii="Arial" w:hAnsi="Arial" w:cs="Arial"/>
                <w:b/>
                <w:bCs/>
                <w:sz w:val="20"/>
                <w:szCs w:val="20"/>
                <w:lang w:val="sq-AL"/>
              </w:rPr>
            </w:pPr>
            <w:r w:rsidRPr="003E7289">
              <w:rPr>
                <w:rFonts w:ascii="Arial" w:hAnsi="Arial" w:cs="Arial"/>
                <w:b/>
                <w:bCs/>
                <w:sz w:val="20"/>
                <w:szCs w:val="20"/>
                <w:lang w:val="sq-AL"/>
              </w:rPr>
              <w:t>Fondi i Qeverisë Daneze</w:t>
            </w:r>
            <w:r w:rsidRPr="003E7289">
              <w:rPr>
                <w:rFonts w:ascii="Arial" w:hAnsi="Arial" w:cs="Arial"/>
                <w:b/>
                <w:bCs/>
                <w:sz w:val="20"/>
                <w:szCs w:val="20"/>
                <w:lang w:val="sq-AL"/>
              </w:rPr>
              <w:br/>
            </w:r>
            <w:r w:rsidRPr="003E7289">
              <w:rPr>
                <w:rFonts w:ascii="Arial" w:hAnsi="Arial" w:cs="Arial"/>
                <w:i/>
                <w:iCs/>
                <w:sz w:val="20"/>
                <w:szCs w:val="20"/>
                <w:lang w:val="sq-AL"/>
              </w:rPr>
              <w:t>Shuma:</w:t>
            </w:r>
            <w:r w:rsidRPr="003E7289">
              <w:rPr>
                <w:rFonts w:ascii="Arial" w:hAnsi="Arial" w:cs="Arial"/>
                <w:sz w:val="20"/>
                <w:szCs w:val="20"/>
                <w:lang w:val="sq-AL"/>
              </w:rPr>
              <w:t xml:space="preserve"> 3 milionë euro grant</w:t>
            </w:r>
            <w:r w:rsidRPr="003E7289">
              <w:rPr>
                <w:rFonts w:ascii="Arial" w:hAnsi="Arial" w:cs="Arial"/>
                <w:sz w:val="20"/>
                <w:szCs w:val="20"/>
                <w:lang w:val="sq-AL"/>
              </w:rPr>
              <w:br/>
            </w:r>
            <w:r w:rsidRPr="003E7289">
              <w:rPr>
                <w:rFonts w:ascii="Arial" w:hAnsi="Arial" w:cs="Arial"/>
                <w:i/>
                <w:iCs/>
                <w:sz w:val="20"/>
                <w:szCs w:val="20"/>
                <w:lang w:val="sq-AL"/>
              </w:rPr>
              <w:t>Synimi:</w:t>
            </w:r>
            <w:r w:rsidRPr="003E7289">
              <w:rPr>
                <w:rFonts w:ascii="Arial" w:hAnsi="Arial" w:cs="Arial"/>
                <w:sz w:val="20"/>
                <w:szCs w:val="20"/>
                <w:lang w:val="sq-AL"/>
              </w:rPr>
              <w:t xml:space="preserve"> Renovimi i ndërtesave publike</w:t>
            </w:r>
          </w:p>
          <w:p w14:paraId="0740086D" w14:textId="4996958E" w:rsidR="00A61B74" w:rsidRPr="003E7289" w:rsidRDefault="00A61B74" w:rsidP="00702B19">
            <w:pPr>
              <w:pStyle w:val="ListParagraph"/>
              <w:numPr>
                <w:ilvl w:val="0"/>
                <w:numId w:val="27"/>
              </w:numPr>
              <w:spacing w:before="0"/>
              <w:ind w:left="73" w:hanging="197"/>
              <w:rPr>
                <w:rFonts w:ascii="Arial" w:hAnsi="Arial" w:cs="Arial"/>
                <w:b/>
                <w:bCs/>
                <w:sz w:val="20"/>
                <w:szCs w:val="20"/>
                <w:lang w:val="sq-AL"/>
              </w:rPr>
            </w:pPr>
            <w:r w:rsidRPr="003E7289">
              <w:rPr>
                <w:rFonts w:ascii="Arial" w:hAnsi="Arial" w:cs="Arial"/>
                <w:b/>
                <w:bCs/>
                <w:sz w:val="20"/>
                <w:szCs w:val="20"/>
                <w:lang w:val="sq-AL"/>
              </w:rPr>
              <w:t>Komunat</w:t>
            </w:r>
            <w:r w:rsidRPr="003E7289">
              <w:rPr>
                <w:rFonts w:ascii="Arial" w:hAnsi="Arial" w:cs="Arial"/>
                <w:b/>
                <w:bCs/>
                <w:sz w:val="20"/>
                <w:szCs w:val="20"/>
                <w:lang w:val="sq-AL"/>
              </w:rPr>
              <w:br/>
            </w:r>
            <w:r w:rsidRPr="003E7289">
              <w:rPr>
                <w:rFonts w:ascii="Arial" w:hAnsi="Arial" w:cs="Arial"/>
                <w:i/>
                <w:iCs/>
                <w:sz w:val="20"/>
                <w:szCs w:val="20"/>
                <w:lang w:val="sq-AL"/>
              </w:rPr>
              <w:t>Shuma:</w:t>
            </w:r>
            <w:r w:rsidRPr="003E7289">
              <w:rPr>
                <w:rFonts w:ascii="Arial" w:hAnsi="Arial" w:cs="Arial"/>
                <w:sz w:val="20"/>
                <w:szCs w:val="20"/>
                <w:lang w:val="sq-AL"/>
              </w:rPr>
              <w:t xml:space="preserve"> 10% bashkëfinancim</w:t>
            </w:r>
            <w:r w:rsidRPr="003E7289">
              <w:rPr>
                <w:rFonts w:ascii="Arial" w:hAnsi="Arial" w:cs="Arial"/>
                <w:sz w:val="20"/>
                <w:szCs w:val="20"/>
                <w:lang w:val="sq-AL"/>
              </w:rPr>
              <w:br/>
            </w:r>
            <w:r w:rsidRPr="003E7289">
              <w:rPr>
                <w:rFonts w:ascii="Arial" w:hAnsi="Arial" w:cs="Arial"/>
                <w:i/>
                <w:iCs/>
                <w:sz w:val="20"/>
                <w:szCs w:val="20"/>
                <w:lang w:val="sq-AL"/>
              </w:rPr>
              <w:t>Synimi:</w:t>
            </w:r>
            <w:r w:rsidRPr="003E7289">
              <w:rPr>
                <w:rFonts w:ascii="Arial" w:hAnsi="Arial" w:cs="Arial"/>
                <w:sz w:val="20"/>
                <w:szCs w:val="20"/>
                <w:lang w:val="sq-AL"/>
              </w:rPr>
              <w:t xml:space="preserve"> Përmirësimi i banesave sociale dhe blloqeve të apartamenteve lokale</w:t>
            </w:r>
          </w:p>
          <w:p w14:paraId="2F0AC376" w14:textId="77777777" w:rsidR="00712023" w:rsidRPr="003E7289" w:rsidRDefault="00712023" w:rsidP="00712023">
            <w:pPr>
              <w:spacing w:before="0" w:line="240" w:lineRule="auto"/>
              <w:jc w:val="center"/>
              <w:rPr>
                <w:rFonts w:ascii="Arial" w:hAnsi="Arial" w:cs="Arial"/>
                <w:b/>
                <w:bCs/>
                <w:sz w:val="20"/>
                <w:szCs w:val="20"/>
                <w:lang w:val="sq-AL"/>
              </w:rPr>
            </w:pPr>
          </w:p>
          <w:p w14:paraId="3A979952" w14:textId="63744134" w:rsidR="00712023" w:rsidRPr="003E7289" w:rsidRDefault="00712023" w:rsidP="00712023">
            <w:pPr>
              <w:spacing w:before="0" w:line="240" w:lineRule="auto"/>
              <w:jc w:val="center"/>
              <w:rPr>
                <w:rFonts w:ascii="Arial" w:hAnsi="Arial" w:cs="Arial"/>
                <w:b/>
                <w:bCs/>
                <w:sz w:val="20"/>
                <w:szCs w:val="20"/>
                <w:lang w:val="sq-AL"/>
              </w:rPr>
            </w:pPr>
          </w:p>
        </w:tc>
        <w:tc>
          <w:tcPr>
            <w:tcW w:w="1512" w:type="dxa"/>
            <w:gridSpan w:val="2"/>
            <w:vAlign w:val="center"/>
          </w:tcPr>
          <w:p w14:paraId="480C74A9" w14:textId="77777777" w:rsidR="00A61B74" w:rsidRPr="003E7289" w:rsidRDefault="00A61B74" w:rsidP="00A61B74">
            <w:pPr>
              <w:spacing w:before="0" w:line="240" w:lineRule="auto"/>
              <w:jc w:val="center"/>
              <w:rPr>
                <w:rFonts w:ascii="Arial" w:hAnsi="Arial" w:cs="Arial"/>
                <w:sz w:val="20"/>
                <w:szCs w:val="20"/>
                <w:lang w:val="sq-AL"/>
              </w:rPr>
            </w:pPr>
            <w:r w:rsidRPr="003E7289">
              <w:rPr>
                <w:rFonts w:ascii="Arial" w:hAnsi="Arial" w:cs="Arial"/>
                <w:sz w:val="20"/>
                <w:szCs w:val="20"/>
                <w:lang w:val="sq-AL"/>
              </w:rPr>
              <w:lastRenderedPageBreak/>
              <w:t>Udhëheqës: Ministria e Ekonomisë</w:t>
            </w:r>
          </w:p>
          <w:p w14:paraId="5C575341" w14:textId="20E460F9" w:rsidR="00712023" w:rsidRPr="003E7289" w:rsidRDefault="00A61B74" w:rsidP="00A61B74">
            <w:pPr>
              <w:spacing w:before="0" w:line="240" w:lineRule="auto"/>
              <w:jc w:val="center"/>
              <w:rPr>
                <w:rFonts w:ascii="Arial" w:hAnsi="Arial" w:cs="Arial"/>
                <w:b/>
                <w:bCs/>
                <w:sz w:val="20"/>
                <w:szCs w:val="20"/>
                <w:lang w:val="sq-AL"/>
              </w:rPr>
            </w:pPr>
            <w:r w:rsidRPr="003E7289">
              <w:rPr>
                <w:rFonts w:ascii="Arial" w:hAnsi="Arial" w:cs="Arial"/>
                <w:sz w:val="20"/>
                <w:szCs w:val="20"/>
                <w:lang w:val="sq-AL"/>
              </w:rPr>
              <w:t>Zbatimi: Fondi i Efiçiencës së Energjisë në Kosovë (FEE)</w:t>
            </w:r>
          </w:p>
        </w:tc>
        <w:tc>
          <w:tcPr>
            <w:tcW w:w="1653" w:type="dxa"/>
            <w:vAlign w:val="center"/>
          </w:tcPr>
          <w:p w14:paraId="1D21DE00" w14:textId="39CB9ABE" w:rsidR="00712023" w:rsidRPr="003E7289" w:rsidRDefault="00A61B74" w:rsidP="00712023">
            <w:pPr>
              <w:spacing w:before="0" w:line="240" w:lineRule="auto"/>
              <w:jc w:val="center"/>
              <w:rPr>
                <w:rFonts w:ascii="Arial" w:hAnsi="Arial" w:cs="Arial"/>
                <w:b/>
                <w:bCs/>
                <w:sz w:val="20"/>
                <w:szCs w:val="20"/>
                <w:lang w:val="sq-AL"/>
              </w:rPr>
            </w:pPr>
            <w:r w:rsidRPr="003E7289">
              <w:rPr>
                <w:rFonts w:ascii="Arial" w:hAnsi="Arial" w:cs="Arial"/>
                <w:sz w:val="20"/>
                <w:szCs w:val="20"/>
                <w:lang w:val="sq-AL"/>
              </w:rPr>
              <w:t>Programi kombëtar i EE-së i miratuar; 100% e ndërtesave publike dhe stokut të banesave të hartuara; kanalet e financimit të siguruara</w:t>
            </w:r>
          </w:p>
        </w:tc>
        <w:tc>
          <w:tcPr>
            <w:tcW w:w="1653" w:type="dxa"/>
            <w:vAlign w:val="center"/>
          </w:tcPr>
          <w:p w14:paraId="374E635E" w14:textId="2BD8E52C" w:rsidR="00712023" w:rsidRPr="003E7289" w:rsidRDefault="00A61B74" w:rsidP="00712023">
            <w:pPr>
              <w:spacing w:before="0" w:line="240" w:lineRule="auto"/>
              <w:jc w:val="center"/>
              <w:rPr>
                <w:rFonts w:ascii="Arial" w:hAnsi="Arial" w:cs="Arial"/>
                <w:b/>
                <w:bCs/>
                <w:sz w:val="20"/>
                <w:szCs w:val="20"/>
                <w:lang w:val="sq-AL"/>
              </w:rPr>
            </w:pPr>
            <w:r w:rsidRPr="003E7289">
              <w:rPr>
                <w:rFonts w:ascii="Arial" w:hAnsi="Arial" w:cs="Arial"/>
                <w:sz w:val="20"/>
                <w:szCs w:val="20"/>
                <w:lang w:val="sq-AL"/>
              </w:rPr>
              <w:t>Projekt i ri</w:t>
            </w:r>
          </w:p>
        </w:tc>
      </w:tr>
      <w:tr w:rsidR="00712023" w:rsidRPr="003E7289" w14:paraId="315B180F" w14:textId="77777777" w:rsidTr="004807C9">
        <w:trPr>
          <w:trHeight w:val="120"/>
        </w:trPr>
        <w:tc>
          <w:tcPr>
            <w:tcW w:w="993" w:type="dxa"/>
            <w:vAlign w:val="center"/>
          </w:tcPr>
          <w:p w14:paraId="1ABC793C" w14:textId="075B409D"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II.2</w:t>
            </w:r>
            <w:r w:rsidR="00E0225B" w:rsidRPr="003E7289">
              <w:rPr>
                <w:rFonts w:ascii="Arial" w:hAnsi="Arial" w:cs="Arial"/>
                <w:b/>
                <w:bCs/>
                <w:sz w:val="20"/>
                <w:szCs w:val="20"/>
                <w:lang w:val="sq-AL"/>
              </w:rPr>
              <w:t>4</w:t>
            </w:r>
            <w:r w:rsidRPr="003E7289">
              <w:rPr>
                <w:rFonts w:ascii="Arial" w:hAnsi="Arial" w:cs="Arial"/>
                <w:b/>
                <w:bCs/>
                <w:sz w:val="20"/>
                <w:szCs w:val="20"/>
                <w:lang w:val="sq-AL"/>
              </w:rPr>
              <w:t>.2</w:t>
            </w:r>
          </w:p>
        </w:tc>
        <w:tc>
          <w:tcPr>
            <w:tcW w:w="1983" w:type="dxa"/>
            <w:gridSpan w:val="2"/>
            <w:vAlign w:val="center"/>
          </w:tcPr>
          <w:p w14:paraId="4B83A5BF" w14:textId="11B57ED4" w:rsidR="00712023" w:rsidRPr="003E7289" w:rsidRDefault="00A61B74" w:rsidP="00A61B74">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Nisja e punimeve të mëdha të rinovimit për objektet publike prioritare dhe pilot-projektet për amvisëri</w:t>
            </w:r>
          </w:p>
        </w:tc>
        <w:tc>
          <w:tcPr>
            <w:tcW w:w="1700" w:type="dxa"/>
            <w:vAlign w:val="center"/>
          </w:tcPr>
          <w:p w14:paraId="147A7E03"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sz w:val="20"/>
                <w:szCs w:val="20"/>
                <w:lang w:val="sq-AL"/>
              </w:rPr>
              <w:t>2028</w:t>
            </w:r>
          </w:p>
        </w:tc>
        <w:tc>
          <w:tcPr>
            <w:tcW w:w="902" w:type="dxa"/>
            <w:vAlign w:val="center"/>
          </w:tcPr>
          <w:p w14:paraId="3A40E29A" w14:textId="4862699F"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~10 mil €</w:t>
            </w:r>
          </w:p>
        </w:tc>
        <w:tc>
          <w:tcPr>
            <w:tcW w:w="900" w:type="dxa"/>
            <w:vAlign w:val="center"/>
          </w:tcPr>
          <w:p w14:paraId="6641F98C" w14:textId="705891F3"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~35 mil €</w:t>
            </w:r>
          </w:p>
        </w:tc>
        <w:tc>
          <w:tcPr>
            <w:tcW w:w="898" w:type="dxa"/>
            <w:gridSpan w:val="2"/>
            <w:vAlign w:val="center"/>
          </w:tcPr>
          <w:p w14:paraId="0C0F5444" w14:textId="5FA11520"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~18.4 mil €</w:t>
            </w:r>
          </w:p>
        </w:tc>
        <w:tc>
          <w:tcPr>
            <w:tcW w:w="2974" w:type="dxa"/>
            <w:gridSpan w:val="2"/>
            <w:vMerge/>
            <w:vAlign w:val="center"/>
          </w:tcPr>
          <w:p w14:paraId="43207777" w14:textId="33E4E812" w:rsidR="00712023" w:rsidRPr="003E7289" w:rsidRDefault="00712023" w:rsidP="00712023">
            <w:pPr>
              <w:spacing w:before="0" w:line="240" w:lineRule="auto"/>
              <w:jc w:val="center"/>
              <w:rPr>
                <w:rFonts w:ascii="Arial" w:hAnsi="Arial" w:cs="Arial"/>
                <w:b/>
                <w:bCs/>
                <w:sz w:val="20"/>
                <w:szCs w:val="20"/>
                <w:lang w:val="sq-AL"/>
              </w:rPr>
            </w:pPr>
          </w:p>
        </w:tc>
        <w:tc>
          <w:tcPr>
            <w:tcW w:w="1512" w:type="dxa"/>
            <w:gridSpan w:val="2"/>
            <w:vAlign w:val="center"/>
          </w:tcPr>
          <w:p w14:paraId="415765AA" w14:textId="77777777" w:rsidR="00A61B74" w:rsidRPr="003E7289" w:rsidRDefault="00A61B74" w:rsidP="00A61B74">
            <w:pPr>
              <w:spacing w:before="0" w:line="240" w:lineRule="auto"/>
              <w:jc w:val="center"/>
              <w:rPr>
                <w:rFonts w:ascii="Arial" w:hAnsi="Arial" w:cs="Arial"/>
                <w:sz w:val="20"/>
                <w:szCs w:val="20"/>
                <w:lang w:val="sq-AL"/>
              </w:rPr>
            </w:pPr>
            <w:r w:rsidRPr="003E7289">
              <w:rPr>
                <w:rFonts w:ascii="Arial" w:hAnsi="Arial" w:cs="Arial"/>
                <w:sz w:val="20"/>
                <w:szCs w:val="20"/>
                <w:lang w:val="sq-AL"/>
              </w:rPr>
              <w:t>Udhëheqës: Ministria e Ekonomisë</w:t>
            </w:r>
          </w:p>
          <w:p w14:paraId="7D9F8080" w14:textId="50E411A2" w:rsidR="00712023" w:rsidRPr="003E7289" w:rsidRDefault="00A61B74" w:rsidP="00A61B74">
            <w:pPr>
              <w:spacing w:before="0" w:line="240" w:lineRule="auto"/>
              <w:jc w:val="center"/>
              <w:rPr>
                <w:rFonts w:ascii="Arial" w:hAnsi="Arial" w:cs="Arial"/>
                <w:b/>
                <w:bCs/>
                <w:sz w:val="20"/>
                <w:szCs w:val="20"/>
                <w:lang w:val="sq-AL"/>
              </w:rPr>
            </w:pPr>
            <w:r w:rsidRPr="003E7289">
              <w:rPr>
                <w:rFonts w:ascii="Arial" w:hAnsi="Arial" w:cs="Arial"/>
                <w:sz w:val="20"/>
                <w:szCs w:val="20"/>
                <w:lang w:val="sq-AL"/>
              </w:rPr>
              <w:t>Zbatimi: Fondi i Efiçiencës së Energjisë në Kosovë (FEE)</w:t>
            </w:r>
          </w:p>
        </w:tc>
        <w:tc>
          <w:tcPr>
            <w:tcW w:w="1653" w:type="dxa"/>
            <w:vAlign w:val="center"/>
          </w:tcPr>
          <w:p w14:paraId="6B11B43F" w14:textId="21AA2AF1" w:rsidR="00712023" w:rsidRPr="003E7289" w:rsidRDefault="00A61B74" w:rsidP="00712023">
            <w:pPr>
              <w:spacing w:before="0" w:line="240" w:lineRule="auto"/>
              <w:jc w:val="center"/>
              <w:rPr>
                <w:rFonts w:ascii="Arial" w:hAnsi="Arial" w:cs="Arial"/>
                <w:b/>
                <w:bCs/>
                <w:sz w:val="20"/>
                <w:szCs w:val="20"/>
                <w:lang w:val="sq-AL"/>
              </w:rPr>
            </w:pPr>
            <w:r w:rsidRPr="003E7289">
              <w:rPr>
                <w:rFonts w:ascii="Arial" w:hAnsi="Arial" w:cs="Arial"/>
                <w:sz w:val="20"/>
                <w:szCs w:val="20"/>
                <w:lang w:val="sq-AL"/>
              </w:rPr>
              <w:t>500 ndërtesa publike të rikonstruktuara; 20% e familjeve të përmirësuara; skema kombëtare e subvencioneve/kredive funksionale</w:t>
            </w:r>
          </w:p>
        </w:tc>
        <w:tc>
          <w:tcPr>
            <w:tcW w:w="1653" w:type="dxa"/>
            <w:vAlign w:val="center"/>
          </w:tcPr>
          <w:p w14:paraId="213CB792" w14:textId="29DF3196" w:rsidR="00712023" w:rsidRPr="003E7289" w:rsidRDefault="00A61B74" w:rsidP="00712023">
            <w:pPr>
              <w:spacing w:before="0" w:line="240" w:lineRule="auto"/>
              <w:jc w:val="center"/>
              <w:rPr>
                <w:rFonts w:ascii="Arial" w:hAnsi="Arial" w:cs="Arial"/>
                <w:b/>
                <w:bCs/>
                <w:sz w:val="20"/>
                <w:szCs w:val="20"/>
                <w:lang w:val="sq-AL"/>
              </w:rPr>
            </w:pPr>
            <w:r w:rsidRPr="003E7289">
              <w:rPr>
                <w:rFonts w:ascii="Arial" w:hAnsi="Arial" w:cs="Arial"/>
                <w:sz w:val="20"/>
                <w:szCs w:val="20"/>
                <w:lang w:val="sq-AL"/>
              </w:rPr>
              <w:t>Projekt i ri</w:t>
            </w:r>
          </w:p>
        </w:tc>
      </w:tr>
      <w:tr w:rsidR="00712023" w:rsidRPr="003E7289" w14:paraId="600FCB10" w14:textId="77777777" w:rsidTr="004807C9">
        <w:trPr>
          <w:trHeight w:val="120"/>
        </w:trPr>
        <w:tc>
          <w:tcPr>
            <w:tcW w:w="993" w:type="dxa"/>
            <w:vAlign w:val="center"/>
          </w:tcPr>
          <w:p w14:paraId="0EB6BDE3" w14:textId="52CA6D8C"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II.2</w:t>
            </w:r>
            <w:r w:rsidR="00E0225B" w:rsidRPr="003E7289">
              <w:rPr>
                <w:rFonts w:ascii="Arial" w:hAnsi="Arial" w:cs="Arial"/>
                <w:b/>
                <w:bCs/>
                <w:sz w:val="20"/>
                <w:szCs w:val="20"/>
                <w:lang w:val="sq-AL"/>
              </w:rPr>
              <w:t>4</w:t>
            </w:r>
            <w:r w:rsidRPr="003E7289">
              <w:rPr>
                <w:rFonts w:ascii="Arial" w:hAnsi="Arial" w:cs="Arial"/>
                <w:b/>
                <w:bCs/>
                <w:sz w:val="20"/>
                <w:szCs w:val="20"/>
                <w:lang w:val="sq-AL"/>
              </w:rPr>
              <w:t>.3</w:t>
            </w:r>
          </w:p>
        </w:tc>
        <w:tc>
          <w:tcPr>
            <w:tcW w:w="1983" w:type="dxa"/>
            <w:gridSpan w:val="2"/>
            <w:vAlign w:val="center"/>
          </w:tcPr>
          <w:p w14:paraId="139F570E" w14:textId="07665F3D" w:rsidR="00712023" w:rsidRPr="003E7289" w:rsidRDefault="00A61B74" w:rsidP="00A61B74">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Shtrirja e plotë e programit dhe institucionalizimi i mirëmbajtjes</w:t>
            </w:r>
          </w:p>
        </w:tc>
        <w:tc>
          <w:tcPr>
            <w:tcW w:w="1700" w:type="dxa"/>
            <w:vAlign w:val="center"/>
          </w:tcPr>
          <w:p w14:paraId="62DB604B"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sz w:val="20"/>
                <w:szCs w:val="20"/>
                <w:lang w:val="sq-AL"/>
              </w:rPr>
              <w:t>2040</w:t>
            </w:r>
          </w:p>
        </w:tc>
        <w:tc>
          <w:tcPr>
            <w:tcW w:w="902" w:type="dxa"/>
            <w:vAlign w:val="center"/>
          </w:tcPr>
          <w:p w14:paraId="1509FD88" w14:textId="385D66B3"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w:t>
            </w:r>
          </w:p>
        </w:tc>
        <w:tc>
          <w:tcPr>
            <w:tcW w:w="900" w:type="dxa"/>
            <w:vAlign w:val="center"/>
          </w:tcPr>
          <w:p w14:paraId="3B500D8B" w14:textId="6525C2FA"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~6 mil €</w:t>
            </w:r>
          </w:p>
        </w:tc>
        <w:tc>
          <w:tcPr>
            <w:tcW w:w="898" w:type="dxa"/>
            <w:gridSpan w:val="2"/>
            <w:vAlign w:val="center"/>
          </w:tcPr>
          <w:p w14:paraId="09245DBF" w14:textId="04FCF12D"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~25.6 mil €</w:t>
            </w:r>
          </w:p>
        </w:tc>
        <w:tc>
          <w:tcPr>
            <w:tcW w:w="2974" w:type="dxa"/>
            <w:gridSpan w:val="2"/>
            <w:vMerge/>
            <w:vAlign w:val="center"/>
          </w:tcPr>
          <w:p w14:paraId="532D3078" w14:textId="4FF32E90" w:rsidR="00712023" w:rsidRPr="003E7289" w:rsidRDefault="00712023" w:rsidP="00712023">
            <w:pPr>
              <w:spacing w:before="0" w:line="240" w:lineRule="auto"/>
              <w:jc w:val="center"/>
              <w:rPr>
                <w:rFonts w:ascii="Arial" w:hAnsi="Arial" w:cs="Arial"/>
                <w:b/>
                <w:bCs/>
                <w:sz w:val="20"/>
                <w:szCs w:val="20"/>
                <w:lang w:val="sq-AL"/>
              </w:rPr>
            </w:pPr>
          </w:p>
        </w:tc>
        <w:tc>
          <w:tcPr>
            <w:tcW w:w="1512" w:type="dxa"/>
            <w:gridSpan w:val="2"/>
            <w:vAlign w:val="center"/>
          </w:tcPr>
          <w:p w14:paraId="0F4416FB" w14:textId="77777777" w:rsidR="00A61B74" w:rsidRPr="003E7289" w:rsidRDefault="00A61B74" w:rsidP="00A61B74">
            <w:pPr>
              <w:spacing w:before="0" w:line="240" w:lineRule="auto"/>
              <w:jc w:val="center"/>
              <w:rPr>
                <w:rFonts w:ascii="Arial" w:hAnsi="Arial" w:cs="Arial"/>
                <w:sz w:val="20"/>
                <w:szCs w:val="20"/>
                <w:lang w:val="sq-AL"/>
              </w:rPr>
            </w:pPr>
            <w:r w:rsidRPr="003E7289">
              <w:rPr>
                <w:rFonts w:ascii="Arial" w:hAnsi="Arial" w:cs="Arial"/>
                <w:sz w:val="20"/>
                <w:szCs w:val="20"/>
                <w:lang w:val="sq-AL"/>
              </w:rPr>
              <w:t>Udhëheqës: Ministria e Ekonomisë</w:t>
            </w:r>
          </w:p>
          <w:p w14:paraId="51A502E0" w14:textId="42325DDF" w:rsidR="00712023" w:rsidRPr="003E7289" w:rsidRDefault="00A61B74" w:rsidP="00A61B74">
            <w:pPr>
              <w:spacing w:before="0" w:line="240" w:lineRule="auto"/>
              <w:jc w:val="center"/>
              <w:rPr>
                <w:rFonts w:ascii="Arial" w:hAnsi="Arial" w:cs="Arial"/>
                <w:b/>
                <w:bCs/>
                <w:sz w:val="20"/>
                <w:szCs w:val="20"/>
                <w:lang w:val="sq-AL"/>
              </w:rPr>
            </w:pPr>
            <w:r w:rsidRPr="003E7289">
              <w:rPr>
                <w:rFonts w:ascii="Arial" w:hAnsi="Arial" w:cs="Arial"/>
                <w:sz w:val="20"/>
                <w:szCs w:val="20"/>
                <w:lang w:val="sq-AL"/>
              </w:rPr>
              <w:t>Zbatimi: Fondi i Efiçiencës së Energjisë në Kosovë (FEE)</w:t>
            </w:r>
          </w:p>
        </w:tc>
        <w:tc>
          <w:tcPr>
            <w:tcW w:w="1653" w:type="dxa"/>
            <w:vAlign w:val="center"/>
          </w:tcPr>
          <w:p w14:paraId="426C339A" w14:textId="31C05FC5" w:rsidR="00712023" w:rsidRPr="003E7289" w:rsidRDefault="00A61B74" w:rsidP="00712023">
            <w:pPr>
              <w:spacing w:before="0" w:line="240" w:lineRule="auto"/>
              <w:jc w:val="center"/>
              <w:rPr>
                <w:rFonts w:ascii="Arial" w:hAnsi="Arial" w:cs="Arial"/>
                <w:b/>
                <w:bCs/>
                <w:sz w:val="20"/>
                <w:szCs w:val="20"/>
                <w:lang w:val="sq-AL"/>
              </w:rPr>
            </w:pPr>
            <w:r w:rsidRPr="003E7289">
              <w:rPr>
                <w:rFonts w:ascii="Arial" w:hAnsi="Arial" w:cs="Arial"/>
                <w:sz w:val="20"/>
                <w:szCs w:val="20"/>
                <w:lang w:val="sq-AL"/>
              </w:rPr>
              <w:t>Të gjitha ndërtesat publike të certifikuara si EE; 75% e shtëpive të përmirësuara; sistem i fuqishëm mirëmbajtjeje dhe certifikimi në vend</w:t>
            </w:r>
          </w:p>
        </w:tc>
        <w:tc>
          <w:tcPr>
            <w:tcW w:w="1653" w:type="dxa"/>
            <w:vAlign w:val="center"/>
          </w:tcPr>
          <w:p w14:paraId="4C0467D2" w14:textId="2391BC58" w:rsidR="00712023" w:rsidRPr="003E7289" w:rsidRDefault="00A61B74" w:rsidP="00712023">
            <w:pPr>
              <w:spacing w:before="0" w:line="240" w:lineRule="auto"/>
              <w:jc w:val="center"/>
              <w:rPr>
                <w:rFonts w:ascii="Arial" w:hAnsi="Arial" w:cs="Arial"/>
                <w:b/>
                <w:bCs/>
                <w:sz w:val="20"/>
                <w:szCs w:val="20"/>
                <w:lang w:val="sq-AL"/>
              </w:rPr>
            </w:pPr>
            <w:r w:rsidRPr="003E7289">
              <w:rPr>
                <w:rFonts w:ascii="Arial" w:hAnsi="Arial" w:cs="Arial"/>
                <w:sz w:val="20"/>
                <w:szCs w:val="20"/>
                <w:lang w:val="sq-AL"/>
              </w:rPr>
              <w:t>Projekt i ri</w:t>
            </w:r>
          </w:p>
        </w:tc>
      </w:tr>
      <w:tr w:rsidR="00712023" w:rsidRPr="003E7289" w14:paraId="55E2FAF5" w14:textId="77777777" w:rsidTr="00D42597">
        <w:trPr>
          <w:trHeight w:val="120"/>
        </w:trPr>
        <w:tc>
          <w:tcPr>
            <w:tcW w:w="2976" w:type="dxa"/>
            <w:gridSpan w:val="3"/>
            <w:shd w:val="clear" w:color="auto" w:fill="C6E7F6"/>
            <w:vAlign w:val="center"/>
          </w:tcPr>
          <w:p w14:paraId="58EE149B" w14:textId="3AD97BA3" w:rsidR="00712023" w:rsidRPr="003E7289" w:rsidRDefault="00712023" w:rsidP="00712023">
            <w:pPr>
              <w:spacing w:before="0" w:line="240" w:lineRule="auto"/>
              <w:rPr>
                <w:rFonts w:ascii="Arial" w:hAnsi="Arial" w:cs="Arial"/>
                <w:b/>
                <w:bCs/>
                <w:sz w:val="20"/>
                <w:szCs w:val="20"/>
                <w:lang w:val="sq-AL"/>
              </w:rPr>
            </w:pPr>
            <w:r w:rsidRPr="003E7289">
              <w:rPr>
                <w:rFonts w:ascii="Arial" w:eastAsia="Aptos" w:hAnsi="Arial" w:cs="Arial"/>
                <w:b/>
                <w:bCs/>
                <w:sz w:val="20"/>
                <w:szCs w:val="20"/>
                <w:lang w:val="sq-AL"/>
              </w:rPr>
              <w:lastRenderedPageBreak/>
              <w:t>Buxheti total për Objektivin specifik II.2</w:t>
            </w:r>
            <w:r w:rsidR="00E0225B" w:rsidRPr="003E7289">
              <w:rPr>
                <w:rFonts w:ascii="Arial" w:eastAsia="Aptos" w:hAnsi="Arial" w:cs="Arial"/>
                <w:b/>
                <w:bCs/>
                <w:sz w:val="20"/>
                <w:szCs w:val="20"/>
                <w:lang w:val="sq-AL"/>
              </w:rPr>
              <w:t>4</w:t>
            </w:r>
            <w:r w:rsidRPr="003E7289">
              <w:rPr>
                <w:rFonts w:ascii="Arial" w:eastAsia="Aptos" w:hAnsi="Arial" w:cs="Arial"/>
                <w:b/>
                <w:bCs/>
                <w:sz w:val="20"/>
                <w:szCs w:val="20"/>
                <w:lang w:val="sq-AL"/>
              </w:rPr>
              <w:t>:</w:t>
            </w:r>
          </w:p>
        </w:tc>
        <w:tc>
          <w:tcPr>
            <w:tcW w:w="12192" w:type="dxa"/>
            <w:gridSpan w:val="11"/>
            <w:vAlign w:val="center"/>
          </w:tcPr>
          <w:p w14:paraId="40995873" w14:textId="2833C976"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b/>
                <w:bCs/>
                <w:sz w:val="20"/>
                <w:szCs w:val="20"/>
                <w:lang w:val="sq-AL"/>
              </w:rPr>
              <w:t>~105,600.00€</w:t>
            </w:r>
          </w:p>
        </w:tc>
      </w:tr>
      <w:tr w:rsidR="00712023" w:rsidRPr="003E7289" w14:paraId="523FED32" w14:textId="77777777" w:rsidTr="007065D4">
        <w:trPr>
          <w:trHeight w:val="120"/>
        </w:trPr>
        <w:tc>
          <w:tcPr>
            <w:tcW w:w="2976" w:type="dxa"/>
            <w:gridSpan w:val="3"/>
            <w:shd w:val="clear" w:color="auto" w:fill="C6E7F6"/>
          </w:tcPr>
          <w:p w14:paraId="7FC27845" w14:textId="457BE3A6" w:rsidR="00712023" w:rsidRPr="003E7289" w:rsidRDefault="00712023" w:rsidP="00712023">
            <w:pPr>
              <w:spacing w:before="0" w:line="240" w:lineRule="auto"/>
              <w:rPr>
                <w:rFonts w:ascii="Arial" w:hAnsi="Arial" w:cs="Arial"/>
                <w:b/>
                <w:bCs/>
                <w:sz w:val="20"/>
                <w:szCs w:val="20"/>
                <w:lang w:val="sq-AL"/>
              </w:rPr>
            </w:pPr>
            <w:r w:rsidRPr="003E7289">
              <w:rPr>
                <w:rFonts w:ascii="Arial" w:eastAsia="Aptos" w:hAnsi="Arial" w:cs="Arial"/>
                <w:b/>
                <w:bCs/>
                <w:sz w:val="20"/>
                <w:szCs w:val="20"/>
                <w:lang w:val="sq-AL"/>
              </w:rPr>
              <w:t>Nga kjo, kapital:</w:t>
            </w:r>
          </w:p>
        </w:tc>
        <w:tc>
          <w:tcPr>
            <w:tcW w:w="12192" w:type="dxa"/>
            <w:gridSpan w:val="11"/>
            <w:vAlign w:val="center"/>
          </w:tcPr>
          <w:p w14:paraId="628CE527" w14:textId="77777777" w:rsidR="00712023" w:rsidRPr="003E7289" w:rsidRDefault="00712023" w:rsidP="00712023">
            <w:pPr>
              <w:spacing w:before="0" w:line="240" w:lineRule="auto"/>
              <w:jc w:val="center"/>
              <w:rPr>
                <w:rFonts w:ascii="Arial" w:hAnsi="Arial" w:cs="Arial"/>
                <w:b/>
                <w:bCs/>
                <w:sz w:val="20"/>
                <w:szCs w:val="20"/>
                <w:lang w:val="sq-AL"/>
              </w:rPr>
            </w:pPr>
          </w:p>
        </w:tc>
      </w:tr>
      <w:tr w:rsidR="00712023" w:rsidRPr="003E7289" w14:paraId="4DF6D64A" w14:textId="77777777" w:rsidTr="007065D4">
        <w:trPr>
          <w:trHeight w:val="120"/>
        </w:trPr>
        <w:tc>
          <w:tcPr>
            <w:tcW w:w="2976" w:type="dxa"/>
            <w:gridSpan w:val="3"/>
            <w:shd w:val="clear" w:color="auto" w:fill="C6E7F6"/>
          </w:tcPr>
          <w:p w14:paraId="797B83CF" w14:textId="753ED317" w:rsidR="00712023" w:rsidRPr="003E7289" w:rsidRDefault="00712023" w:rsidP="00712023">
            <w:pPr>
              <w:spacing w:before="0" w:line="240" w:lineRule="auto"/>
              <w:rPr>
                <w:rFonts w:ascii="Arial" w:hAnsi="Arial" w:cs="Arial"/>
                <w:b/>
                <w:bCs/>
                <w:sz w:val="20"/>
                <w:szCs w:val="20"/>
                <w:lang w:val="sq-AL"/>
              </w:rPr>
            </w:pPr>
            <w:r w:rsidRPr="003E7289">
              <w:rPr>
                <w:rFonts w:ascii="Arial" w:eastAsia="Aptos" w:hAnsi="Arial" w:cs="Arial"/>
                <w:b/>
                <w:bCs/>
                <w:sz w:val="20"/>
                <w:szCs w:val="20"/>
                <w:lang w:val="sq-AL"/>
              </w:rPr>
              <w:t>Nga kjo, shpenzime korrente:</w:t>
            </w:r>
          </w:p>
        </w:tc>
        <w:tc>
          <w:tcPr>
            <w:tcW w:w="12192" w:type="dxa"/>
            <w:gridSpan w:val="11"/>
            <w:vAlign w:val="center"/>
          </w:tcPr>
          <w:p w14:paraId="127C8494" w14:textId="77777777" w:rsidR="00712023" w:rsidRPr="003E7289" w:rsidRDefault="00712023" w:rsidP="00712023">
            <w:pPr>
              <w:spacing w:before="0" w:line="240" w:lineRule="auto"/>
              <w:jc w:val="center"/>
              <w:rPr>
                <w:rFonts w:ascii="Arial" w:hAnsi="Arial" w:cs="Arial"/>
                <w:b/>
                <w:bCs/>
                <w:sz w:val="20"/>
                <w:szCs w:val="20"/>
                <w:lang w:val="sq-AL"/>
              </w:rPr>
            </w:pPr>
          </w:p>
        </w:tc>
      </w:tr>
      <w:tr w:rsidR="00712023" w:rsidRPr="003E7289" w14:paraId="0ADE38A7" w14:textId="77777777" w:rsidTr="00A70686">
        <w:trPr>
          <w:trHeight w:val="120"/>
        </w:trPr>
        <w:tc>
          <w:tcPr>
            <w:tcW w:w="993" w:type="dxa"/>
            <w:shd w:val="clear" w:color="auto" w:fill="84CCEC"/>
            <w:vAlign w:val="center"/>
          </w:tcPr>
          <w:p w14:paraId="1187BB63" w14:textId="4468E5A5"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 2</w:t>
            </w:r>
            <w:r w:rsidR="00E0225B" w:rsidRPr="003E7289">
              <w:rPr>
                <w:rFonts w:ascii="Arial" w:hAnsi="Arial" w:cs="Arial"/>
                <w:b/>
                <w:bCs/>
                <w:sz w:val="20"/>
                <w:szCs w:val="20"/>
                <w:lang w:val="sq-AL"/>
              </w:rPr>
              <w:t>5</w:t>
            </w:r>
          </w:p>
        </w:tc>
        <w:tc>
          <w:tcPr>
            <w:tcW w:w="14175" w:type="dxa"/>
            <w:gridSpan w:val="13"/>
            <w:shd w:val="clear" w:color="auto" w:fill="84CCEC"/>
            <w:vAlign w:val="center"/>
          </w:tcPr>
          <w:p w14:paraId="1F2C8B06" w14:textId="79208B39"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Rritja e efiçiencës energjetike në sektorin industrial dhe atë të shërbimeve, duke përfshirë pajisje dhe procese efiçiente</w:t>
            </w:r>
          </w:p>
        </w:tc>
      </w:tr>
      <w:tr w:rsidR="00A61B74" w:rsidRPr="003E7289" w14:paraId="18B6DC80" w14:textId="77777777" w:rsidTr="004807C9">
        <w:trPr>
          <w:trHeight w:val="120"/>
        </w:trPr>
        <w:tc>
          <w:tcPr>
            <w:tcW w:w="2976" w:type="dxa"/>
            <w:gridSpan w:val="3"/>
            <w:vAlign w:val="center"/>
          </w:tcPr>
          <w:p w14:paraId="0A301F7C" w14:textId="36BFF8E9" w:rsidR="00A61B74" w:rsidRPr="003E7289" w:rsidRDefault="00A61B74" w:rsidP="00A61B74">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Intensiteti i energjisë në industri (përdorimi i energjisë për njësi të PBB-së industriale), ose numri i ndërmarrjeve që zbatojnë përmirësime të efikasitetit.</w:t>
            </w:r>
          </w:p>
        </w:tc>
        <w:tc>
          <w:tcPr>
            <w:tcW w:w="1700" w:type="dxa"/>
            <w:vAlign w:val="center"/>
          </w:tcPr>
          <w:p w14:paraId="73349017" w14:textId="4D3322F5" w:rsidR="00A61B74" w:rsidRPr="003E7289" w:rsidRDefault="00A61B74" w:rsidP="00A61B74">
            <w:pPr>
              <w:spacing w:before="0" w:line="240" w:lineRule="auto"/>
              <w:rPr>
                <w:rFonts w:ascii="Arial" w:hAnsi="Arial" w:cs="Arial"/>
                <w:b/>
                <w:bCs/>
                <w:sz w:val="20"/>
                <w:szCs w:val="20"/>
                <w:lang w:val="sq-AL"/>
              </w:rPr>
            </w:pPr>
            <w:r w:rsidRPr="003E7289">
              <w:rPr>
                <w:rFonts w:ascii="Arial" w:hAnsi="Arial" w:cs="Arial"/>
                <w:sz w:val="20"/>
                <w:szCs w:val="20"/>
                <w:lang w:val="sq-AL"/>
              </w:rPr>
              <w:t>Niveli bazë: Intensitet i lartë i energjisë (p.sh. &gt;300 toe për 1 milion € PBB, që pasqyron pajisje të vjetruara); pak firma (&lt;20) të certifikuara në menaxhimin e energjisë.</w:t>
            </w:r>
          </w:p>
        </w:tc>
        <w:tc>
          <w:tcPr>
            <w:tcW w:w="2700" w:type="dxa"/>
            <w:gridSpan w:val="4"/>
            <w:vAlign w:val="center"/>
          </w:tcPr>
          <w:p w14:paraId="4288BD76" w14:textId="13246E44" w:rsidR="00A61B74" w:rsidRPr="003E7289" w:rsidRDefault="00A61B74" w:rsidP="00A61B74">
            <w:pPr>
              <w:spacing w:before="0" w:line="240" w:lineRule="auto"/>
              <w:rPr>
                <w:rFonts w:ascii="Arial" w:hAnsi="Arial" w:cs="Arial"/>
                <w:b/>
                <w:bCs/>
                <w:sz w:val="20"/>
                <w:szCs w:val="20"/>
                <w:lang w:val="sq-AL"/>
              </w:rPr>
            </w:pPr>
            <w:r w:rsidRPr="003E7289">
              <w:rPr>
                <w:rFonts w:ascii="Arial" w:hAnsi="Arial" w:cs="Arial"/>
                <w:sz w:val="20"/>
                <w:szCs w:val="20"/>
                <w:lang w:val="sq-AL"/>
              </w:rPr>
              <w:t>Intensiteti i energjisë i ulur me 10% (krahasuar me vitin 2024); të paktën 50 kompani kanë zbatuar auditime dhe përmirësime të energjisë.</w:t>
            </w:r>
          </w:p>
        </w:tc>
        <w:tc>
          <w:tcPr>
            <w:tcW w:w="2974" w:type="dxa"/>
            <w:gridSpan w:val="2"/>
            <w:vAlign w:val="center"/>
          </w:tcPr>
          <w:p w14:paraId="12D9427E" w14:textId="55B3F7E7" w:rsidR="00A61B74" w:rsidRPr="003E7289" w:rsidRDefault="00A61B74" w:rsidP="00A61B74">
            <w:pPr>
              <w:spacing w:before="0" w:line="240" w:lineRule="auto"/>
              <w:rPr>
                <w:rFonts w:ascii="Arial" w:hAnsi="Arial" w:cs="Arial"/>
                <w:b/>
                <w:bCs/>
                <w:sz w:val="20"/>
                <w:szCs w:val="20"/>
                <w:lang w:val="sq-AL"/>
              </w:rPr>
            </w:pPr>
            <w:r w:rsidRPr="003E7289">
              <w:rPr>
                <w:rFonts w:ascii="Arial" w:hAnsi="Arial" w:cs="Arial"/>
                <w:sz w:val="20"/>
                <w:szCs w:val="20"/>
                <w:lang w:val="sq-AL"/>
              </w:rPr>
              <w:t>Intensiteti i energjisë i ulur me 20%; &gt;200 kompani me sisteme të certifikuara të menaxhimit të energjisë (ISO 50001 ose të ngjashme).</w:t>
            </w:r>
          </w:p>
        </w:tc>
        <w:tc>
          <w:tcPr>
            <w:tcW w:w="4818" w:type="dxa"/>
            <w:gridSpan w:val="4"/>
            <w:vAlign w:val="center"/>
          </w:tcPr>
          <w:p w14:paraId="33D8A175" w14:textId="331DADD2" w:rsidR="00A61B74" w:rsidRPr="003E7289" w:rsidRDefault="00A61B74" w:rsidP="00A61B74">
            <w:pPr>
              <w:spacing w:before="0" w:line="240" w:lineRule="auto"/>
              <w:rPr>
                <w:rFonts w:ascii="Arial" w:hAnsi="Arial" w:cs="Arial"/>
                <w:b/>
                <w:bCs/>
                <w:sz w:val="20"/>
                <w:szCs w:val="20"/>
                <w:lang w:val="sq-AL"/>
              </w:rPr>
            </w:pPr>
            <w:r w:rsidRPr="003E7289">
              <w:rPr>
                <w:rFonts w:ascii="Arial" w:hAnsi="Arial" w:cs="Arial"/>
                <w:sz w:val="20"/>
                <w:szCs w:val="20"/>
                <w:lang w:val="sq-AL"/>
              </w:rPr>
              <w:t xml:space="preserve">Intensiteti i energjisë i ulur me 40%; teknologji </w:t>
            </w:r>
            <w:r w:rsidR="00AF6C69" w:rsidRPr="003E7289">
              <w:rPr>
                <w:rFonts w:ascii="Arial" w:hAnsi="Arial" w:cs="Arial"/>
                <w:sz w:val="20"/>
                <w:szCs w:val="20"/>
                <w:lang w:val="sq-AL"/>
              </w:rPr>
              <w:t>efiçiente</w:t>
            </w:r>
            <w:r w:rsidRPr="003E7289">
              <w:rPr>
                <w:rFonts w:ascii="Arial" w:hAnsi="Arial" w:cs="Arial"/>
                <w:sz w:val="20"/>
                <w:szCs w:val="20"/>
                <w:lang w:val="sq-AL"/>
              </w:rPr>
              <w:t>të kudondodhura në industri (pothuajse eliminimi i pajisjeve që shpenzojnë energji).</w:t>
            </w:r>
          </w:p>
        </w:tc>
      </w:tr>
      <w:tr w:rsidR="00712023" w:rsidRPr="003E7289" w14:paraId="2273B29F" w14:textId="77777777" w:rsidTr="004807C9">
        <w:trPr>
          <w:trHeight w:val="120"/>
        </w:trPr>
        <w:tc>
          <w:tcPr>
            <w:tcW w:w="993" w:type="dxa"/>
            <w:vMerge w:val="restart"/>
            <w:shd w:val="clear" w:color="auto" w:fill="C6E7F6"/>
            <w:vAlign w:val="center"/>
          </w:tcPr>
          <w:p w14:paraId="3A35C98E" w14:textId="10C4ED66"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Nr.</w:t>
            </w:r>
          </w:p>
        </w:tc>
        <w:tc>
          <w:tcPr>
            <w:tcW w:w="1983" w:type="dxa"/>
            <w:gridSpan w:val="2"/>
            <w:vMerge w:val="restart"/>
            <w:shd w:val="clear" w:color="auto" w:fill="C6E7F6"/>
            <w:vAlign w:val="center"/>
          </w:tcPr>
          <w:p w14:paraId="3C82291F" w14:textId="7EBA9803"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Veprimi</w:t>
            </w:r>
          </w:p>
        </w:tc>
        <w:tc>
          <w:tcPr>
            <w:tcW w:w="1700" w:type="dxa"/>
            <w:vMerge w:val="restart"/>
            <w:shd w:val="clear" w:color="auto" w:fill="C6E7F6"/>
            <w:vAlign w:val="center"/>
          </w:tcPr>
          <w:p w14:paraId="6870709D" w14:textId="16EEC335"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Afati I fundit</w:t>
            </w:r>
          </w:p>
        </w:tc>
        <w:tc>
          <w:tcPr>
            <w:tcW w:w="2700" w:type="dxa"/>
            <w:gridSpan w:val="4"/>
            <w:shd w:val="clear" w:color="auto" w:fill="C6E7F6"/>
            <w:vAlign w:val="center"/>
          </w:tcPr>
          <w:p w14:paraId="3C9D1585" w14:textId="453534B4"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Buxheti</w:t>
            </w:r>
          </w:p>
        </w:tc>
        <w:tc>
          <w:tcPr>
            <w:tcW w:w="2974" w:type="dxa"/>
            <w:gridSpan w:val="2"/>
            <w:vMerge w:val="restart"/>
            <w:shd w:val="clear" w:color="auto" w:fill="C6E7F6"/>
            <w:vAlign w:val="center"/>
          </w:tcPr>
          <w:p w14:paraId="714F6B07" w14:textId="4A4B982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Burimi i financimit</w:t>
            </w:r>
          </w:p>
        </w:tc>
        <w:tc>
          <w:tcPr>
            <w:tcW w:w="1512" w:type="dxa"/>
            <w:gridSpan w:val="2"/>
            <w:vMerge w:val="restart"/>
            <w:shd w:val="clear" w:color="auto" w:fill="C6E7F6"/>
            <w:vAlign w:val="center"/>
          </w:tcPr>
          <w:p w14:paraId="0EC9D1F9" w14:textId="41C25853"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Institucionet përgjegjëse dhe partnere</w:t>
            </w:r>
          </w:p>
        </w:tc>
        <w:tc>
          <w:tcPr>
            <w:tcW w:w="1653" w:type="dxa"/>
            <w:vMerge w:val="restart"/>
            <w:shd w:val="clear" w:color="auto" w:fill="C6E7F6"/>
            <w:vAlign w:val="center"/>
          </w:tcPr>
          <w:p w14:paraId="6F88FC9E" w14:textId="77FB6820"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Rezultati i pritur</w:t>
            </w:r>
          </w:p>
        </w:tc>
        <w:tc>
          <w:tcPr>
            <w:tcW w:w="1653" w:type="dxa"/>
            <w:vMerge w:val="restart"/>
            <w:shd w:val="clear" w:color="auto" w:fill="C6E7F6"/>
            <w:vAlign w:val="center"/>
          </w:tcPr>
          <w:p w14:paraId="75503E51" w14:textId="7ABBB750"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Dokumenti strategjik referues</w:t>
            </w:r>
          </w:p>
        </w:tc>
      </w:tr>
      <w:tr w:rsidR="00712023" w:rsidRPr="003E7289" w14:paraId="1C30B1DA" w14:textId="77777777" w:rsidTr="004807C9">
        <w:trPr>
          <w:trHeight w:val="120"/>
        </w:trPr>
        <w:tc>
          <w:tcPr>
            <w:tcW w:w="993" w:type="dxa"/>
            <w:vMerge/>
            <w:vAlign w:val="center"/>
          </w:tcPr>
          <w:p w14:paraId="4B9847B7" w14:textId="77777777" w:rsidR="00712023" w:rsidRPr="003E7289" w:rsidRDefault="00712023" w:rsidP="00712023">
            <w:pPr>
              <w:spacing w:before="0" w:line="240" w:lineRule="auto"/>
              <w:jc w:val="center"/>
              <w:rPr>
                <w:rFonts w:ascii="Arial" w:hAnsi="Arial" w:cs="Arial"/>
                <w:b/>
                <w:bCs/>
                <w:sz w:val="20"/>
                <w:szCs w:val="20"/>
                <w:lang w:val="sq-AL"/>
              </w:rPr>
            </w:pPr>
          </w:p>
        </w:tc>
        <w:tc>
          <w:tcPr>
            <w:tcW w:w="1983" w:type="dxa"/>
            <w:gridSpan w:val="2"/>
            <w:vMerge/>
            <w:vAlign w:val="center"/>
          </w:tcPr>
          <w:p w14:paraId="2C041C09" w14:textId="77777777" w:rsidR="00712023" w:rsidRPr="003E7289" w:rsidRDefault="00712023" w:rsidP="00712023">
            <w:pPr>
              <w:spacing w:before="0" w:line="240" w:lineRule="auto"/>
              <w:jc w:val="center"/>
              <w:rPr>
                <w:rFonts w:ascii="Arial" w:hAnsi="Arial" w:cs="Arial"/>
                <w:b/>
                <w:bCs/>
                <w:sz w:val="20"/>
                <w:szCs w:val="20"/>
                <w:lang w:val="sq-AL"/>
              </w:rPr>
            </w:pPr>
          </w:p>
        </w:tc>
        <w:tc>
          <w:tcPr>
            <w:tcW w:w="1700" w:type="dxa"/>
            <w:vMerge/>
            <w:vAlign w:val="center"/>
          </w:tcPr>
          <w:p w14:paraId="34B455F8" w14:textId="77777777" w:rsidR="00712023" w:rsidRPr="003E7289" w:rsidRDefault="00712023" w:rsidP="00712023">
            <w:pPr>
              <w:spacing w:before="0" w:line="240" w:lineRule="auto"/>
              <w:jc w:val="center"/>
              <w:rPr>
                <w:rFonts w:ascii="Arial" w:hAnsi="Arial" w:cs="Arial"/>
                <w:b/>
                <w:bCs/>
                <w:sz w:val="20"/>
                <w:szCs w:val="20"/>
                <w:lang w:val="sq-AL"/>
              </w:rPr>
            </w:pPr>
          </w:p>
        </w:tc>
        <w:tc>
          <w:tcPr>
            <w:tcW w:w="902" w:type="dxa"/>
            <w:shd w:val="clear" w:color="auto" w:fill="C6E7F6"/>
            <w:vAlign w:val="center"/>
          </w:tcPr>
          <w:p w14:paraId="0552D6A0"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2026</w:t>
            </w:r>
          </w:p>
        </w:tc>
        <w:tc>
          <w:tcPr>
            <w:tcW w:w="900" w:type="dxa"/>
            <w:shd w:val="clear" w:color="auto" w:fill="C6E7F6"/>
            <w:vAlign w:val="center"/>
          </w:tcPr>
          <w:p w14:paraId="56006F32"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2027</w:t>
            </w:r>
          </w:p>
        </w:tc>
        <w:tc>
          <w:tcPr>
            <w:tcW w:w="898" w:type="dxa"/>
            <w:gridSpan w:val="2"/>
            <w:shd w:val="clear" w:color="auto" w:fill="C6E7F6"/>
            <w:vAlign w:val="center"/>
          </w:tcPr>
          <w:p w14:paraId="69B6BE68"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2028</w:t>
            </w:r>
          </w:p>
        </w:tc>
        <w:tc>
          <w:tcPr>
            <w:tcW w:w="2974" w:type="dxa"/>
            <w:gridSpan w:val="2"/>
            <w:vMerge/>
            <w:vAlign w:val="center"/>
          </w:tcPr>
          <w:p w14:paraId="22B3958B" w14:textId="77777777" w:rsidR="00712023" w:rsidRPr="003E7289" w:rsidRDefault="00712023" w:rsidP="00712023">
            <w:pPr>
              <w:spacing w:before="0" w:line="240" w:lineRule="auto"/>
              <w:jc w:val="center"/>
              <w:rPr>
                <w:rFonts w:ascii="Arial" w:hAnsi="Arial" w:cs="Arial"/>
                <w:b/>
                <w:bCs/>
                <w:sz w:val="20"/>
                <w:szCs w:val="20"/>
                <w:lang w:val="sq-AL"/>
              </w:rPr>
            </w:pPr>
          </w:p>
        </w:tc>
        <w:tc>
          <w:tcPr>
            <w:tcW w:w="1512" w:type="dxa"/>
            <w:gridSpan w:val="2"/>
            <w:vMerge/>
            <w:vAlign w:val="center"/>
          </w:tcPr>
          <w:p w14:paraId="5E7CAF57" w14:textId="77777777" w:rsidR="00712023" w:rsidRPr="003E7289" w:rsidRDefault="00712023" w:rsidP="00712023">
            <w:pPr>
              <w:spacing w:before="0" w:line="240" w:lineRule="auto"/>
              <w:jc w:val="center"/>
              <w:rPr>
                <w:rFonts w:ascii="Arial" w:hAnsi="Arial" w:cs="Arial"/>
                <w:b/>
                <w:bCs/>
                <w:sz w:val="20"/>
                <w:szCs w:val="20"/>
                <w:lang w:val="sq-AL"/>
              </w:rPr>
            </w:pPr>
          </w:p>
        </w:tc>
        <w:tc>
          <w:tcPr>
            <w:tcW w:w="1653" w:type="dxa"/>
            <w:vMerge/>
            <w:vAlign w:val="center"/>
          </w:tcPr>
          <w:p w14:paraId="705F7F22" w14:textId="77777777" w:rsidR="00712023" w:rsidRPr="003E7289" w:rsidRDefault="00712023" w:rsidP="00712023">
            <w:pPr>
              <w:spacing w:before="0" w:line="240" w:lineRule="auto"/>
              <w:jc w:val="center"/>
              <w:rPr>
                <w:rFonts w:ascii="Arial" w:hAnsi="Arial" w:cs="Arial"/>
                <w:b/>
                <w:bCs/>
                <w:sz w:val="20"/>
                <w:szCs w:val="20"/>
                <w:lang w:val="sq-AL"/>
              </w:rPr>
            </w:pPr>
          </w:p>
        </w:tc>
        <w:tc>
          <w:tcPr>
            <w:tcW w:w="1653" w:type="dxa"/>
            <w:vMerge/>
            <w:vAlign w:val="center"/>
          </w:tcPr>
          <w:p w14:paraId="1A9D3616" w14:textId="77777777" w:rsidR="00712023" w:rsidRPr="003E7289" w:rsidRDefault="00712023" w:rsidP="00712023">
            <w:pPr>
              <w:spacing w:before="0" w:line="240" w:lineRule="auto"/>
              <w:jc w:val="center"/>
              <w:rPr>
                <w:rFonts w:ascii="Arial" w:hAnsi="Arial" w:cs="Arial"/>
                <w:b/>
                <w:bCs/>
                <w:sz w:val="20"/>
                <w:szCs w:val="20"/>
                <w:lang w:val="sq-AL"/>
              </w:rPr>
            </w:pPr>
          </w:p>
        </w:tc>
      </w:tr>
      <w:tr w:rsidR="00712023" w:rsidRPr="003E7289" w14:paraId="02B11C8A" w14:textId="77777777" w:rsidTr="004807C9">
        <w:trPr>
          <w:trHeight w:val="120"/>
        </w:trPr>
        <w:tc>
          <w:tcPr>
            <w:tcW w:w="993" w:type="dxa"/>
            <w:vAlign w:val="center"/>
          </w:tcPr>
          <w:p w14:paraId="1323B318" w14:textId="073EC515"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lastRenderedPageBreak/>
              <w:t>II.2</w:t>
            </w:r>
            <w:r w:rsidR="00E0225B" w:rsidRPr="003E7289">
              <w:rPr>
                <w:rFonts w:ascii="Arial" w:hAnsi="Arial" w:cs="Arial"/>
                <w:b/>
                <w:bCs/>
                <w:sz w:val="20"/>
                <w:szCs w:val="20"/>
                <w:lang w:val="sq-AL"/>
              </w:rPr>
              <w:t>5</w:t>
            </w:r>
            <w:r w:rsidRPr="003E7289">
              <w:rPr>
                <w:rFonts w:ascii="Arial" w:hAnsi="Arial" w:cs="Arial"/>
                <w:b/>
                <w:bCs/>
                <w:sz w:val="20"/>
                <w:szCs w:val="20"/>
                <w:lang w:val="sq-AL"/>
              </w:rPr>
              <w:t>.1</w:t>
            </w:r>
          </w:p>
        </w:tc>
        <w:tc>
          <w:tcPr>
            <w:tcW w:w="1983" w:type="dxa"/>
            <w:gridSpan w:val="2"/>
            <w:vAlign w:val="center"/>
          </w:tcPr>
          <w:p w14:paraId="5B9A4A5A" w14:textId="23B5CD7A" w:rsidR="00712023" w:rsidRPr="003E7289" w:rsidRDefault="00A61B74" w:rsidP="00A61B74">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Zhvillimi i Kornizës për Efiçiencën e Energjisë në Industri &amp; Fillimi i Programit Pilot të Certifikimit</w:t>
            </w:r>
          </w:p>
        </w:tc>
        <w:tc>
          <w:tcPr>
            <w:tcW w:w="1700" w:type="dxa"/>
            <w:vAlign w:val="center"/>
          </w:tcPr>
          <w:p w14:paraId="49234619"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sz w:val="20"/>
                <w:szCs w:val="20"/>
                <w:lang w:val="sq-AL"/>
              </w:rPr>
              <w:t>2026</w:t>
            </w:r>
          </w:p>
        </w:tc>
        <w:tc>
          <w:tcPr>
            <w:tcW w:w="902" w:type="dxa"/>
            <w:vAlign w:val="center"/>
          </w:tcPr>
          <w:p w14:paraId="6944FA08" w14:textId="77777777"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w:t>
            </w:r>
          </w:p>
        </w:tc>
        <w:tc>
          <w:tcPr>
            <w:tcW w:w="900" w:type="dxa"/>
            <w:vAlign w:val="center"/>
          </w:tcPr>
          <w:p w14:paraId="1638F3A7" w14:textId="77777777" w:rsidR="00712023" w:rsidRPr="003E7289" w:rsidRDefault="00712023" w:rsidP="00712023">
            <w:pPr>
              <w:spacing w:before="0" w:line="240" w:lineRule="auto"/>
              <w:jc w:val="center"/>
              <w:rPr>
                <w:rFonts w:ascii="Arial" w:hAnsi="Arial" w:cs="Arial"/>
                <w:sz w:val="20"/>
                <w:szCs w:val="20"/>
                <w:lang w:val="sq-AL"/>
              </w:rPr>
            </w:pPr>
          </w:p>
        </w:tc>
        <w:tc>
          <w:tcPr>
            <w:tcW w:w="898" w:type="dxa"/>
            <w:gridSpan w:val="2"/>
            <w:vAlign w:val="center"/>
          </w:tcPr>
          <w:p w14:paraId="21E812FB" w14:textId="77777777" w:rsidR="00712023" w:rsidRPr="003E7289" w:rsidRDefault="00712023" w:rsidP="00712023">
            <w:pPr>
              <w:spacing w:before="0" w:line="240" w:lineRule="auto"/>
              <w:jc w:val="center"/>
              <w:rPr>
                <w:rFonts w:ascii="Arial" w:hAnsi="Arial" w:cs="Arial"/>
                <w:sz w:val="20"/>
                <w:szCs w:val="20"/>
                <w:lang w:val="sq-AL"/>
              </w:rPr>
            </w:pPr>
          </w:p>
        </w:tc>
        <w:tc>
          <w:tcPr>
            <w:tcW w:w="2974" w:type="dxa"/>
            <w:gridSpan w:val="2"/>
            <w:vAlign w:val="center"/>
          </w:tcPr>
          <w:p w14:paraId="5F2CDB55" w14:textId="77777777" w:rsidR="00712023" w:rsidRPr="003E7289" w:rsidRDefault="00712023" w:rsidP="00712023">
            <w:pPr>
              <w:spacing w:before="0" w:line="240" w:lineRule="auto"/>
              <w:jc w:val="center"/>
              <w:rPr>
                <w:rFonts w:ascii="Arial" w:hAnsi="Arial" w:cs="Arial"/>
                <w:b/>
                <w:bCs/>
                <w:sz w:val="20"/>
                <w:szCs w:val="20"/>
                <w:lang w:val="sq-AL"/>
              </w:rPr>
            </w:pPr>
          </w:p>
        </w:tc>
        <w:tc>
          <w:tcPr>
            <w:tcW w:w="1512" w:type="dxa"/>
            <w:gridSpan w:val="2"/>
            <w:vAlign w:val="center"/>
          </w:tcPr>
          <w:p w14:paraId="7DEFB990" w14:textId="2E5F127E" w:rsidR="00712023" w:rsidRPr="003E7289" w:rsidRDefault="00A61B74" w:rsidP="00A61B74">
            <w:pPr>
              <w:spacing w:before="0" w:line="240" w:lineRule="auto"/>
              <w:jc w:val="center"/>
              <w:rPr>
                <w:rFonts w:ascii="Arial" w:hAnsi="Arial" w:cs="Arial"/>
                <w:b/>
                <w:bCs/>
                <w:sz w:val="20"/>
                <w:szCs w:val="20"/>
                <w:lang w:val="sq-AL"/>
              </w:rPr>
            </w:pPr>
            <w:r w:rsidRPr="003E7289">
              <w:rPr>
                <w:rFonts w:ascii="Arial" w:hAnsi="Arial" w:cs="Arial"/>
                <w:sz w:val="20"/>
                <w:szCs w:val="20"/>
                <w:lang w:val="sq-AL"/>
              </w:rPr>
              <w:t>Ministria e Ekonomisë (ME), MMPHI, ZRE, KEK, KEDS</w:t>
            </w:r>
          </w:p>
        </w:tc>
        <w:tc>
          <w:tcPr>
            <w:tcW w:w="1653" w:type="dxa"/>
            <w:vAlign w:val="center"/>
          </w:tcPr>
          <w:p w14:paraId="70AEBDE6" w14:textId="0E1B7DD0" w:rsidR="00712023" w:rsidRPr="003E7289" w:rsidRDefault="00BE39C7" w:rsidP="00A61B74">
            <w:pPr>
              <w:spacing w:before="0" w:line="240" w:lineRule="auto"/>
              <w:jc w:val="center"/>
              <w:rPr>
                <w:rFonts w:ascii="Arial" w:hAnsi="Arial" w:cs="Arial"/>
                <w:b/>
                <w:bCs/>
                <w:sz w:val="20"/>
                <w:szCs w:val="20"/>
                <w:lang w:val="sq-AL"/>
              </w:rPr>
            </w:pPr>
            <w:r w:rsidRPr="003E7289">
              <w:rPr>
                <w:rFonts w:ascii="Arial" w:hAnsi="Arial" w:cs="Arial"/>
                <w:sz w:val="20"/>
                <w:szCs w:val="20"/>
                <w:lang w:val="sq-AL"/>
              </w:rPr>
              <w:t>Strategjia</w:t>
            </w:r>
            <w:r w:rsidR="00A61B74" w:rsidRPr="003E7289">
              <w:rPr>
                <w:rFonts w:ascii="Arial" w:hAnsi="Arial" w:cs="Arial"/>
                <w:sz w:val="20"/>
                <w:szCs w:val="20"/>
                <w:lang w:val="sq-AL"/>
              </w:rPr>
              <w:t xml:space="preserve"> kombëtare për efiçiencën e energjisë në industri miratohet; 20 kompani të para të certifikuara me ISO 50001</w:t>
            </w:r>
          </w:p>
        </w:tc>
        <w:tc>
          <w:tcPr>
            <w:tcW w:w="1653" w:type="dxa"/>
            <w:vAlign w:val="center"/>
          </w:tcPr>
          <w:p w14:paraId="7AB812AB" w14:textId="360F4F48" w:rsidR="00712023" w:rsidRPr="003E7289" w:rsidRDefault="00A61B74" w:rsidP="00712023">
            <w:pPr>
              <w:spacing w:before="0" w:line="240" w:lineRule="auto"/>
              <w:jc w:val="center"/>
              <w:rPr>
                <w:rFonts w:ascii="Arial" w:hAnsi="Arial" w:cs="Arial"/>
                <w:b/>
                <w:bCs/>
                <w:sz w:val="20"/>
                <w:szCs w:val="20"/>
                <w:lang w:val="sq-AL"/>
              </w:rPr>
            </w:pPr>
            <w:r w:rsidRPr="003E7289">
              <w:rPr>
                <w:rFonts w:ascii="Arial" w:hAnsi="Arial" w:cs="Arial"/>
                <w:sz w:val="20"/>
                <w:szCs w:val="20"/>
                <w:lang w:val="sq-AL"/>
              </w:rPr>
              <w:t>Projekt i ri</w:t>
            </w:r>
          </w:p>
        </w:tc>
      </w:tr>
      <w:tr w:rsidR="00712023" w:rsidRPr="003E7289" w14:paraId="2A2DFB65" w14:textId="77777777" w:rsidTr="004807C9">
        <w:trPr>
          <w:trHeight w:val="120"/>
        </w:trPr>
        <w:tc>
          <w:tcPr>
            <w:tcW w:w="993" w:type="dxa"/>
            <w:vAlign w:val="center"/>
          </w:tcPr>
          <w:p w14:paraId="5FA09BB2" w14:textId="4FB65D78"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II.2</w:t>
            </w:r>
            <w:r w:rsidR="00E0225B" w:rsidRPr="003E7289">
              <w:rPr>
                <w:rFonts w:ascii="Arial" w:hAnsi="Arial" w:cs="Arial"/>
                <w:b/>
                <w:bCs/>
                <w:sz w:val="20"/>
                <w:szCs w:val="20"/>
                <w:lang w:val="sq-AL"/>
              </w:rPr>
              <w:t>5</w:t>
            </w:r>
            <w:r w:rsidRPr="003E7289">
              <w:rPr>
                <w:rFonts w:ascii="Arial" w:hAnsi="Arial" w:cs="Arial"/>
                <w:b/>
                <w:bCs/>
                <w:sz w:val="20"/>
                <w:szCs w:val="20"/>
                <w:lang w:val="sq-AL"/>
              </w:rPr>
              <w:t>.2</w:t>
            </w:r>
          </w:p>
        </w:tc>
        <w:tc>
          <w:tcPr>
            <w:tcW w:w="1983" w:type="dxa"/>
            <w:gridSpan w:val="2"/>
            <w:vAlign w:val="center"/>
          </w:tcPr>
          <w:p w14:paraId="2F81D309" w14:textId="5969C07C" w:rsidR="00712023" w:rsidRPr="003E7289" w:rsidRDefault="00A61B74" w:rsidP="00A61B74">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Zgjerimi i Auditeve të Energjisë &amp; Projekteve të Renovimit</w:t>
            </w:r>
          </w:p>
        </w:tc>
        <w:tc>
          <w:tcPr>
            <w:tcW w:w="1700" w:type="dxa"/>
            <w:vAlign w:val="center"/>
          </w:tcPr>
          <w:p w14:paraId="2289C2CF"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sz w:val="20"/>
                <w:szCs w:val="20"/>
                <w:lang w:val="sq-AL"/>
              </w:rPr>
              <w:t>2028</w:t>
            </w:r>
          </w:p>
        </w:tc>
        <w:tc>
          <w:tcPr>
            <w:tcW w:w="902" w:type="dxa"/>
            <w:vAlign w:val="center"/>
          </w:tcPr>
          <w:p w14:paraId="1A033E11" w14:textId="77777777" w:rsidR="00712023" w:rsidRPr="003E7289" w:rsidRDefault="00712023" w:rsidP="00712023">
            <w:pPr>
              <w:spacing w:before="0" w:line="240" w:lineRule="auto"/>
              <w:jc w:val="center"/>
              <w:rPr>
                <w:rFonts w:ascii="Arial" w:hAnsi="Arial" w:cs="Arial"/>
                <w:sz w:val="20"/>
                <w:szCs w:val="20"/>
                <w:lang w:val="sq-AL"/>
              </w:rPr>
            </w:pPr>
          </w:p>
        </w:tc>
        <w:tc>
          <w:tcPr>
            <w:tcW w:w="900" w:type="dxa"/>
            <w:vAlign w:val="center"/>
          </w:tcPr>
          <w:p w14:paraId="0970D4DE" w14:textId="77777777"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w:t>
            </w:r>
          </w:p>
        </w:tc>
        <w:tc>
          <w:tcPr>
            <w:tcW w:w="898" w:type="dxa"/>
            <w:gridSpan w:val="2"/>
            <w:vAlign w:val="center"/>
          </w:tcPr>
          <w:p w14:paraId="48A2EF16" w14:textId="77777777" w:rsidR="00712023" w:rsidRPr="003E7289" w:rsidRDefault="00712023" w:rsidP="00712023">
            <w:pPr>
              <w:spacing w:before="0" w:line="240" w:lineRule="auto"/>
              <w:jc w:val="center"/>
              <w:rPr>
                <w:rFonts w:ascii="Arial" w:hAnsi="Arial" w:cs="Arial"/>
                <w:sz w:val="20"/>
                <w:szCs w:val="20"/>
                <w:lang w:val="sq-AL"/>
              </w:rPr>
            </w:pPr>
          </w:p>
        </w:tc>
        <w:tc>
          <w:tcPr>
            <w:tcW w:w="2974" w:type="dxa"/>
            <w:gridSpan w:val="2"/>
            <w:vAlign w:val="center"/>
          </w:tcPr>
          <w:p w14:paraId="2DBAFFCD" w14:textId="77777777" w:rsidR="00712023" w:rsidRPr="003E7289" w:rsidRDefault="00712023" w:rsidP="00712023">
            <w:pPr>
              <w:spacing w:before="0" w:line="240" w:lineRule="auto"/>
              <w:jc w:val="center"/>
              <w:rPr>
                <w:rFonts w:ascii="Arial" w:hAnsi="Arial" w:cs="Arial"/>
                <w:b/>
                <w:bCs/>
                <w:sz w:val="20"/>
                <w:szCs w:val="20"/>
                <w:lang w:val="sq-AL"/>
              </w:rPr>
            </w:pPr>
          </w:p>
        </w:tc>
        <w:tc>
          <w:tcPr>
            <w:tcW w:w="1512" w:type="dxa"/>
            <w:gridSpan w:val="2"/>
            <w:vAlign w:val="center"/>
          </w:tcPr>
          <w:p w14:paraId="61A9E046" w14:textId="5F723300" w:rsidR="00712023" w:rsidRPr="003E7289" w:rsidRDefault="00A61B74" w:rsidP="00A61B74">
            <w:pPr>
              <w:spacing w:before="0" w:line="240" w:lineRule="auto"/>
              <w:jc w:val="center"/>
              <w:rPr>
                <w:rFonts w:ascii="Arial" w:hAnsi="Arial" w:cs="Arial"/>
                <w:b/>
                <w:bCs/>
                <w:sz w:val="20"/>
                <w:szCs w:val="20"/>
                <w:lang w:val="sq-AL"/>
              </w:rPr>
            </w:pPr>
            <w:r w:rsidRPr="003E7289">
              <w:rPr>
                <w:rFonts w:ascii="Arial" w:hAnsi="Arial" w:cs="Arial"/>
                <w:sz w:val="20"/>
                <w:szCs w:val="20"/>
                <w:lang w:val="sq-AL"/>
              </w:rPr>
              <w:t>Ministria e Ekonomisë (ME), MMPHI, ZRE, KEK, KEDS</w:t>
            </w:r>
          </w:p>
        </w:tc>
        <w:tc>
          <w:tcPr>
            <w:tcW w:w="1653" w:type="dxa"/>
            <w:vAlign w:val="center"/>
          </w:tcPr>
          <w:p w14:paraId="4D0DD3D1" w14:textId="6661B9AD" w:rsidR="00712023" w:rsidRPr="003E7289" w:rsidRDefault="00A61B74" w:rsidP="00A61B74">
            <w:pPr>
              <w:spacing w:before="0" w:line="240" w:lineRule="auto"/>
              <w:jc w:val="center"/>
              <w:rPr>
                <w:rFonts w:ascii="Arial" w:hAnsi="Arial" w:cs="Arial"/>
                <w:b/>
                <w:bCs/>
                <w:sz w:val="20"/>
                <w:szCs w:val="20"/>
                <w:lang w:val="sq-AL"/>
              </w:rPr>
            </w:pPr>
            <w:r w:rsidRPr="003E7289">
              <w:rPr>
                <w:rFonts w:ascii="Arial" w:hAnsi="Arial" w:cs="Arial"/>
                <w:sz w:val="20"/>
                <w:szCs w:val="20"/>
                <w:lang w:val="sq-AL"/>
              </w:rPr>
              <w:t>100–150 kompani të certifikuara ose në proces të implementimit të renovimeve për efiçiencë; pajisje moderne të instaluara</w:t>
            </w:r>
          </w:p>
        </w:tc>
        <w:tc>
          <w:tcPr>
            <w:tcW w:w="1653" w:type="dxa"/>
            <w:vAlign w:val="center"/>
          </w:tcPr>
          <w:p w14:paraId="2683D278" w14:textId="251CA8C5" w:rsidR="00712023" w:rsidRPr="003E7289" w:rsidRDefault="00A61B74" w:rsidP="00712023">
            <w:pPr>
              <w:spacing w:before="0" w:line="240" w:lineRule="auto"/>
              <w:jc w:val="center"/>
              <w:rPr>
                <w:rFonts w:ascii="Arial" w:hAnsi="Arial" w:cs="Arial"/>
                <w:b/>
                <w:bCs/>
                <w:sz w:val="20"/>
                <w:szCs w:val="20"/>
                <w:lang w:val="sq-AL"/>
              </w:rPr>
            </w:pPr>
            <w:r w:rsidRPr="003E7289">
              <w:rPr>
                <w:rFonts w:ascii="Arial" w:hAnsi="Arial" w:cs="Arial"/>
                <w:sz w:val="20"/>
                <w:szCs w:val="20"/>
                <w:lang w:val="sq-AL"/>
              </w:rPr>
              <w:t>Projekt i ri</w:t>
            </w:r>
          </w:p>
        </w:tc>
      </w:tr>
      <w:tr w:rsidR="00712023" w:rsidRPr="003E7289" w14:paraId="0C722FE7" w14:textId="77777777" w:rsidTr="004807C9">
        <w:trPr>
          <w:trHeight w:val="120"/>
        </w:trPr>
        <w:tc>
          <w:tcPr>
            <w:tcW w:w="993" w:type="dxa"/>
            <w:vAlign w:val="center"/>
          </w:tcPr>
          <w:p w14:paraId="41121534" w14:textId="222C9452"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II.2</w:t>
            </w:r>
            <w:r w:rsidR="00E0225B" w:rsidRPr="003E7289">
              <w:rPr>
                <w:rFonts w:ascii="Arial" w:hAnsi="Arial" w:cs="Arial"/>
                <w:b/>
                <w:bCs/>
                <w:sz w:val="20"/>
                <w:szCs w:val="20"/>
                <w:lang w:val="sq-AL"/>
              </w:rPr>
              <w:t>5</w:t>
            </w:r>
            <w:r w:rsidRPr="003E7289">
              <w:rPr>
                <w:rFonts w:ascii="Arial" w:hAnsi="Arial" w:cs="Arial"/>
                <w:b/>
                <w:bCs/>
                <w:sz w:val="20"/>
                <w:szCs w:val="20"/>
                <w:lang w:val="sq-AL"/>
              </w:rPr>
              <w:t>.3</w:t>
            </w:r>
          </w:p>
        </w:tc>
        <w:tc>
          <w:tcPr>
            <w:tcW w:w="1983" w:type="dxa"/>
            <w:gridSpan w:val="2"/>
            <w:vAlign w:val="center"/>
          </w:tcPr>
          <w:p w14:paraId="6DC4389D" w14:textId="7B3C9304" w:rsidR="00712023" w:rsidRPr="003E7289" w:rsidRDefault="00A61B74" w:rsidP="00A61B74">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Institucionalizimi i Standardeve të Detyrueshme për Efiçiencë të Energjisë &amp; Përdorim i Gjerë</w:t>
            </w:r>
          </w:p>
        </w:tc>
        <w:tc>
          <w:tcPr>
            <w:tcW w:w="1700" w:type="dxa"/>
            <w:vAlign w:val="center"/>
          </w:tcPr>
          <w:p w14:paraId="1BBCDF3D"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sz w:val="20"/>
                <w:szCs w:val="20"/>
                <w:lang w:val="sq-AL"/>
              </w:rPr>
              <w:t>2040</w:t>
            </w:r>
          </w:p>
        </w:tc>
        <w:tc>
          <w:tcPr>
            <w:tcW w:w="902" w:type="dxa"/>
            <w:vAlign w:val="center"/>
          </w:tcPr>
          <w:p w14:paraId="37CCF8E8" w14:textId="77777777" w:rsidR="00712023" w:rsidRPr="003E7289" w:rsidRDefault="00712023" w:rsidP="00712023">
            <w:pPr>
              <w:spacing w:before="0" w:line="240" w:lineRule="auto"/>
              <w:jc w:val="center"/>
              <w:rPr>
                <w:rFonts w:ascii="Arial" w:hAnsi="Arial" w:cs="Arial"/>
                <w:sz w:val="20"/>
                <w:szCs w:val="20"/>
                <w:lang w:val="sq-AL"/>
              </w:rPr>
            </w:pPr>
          </w:p>
        </w:tc>
        <w:tc>
          <w:tcPr>
            <w:tcW w:w="900" w:type="dxa"/>
            <w:vAlign w:val="center"/>
          </w:tcPr>
          <w:p w14:paraId="4D75BCA3" w14:textId="77777777" w:rsidR="00712023" w:rsidRPr="003E7289" w:rsidRDefault="00712023" w:rsidP="00712023">
            <w:pPr>
              <w:spacing w:before="0" w:line="240" w:lineRule="auto"/>
              <w:jc w:val="center"/>
              <w:rPr>
                <w:rFonts w:ascii="Arial" w:hAnsi="Arial" w:cs="Arial"/>
                <w:sz w:val="20"/>
                <w:szCs w:val="20"/>
                <w:lang w:val="sq-AL"/>
              </w:rPr>
            </w:pPr>
          </w:p>
        </w:tc>
        <w:tc>
          <w:tcPr>
            <w:tcW w:w="898" w:type="dxa"/>
            <w:gridSpan w:val="2"/>
            <w:vAlign w:val="center"/>
          </w:tcPr>
          <w:p w14:paraId="38D2A9AF" w14:textId="77777777"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w:t>
            </w:r>
          </w:p>
        </w:tc>
        <w:tc>
          <w:tcPr>
            <w:tcW w:w="2974" w:type="dxa"/>
            <w:gridSpan w:val="2"/>
            <w:vAlign w:val="center"/>
          </w:tcPr>
          <w:p w14:paraId="04C46AB5" w14:textId="77777777" w:rsidR="00712023" w:rsidRPr="003E7289" w:rsidRDefault="00712023" w:rsidP="00712023">
            <w:pPr>
              <w:spacing w:before="0" w:line="240" w:lineRule="auto"/>
              <w:jc w:val="center"/>
              <w:rPr>
                <w:rFonts w:ascii="Arial" w:hAnsi="Arial" w:cs="Arial"/>
                <w:b/>
                <w:bCs/>
                <w:sz w:val="20"/>
                <w:szCs w:val="20"/>
                <w:lang w:val="sq-AL"/>
              </w:rPr>
            </w:pPr>
          </w:p>
        </w:tc>
        <w:tc>
          <w:tcPr>
            <w:tcW w:w="1512" w:type="dxa"/>
            <w:gridSpan w:val="2"/>
            <w:vAlign w:val="center"/>
          </w:tcPr>
          <w:p w14:paraId="6D2C470A" w14:textId="6229773E" w:rsidR="00712023" w:rsidRPr="003E7289" w:rsidRDefault="00A61B74" w:rsidP="00A61B74">
            <w:pPr>
              <w:spacing w:before="0" w:line="240" w:lineRule="auto"/>
              <w:jc w:val="center"/>
              <w:rPr>
                <w:rFonts w:ascii="Arial" w:hAnsi="Arial" w:cs="Arial"/>
                <w:b/>
                <w:bCs/>
                <w:sz w:val="20"/>
                <w:szCs w:val="20"/>
                <w:lang w:val="sq-AL"/>
              </w:rPr>
            </w:pPr>
            <w:r w:rsidRPr="003E7289">
              <w:rPr>
                <w:rFonts w:ascii="Arial" w:hAnsi="Arial" w:cs="Arial"/>
                <w:sz w:val="20"/>
                <w:szCs w:val="20"/>
                <w:lang w:val="sq-AL"/>
              </w:rPr>
              <w:t>Ministria e Ekonomisë (ME), MMPHI, ZRE, KEK, KEDS</w:t>
            </w:r>
          </w:p>
        </w:tc>
        <w:tc>
          <w:tcPr>
            <w:tcW w:w="1653" w:type="dxa"/>
            <w:vAlign w:val="center"/>
          </w:tcPr>
          <w:p w14:paraId="56AE2EBC" w14:textId="541BECFF" w:rsidR="00712023" w:rsidRPr="003E7289" w:rsidRDefault="00A61B74" w:rsidP="00A61B74">
            <w:pPr>
              <w:spacing w:before="0" w:line="240" w:lineRule="auto"/>
              <w:jc w:val="center"/>
              <w:rPr>
                <w:rFonts w:ascii="Arial" w:hAnsi="Arial" w:cs="Arial"/>
                <w:b/>
                <w:bCs/>
                <w:sz w:val="20"/>
                <w:szCs w:val="20"/>
                <w:lang w:val="sq-AL"/>
              </w:rPr>
            </w:pPr>
            <w:r w:rsidRPr="003E7289">
              <w:rPr>
                <w:rFonts w:ascii="Arial" w:hAnsi="Arial" w:cs="Arial"/>
                <w:sz w:val="20"/>
                <w:szCs w:val="20"/>
                <w:lang w:val="sq-AL"/>
              </w:rPr>
              <w:t>Mbi 200 kompani të certifikuara; standarde të detyrueshme të efiçiencës në fuqi; ulje prej 40% e intensitetit energjetik</w:t>
            </w:r>
          </w:p>
        </w:tc>
        <w:tc>
          <w:tcPr>
            <w:tcW w:w="1653" w:type="dxa"/>
            <w:vAlign w:val="center"/>
          </w:tcPr>
          <w:p w14:paraId="7343D5E9" w14:textId="618E32BA" w:rsidR="00712023" w:rsidRPr="003E7289" w:rsidRDefault="00A61B74" w:rsidP="00712023">
            <w:pPr>
              <w:spacing w:before="0" w:line="240" w:lineRule="auto"/>
              <w:jc w:val="center"/>
              <w:rPr>
                <w:rFonts w:ascii="Arial" w:hAnsi="Arial" w:cs="Arial"/>
                <w:b/>
                <w:bCs/>
                <w:sz w:val="20"/>
                <w:szCs w:val="20"/>
                <w:lang w:val="sq-AL"/>
              </w:rPr>
            </w:pPr>
            <w:r w:rsidRPr="003E7289">
              <w:rPr>
                <w:rFonts w:ascii="Arial" w:hAnsi="Arial" w:cs="Arial"/>
                <w:sz w:val="20"/>
                <w:szCs w:val="20"/>
                <w:lang w:val="sq-AL"/>
              </w:rPr>
              <w:t>Projekt i ri</w:t>
            </w:r>
          </w:p>
        </w:tc>
      </w:tr>
      <w:tr w:rsidR="00712023" w:rsidRPr="003E7289" w14:paraId="1DE136FE" w14:textId="77777777" w:rsidTr="00D42597">
        <w:trPr>
          <w:trHeight w:val="120"/>
        </w:trPr>
        <w:tc>
          <w:tcPr>
            <w:tcW w:w="2976" w:type="dxa"/>
            <w:gridSpan w:val="3"/>
            <w:shd w:val="clear" w:color="auto" w:fill="C6E7F6"/>
            <w:vAlign w:val="center"/>
          </w:tcPr>
          <w:p w14:paraId="13A465E5" w14:textId="2EA1DBEA" w:rsidR="00712023" w:rsidRPr="003E7289" w:rsidRDefault="00712023" w:rsidP="00712023">
            <w:pPr>
              <w:spacing w:before="0" w:line="240" w:lineRule="auto"/>
              <w:rPr>
                <w:rFonts w:ascii="Arial" w:hAnsi="Arial" w:cs="Arial"/>
                <w:b/>
                <w:bCs/>
                <w:sz w:val="20"/>
                <w:szCs w:val="20"/>
                <w:lang w:val="sq-AL"/>
              </w:rPr>
            </w:pPr>
            <w:r w:rsidRPr="003E7289">
              <w:rPr>
                <w:rFonts w:ascii="Arial" w:eastAsia="Aptos" w:hAnsi="Arial" w:cs="Arial"/>
                <w:b/>
                <w:bCs/>
                <w:sz w:val="20"/>
                <w:szCs w:val="20"/>
                <w:lang w:val="sq-AL"/>
              </w:rPr>
              <w:t>Buxheti total për Objektivin specifik II.24:</w:t>
            </w:r>
          </w:p>
        </w:tc>
        <w:tc>
          <w:tcPr>
            <w:tcW w:w="12192" w:type="dxa"/>
            <w:gridSpan w:val="11"/>
            <w:vAlign w:val="center"/>
          </w:tcPr>
          <w:p w14:paraId="24E5C5C7" w14:textId="77777777" w:rsidR="00712023" w:rsidRPr="003E7289" w:rsidRDefault="00712023" w:rsidP="00712023">
            <w:pPr>
              <w:spacing w:before="0" w:line="240" w:lineRule="auto"/>
              <w:jc w:val="center"/>
              <w:rPr>
                <w:rFonts w:ascii="Arial" w:hAnsi="Arial" w:cs="Arial"/>
                <w:sz w:val="20"/>
                <w:szCs w:val="20"/>
                <w:lang w:val="sq-AL"/>
              </w:rPr>
            </w:pPr>
            <w:r w:rsidRPr="003E7289">
              <w:rPr>
                <w:rFonts w:ascii="Arial" w:hAnsi="Arial" w:cs="Arial"/>
                <w:sz w:val="20"/>
                <w:szCs w:val="20"/>
                <w:lang w:val="sq-AL"/>
              </w:rPr>
              <w:t>-</w:t>
            </w:r>
          </w:p>
        </w:tc>
      </w:tr>
      <w:tr w:rsidR="00712023" w:rsidRPr="003E7289" w14:paraId="4FEA4CA3" w14:textId="77777777" w:rsidTr="007065D4">
        <w:trPr>
          <w:trHeight w:val="120"/>
        </w:trPr>
        <w:tc>
          <w:tcPr>
            <w:tcW w:w="2976" w:type="dxa"/>
            <w:gridSpan w:val="3"/>
            <w:shd w:val="clear" w:color="auto" w:fill="C6E7F6"/>
          </w:tcPr>
          <w:p w14:paraId="64075DA0" w14:textId="79910843" w:rsidR="00712023" w:rsidRPr="003E7289" w:rsidRDefault="00712023" w:rsidP="00712023">
            <w:pPr>
              <w:spacing w:before="0" w:line="240" w:lineRule="auto"/>
              <w:rPr>
                <w:rFonts w:ascii="Arial" w:hAnsi="Arial" w:cs="Arial"/>
                <w:b/>
                <w:bCs/>
                <w:sz w:val="20"/>
                <w:szCs w:val="20"/>
                <w:lang w:val="sq-AL"/>
              </w:rPr>
            </w:pPr>
            <w:r w:rsidRPr="003E7289">
              <w:rPr>
                <w:rFonts w:ascii="Arial" w:eastAsia="Aptos" w:hAnsi="Arial" w:cs="Arial"/>
                <w:b/>
                <w:bCs/>
                <w:sz w:val="20"/>
                <w:szCs w:val="20"/>
                <w:lang w:val="sq-AL"/>
              </w:rPr>
              <w:t>Nga kjo, kapital:</w:t>
            </w:r>
          </w:p>
        </w:tc>
        <w:tc>
          <w:tcPr>
            <w:tcW w:w="12192" w:type="dxa"/>
            <w:gridSpan w:val="11"/>
            <w:vAlign w:val="center"/>
          </w:tcPr>
          <w:p w14:paraId="099FBB8A" w14:textId="77777777" w:rsidR="00712023" w:rsidRPr="003E7289" w:rsidRDefault="00712023" w:rsidP="00712023">
            <w:pPr>
              <w:spacing w:before="0" w:line="240" w:lineRule="auto"/>
              <w:jc w:val="center"/>
              <w:rPr>
                <w:rFonts w:ascii="Arial" w:hAnsi="Arial" w:cs="Arial"/>
                <w:b/>
                <w:bCs/>
                <w:sz w:val="20"/>
                <w:szCs w:val="20"/>
                <w:lang w:val="sq-AL"/>
              </w:rPr>
            </w:pPr>
          </w:p>
        </w:tc>
      </w:tr>
      <w:tr w:rsidR="00712023" w:rsidRPr="003E7289" w14:paraId="068213E7" w14:textId="77777777" w:rsidTr="007065D4">
        <w:trPr>
          <w:trHeight w:val="120"/>
        </w:trPr>
        <w:tc>
          <w:tcPr>
            <w:tcW w:w="2976" w:type="dxa"/>
            <w:gridSpan w:val="3"/>
            <w:shd w:val="clear" w:color="auto" w:fill="C6E7F6"/>
          </w:tcPr>
          <w:p w14:paraId="6A8AE932" w14:textId="59D5267C" w:rsidR="00712023" w:rsidRPr="003E7289" w:rsidRDefault="00712023" w:rsidP="00712023">
            <w:pPr>
              <w:spacing w:before="0" w:line="240" w:lineRule="auto"/>
              <w:rPr>
                <w:rFonts w:ascii="Arial" w:hAnsi="Arial" w:cs="Arial"/>
                <w:b/>
                <w:bCs/>
                <w:sz w:val="20"/>
                <w:szCs w:val="20"/>
                <w:lang w:val="sq-AL"/>
              </w:rPr>
            </w:pPr>
            <w:r w:rsidRPr="003E7289">
              <w:rPr>
                <w:rFonts w:ascii="Arial" w:eastAsia="Aptos" w:hAnsi="Arial" w:cs="Arial"/>
                <w:b/>
                <w:bCs/>
                <w:sz w:val="20"/>
                <w:szCs w:val="20"/>
                <w:lang w:val="sq-AL"/>
              </w:rPr>
              <w:t>Nga kjo, shpenzime korrente:</w:t>
            </w:r>
          </w:p>
        </w:tc>
        <w:tc>
          <w:tcPr>
            <w:tcW w:w="12192" w:type="dxa"/>
            <w:gridSpan w:val="11"/>
            <w:vAlign w:val="center"/>
          </w:tcPr>
          <w:p w14:paraId="6E211727" w14:textId="77777777" w:rsidR="00712023" w:rsidRPr="003E7289" w:rsidRDefault="00712023" w:rsidP="00712023">
            <w:pPr>
              <w:spacing w:before="0" w:line="240" w:lineRule="auto"/>
              <w:jc w:val="center"/>
              <w:rPr>
                <w:rFonts w:ascii="Arial" w:hAnsi="Arial" w:cs="Arial"/>
                <w:b/>
                <w:bCs/>
                <w:sz w:val="20"/>
                <w:szCs w:val="20"/>
                <w:lang w:val="sq-AL"/>
              </w:rPr>
            </w:pPr>
          </w:p>
        </w:tc>
      </w:tr>
      <w:tr w:rsidR="00712023" w:rsidRPr="003E7289" w14:paraId="7F3A492E" w14:textId="77777777" w:rsidTr="00A70686">
        <w:trPr>
          <w:trHeight w:val="120"/>
        </w:trPr>
        <w:tc>
          <w:tcPr>
            <w:tcW w:w="993" w:type="dxa"/>
            <w:shd w:val="clear" w:color="auto" w:fill="84CCEC"/>
            <w:vAlign w:val="center"/>
          </w:tcPr>
          <w:p w14:paraId="47424B93" w14:textId="2342CB75"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II.2</w:t>
            </w:r>
            <w:r w:rsidR="00E0225B" w:rsidRPr="003E7289">
              <w:rPr>
                <w:rFonts w:ascii="Arial" w:hAnsi="Arial" w:cs="Arial"/>
                <w:b/>
                <w:bCs/>
                <w:sz w:val="20"/>
                <w:szCs w:val="20"/>
                <w:lang w:val="sq-AL"/>
              </w:rPr>
              <w:t>6</w:t>
            </w:r>
          </w:p>
        </w:tc>
        <w:tc>
          <w:tcPr>
            <w:tcW w:w="14175" w:type="dxa"/>
            <w:gridSpan w:val="13"/>
            <w:shd w:val="clear" w:color="auto" w:fill="84CCEC"/>
            <w:vAlign w:val="center"/>
          </w:tcPr>
          <w:p w14:paraId="555A2B41" w14:textId="4D876203"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Ulja e humbjeve në transmetimin dhe shpërndarjen e energjisë elektrike përmes përmirësimeve të rrjetit dhe masave kundër vjedhjes së energjisë (Kjo përmirëson efiçiencën dhe besueshmërinë, veçanërisht në kushte të vështira nga moti ekstrem)</w:t>
            </w:r>
          </w:p>
        </w:tc>
      </w:tr>
      <w:tr w:rsidR="00A61B74" w:rsidRPr="003E7289" w14:paraId="54949064" w14:textId="77777777" w:rsidTr="004807C9">
        <w:trPr>
          <w:trHeight w:val="120"/>
        </w:trPr>
        <w:tc>
          <w:tcPr>
            <w:tcW w:w="2976" w:type="dxa"/>
            <w:gridSpan w:val="3"/>
            <w:vAlign w:val="center"/>
          </w:tcPr>
          <w:p w14:paraId="7A16717A" w14:textId="7B8410B7" w:rsidR="00A61B74" w:rsidRPr="003E7289" w:rsidRDefault="00A61B74" w:rsidP="00A61B74">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Humbjet totale të T&amp;D si përqindje e energjisë elektrike të injektuar në rrjet.</w:t>
            </w:r>
          </w:p>
        </w:tc>
        <w:tc>
          <w:tcPr>
            <w:tcW w:w="1700" w:type="dxa"/>
            <w:vAlign w:val="center"/>
          </w:tcPr>
          <w:p w14:paraId="4A0C5A9E" w14:textId="64504C75" w:rsidR="00A61B74" w:rsidRPr="003E7289" w:rsidRDefault="00A61B74" w:rsidP="00A61B74">
            <w:pPr>
              <w:spacing w:before="0" w:line="240" w:lineRule="auto"/>
              <w:rPr>
                <w:rFonts w:ascii="Arial" w:hAnsi="Arial" w:cs="Arial"/>
                <w:b/>
                <w:bCs/>
                <w:sz w:val="20"/>
                <w:szCs w:val="20"/>
                <w:lang w:val="sq-AL"/>
              </w:rPr>
            </w:pPr>
            <w:r w:rsidRPr="003E7289">
              <w:rPr>
                <w:rFonts w:ascii="Arial" w:hAnsi="Arial" w:cs="Arial"/>
                <w:sz w:val="20"/>
                <w:szCs w:val="20"/>
                <w:lang w:val="sq-AL"/>
              </w:rPr>
              <w:t>24% (humbje shumë të larta në vitin 2024, duke përfshirë humbjet teknike dhe komerciale).</w:t>
            </w:r>
          </w:p>
        </w:tc>
        <w:tc>
          <w:tcPr>
            <w:tcW w:w="2700" w:type="dxa"/>
            <w:gridSpan w:val="4"/>
            <w:vAlign w:val="center"/>
          </w:tcPr>
          <w:p w14:paraId="56FD3EA2" w14:textId="37AEDDF1" w:rsidR="00A61B74" w:rsidRPr="003E7289" w:rsidRDefault="00A61B74" w:rsidP="00A61B74">
            <w:pPr>
              <w:spacing w:before="0" w:line="240" w:lineRule="auto"/>
              <w:rPr>
                <w:rFonts w:ascii="Arial" w:hAnsi="Arial" w:cs="Arial"/>
                <w:b/>
                <w:bCs/>
                <w:sz w:val="20"/>
                <w:szCs w:val="20"/>
                <w:lang w:val="sq-AL"/>
              </w:rPr>
            </w:pPr>
            <w:r w:rsidRPr="003E7289">
              <w:rPr>
                <w:rFonts w:ascii="Arial" w:hAnsi="Arial" w:cs="Arial"/>
                <w:sz w:val="20"/>
                <w:szCs w:val="20"/>
                <w:lang w:val="sq-AL"/>
              </w:rPr>
              <w:t>≤15% humbje (zbatim i forcuar i ligjit mbi përdorimin e paligjshëm dhe linja të përmirësuara të shpërndarjes).</w:t>
            </w:r>
          </w:p>
        </w:tc>
        <w:tc>
          <w:tcPr>
            <w:tcW w:w="2974" w:type="dxa"/>
            <w:gridSpan w:val="2"/>
            <w:vAlign w:val="center"/>
          </w:tcPr>
          <w:p w14:paraId="4C58A185" w14:textId="74A25265" w:rsidR="00A61B74" w:rsidRPr="003E7289" w:rsidRDefault="00A61B74" w:rsidP="00A61B74">
            <w:pPr>
              <w:spacing w:before="0" w:line="240" w:lineRule="auto"/>
              <w:rPr>
                <w:rFonts w:ascii="Arial" w:hAnsi="Arial" w:cs="Arial"/>
                <w:b/>
                <w:bCs/>
                <w:sz w:val="20"/>
                <w:szCs w:val="20"/>
                <w:lang w:val="sq-AL"/>
              </w:rPr>
            </w:pPr>
            <w:r w:rsidRPr="003E7289">
              <w:rPr>
                <w:rFonts w:ascii="Arial" w:hAnsi="Arial" w:cs="Arial"/>
                <w:sz w:val="20"/>
                <w:szCs w:val="20"/>
                <w:lang w:val="sq-AL"/>
              </w:rPr>
              <w:t>≤10% humbje (duke iu afruar mesatares së BE-së; matësit inteligjentë dhe investimet në rrjet i ulin shumë humbjet teknike).</w:t>
            </w:r>
          </w:p>
        </w:tc>
        <w:tc>
          <w:tcPr>
            <w:tcW w:w="4818" w:type="dxa"/>
            <w:gridSpan w:val="4"/>
            <w:vAlign w:val="center"/>
          </w:tcPr>
          <w:p w14:paraId="7F394EE4" w14:textId="375EF6BC" w:rsidR="00A61B74" w:rsidRPr="003E7289" w:rsidRDefault="00A61B74" w:rsidP="00A61B74">
            <w:pPr>
              <w:spacing w:before="0" w:line="240" w:lineRule="auto"/>
              <w:rPr>
                <w:rFonts w:ascii="Arial" w:hAnsi="Arial" w:cs="Arial"/>
                <w:b/>
                <w:bCs/>
                <w:sz w:val="20"/>
                <w:szCs w:val="20"/>
                <w:lang w:val="sq-AL"/>
              </w:rPr>
            </w:pPr>
            <w:r w:rsidRPr="003E7289">
              <w:rPr>
                <w:rFonts w:ascii="Arial" w:hAnsi="Arial" w:cs="Arial"/>
                <w:sz w:val="20"/>
                <w:szCs w:val="20"/>
                <w:lang w:val="sq-AL"/>
              </w:rPr>
              <w:t>≤5% humbje (rrjet modern me humbje minimale teknike dhe mbrojtje efektive të të ardhurave).</w:t>
            </w:r>
          </w:p>
        </w:tc>
      </w:tr>
      <w:tr w:rsidR="00712023" w:rsidRPr="003E7289" w14:paraId="5425A6D2" w14:textId="77777777" w:rsidTr="004807C9">
        <w:trPr>
          <w:trHeight w:val="120"/>
        </w:trPr>
        <w:tc>
          <w:tcPr>
            <w:tcW w:w="993" w:type="dxa"/>
            <w:vMerge w:val="restart"/>
            <w:shd w:val="clear" w:color="auto" w:fill="C6E7F6"/>
            <w:vAlign w:val="center"/>
          </w:tcPr>
          <w:p w14:paraId="62742711" w14:textId="345E0980"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Nr.</w:t>
            </w:r>
          </w:p>
        </w:tc>
        <w:tc>
          <w:tcPr>
            <w:tcW w:w="1983" w:type="dxa"/>
            <w:gridSpan w:val="2"/>
            <w:vMerge w:val="restart"/>
            <w:shd w:val="clear" w:color="auto" w:fill="C6E7F6"/>
            <w:vAlign w:val="center"/>
          </w:tcPr>
          <w:p w14:paraId="1D0B8FBE" w14:textId="79892736"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Veprimi</w:t>
            </w:r>
          </w:p>
        </w:tc>
        <w:tc>
          <w:tcPr>
            <w:tcW w:w="1700" w:type="dxa"/>
            <w:vMerge w:val="restart"/>
            <w:shd w:val="clear" w:color="auto" w:fill="C6E7F6"/>
            <w:vAlign w:val="center"/>
          </w:tcPr>
          <w:p w14:paraId="5F963A52" w14:textId="5B865AED"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Afati I fundit</w:t>
            </w:r>
          </w:p>
        </w:tc>
        <w:tc>
          <w:tcPr>
            <w:tcW w:w="2700" w:type="dxa"/>
            <w:gridSpan w:val="4"/>
            <w:shd w:val="clear" w:color="auto" w:fill="C6E7F6"/>
            <w:vAlign w:val="center"/>
          </w:tcPr>
          <w:p w14:paraId="214854E0" w14:textId="60A9ABE1"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Buxheti</w:t>
            </w:r>
          </w:p>
        </w:tc>
        <w:tc>
          <w:tcPr>
            <w:tcW w:w="2974" w:type="dxa"/>
            <w:gridSpan w:val="2"/>
            <w:vMerge w:val="restart"/>
            <w:shd w:val="clear" w:color="auto" w:fill="C6E7F6"/>
            <w:vAlign w:val="center"/>
          </w:tcPr>
          <w:p w14:paraId="6EECDD3B" w14:textId="22D04684"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Burimi i financimit</w:t>
            </w:r>
          </w:p>
        </w:tc>
        <w:tc>
          <w:tcPr>
            <w:tcW w:w="1512" w:type="dxa"/>
            <w:gridSpan w:val="2"/>
            <w:vMerge w:val="restart"/>
            <w:shd w:val="clear" w:color="auto" w:fill="C6E7F6"/>
            <w:vAlign w:val="center"/>
          </w:tcPr>
          <w:p w14:paraId="0FF001B2" w14:textId="1EB0EC7C"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Institucionet përgjegjëse dhe partnere</w:t>
            </w:r>
          </w:p>
        </w:tc>
        <w:tc>
          <w:tcPr>
            <w:tcW w:w="1653" w:type="dxa"/>
            <w:vMerge w:val="restart"/>
            <w:shd w:val="clear" w:color="auto" w:fill="C6E7F6"/>
            <w:vAlign w:val="center"/>
          </w:tcPr>
          <w:p w14:paraId="057DB474" w14:textId="670B2690"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Rezultati i pritur</w:t>
            </w:r>
          </w:p>
        </w:tc>
        <w:tc>
          <w:tcPr>
            <w:tcW w:w="1653" w:type="dxa"/>
            <w:vMerge w:val="restart"/>
            <w:shd w:val="clear" w:color="auto" w:fill="C6E7F6"/>
            <w:vAlign w:val="center"/>
          </w:tcPr>
          <w:p w14:paraId="42806EC0" w14:textId="12E4F13E"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Dokumenti strategjik referues</w:t>
            </w:r>
          </w:p>
        </w:tc>
      </w:tr>
      <w:tr w:rsidR="00712023" w:rsidRPr="003E7289" w14:paraId="3C599D84" w14:textId="77777777" w:rsidTr="004807C9">
        <w:trPr>
          <w:trHeight w:val="120"/>
        </w:trPr>
        <w:tc>
          <w:tcPr>
            <w:tcW w:w="993" w:type="dxa"/>
            <w:vMerge/>
            <w:vAlign w:val="center"/>
          </w:tcPr>
          <w:p w14:paraId="437DB5C8" w14:textId="77777777" w:rsidR="00712023" w:rsidRPr="003E7289" w:rsidRDefault="00712023" w:rsidP="00712023">
            <w:pPr>
              <w:spacing w:before="0" w:line="240" w:lineRule="auto"/>
              <w:jc w:val="center"/>
              <w:rPr>
                <w:rFonts w:ascii="Arial" w:hAnsi="Arial" w:cs="Arial"/>
                <w:b/>
                <w:bCs/>
                <w:sz w:val="20"/>
                <w:szCs w:val="20"/>
                <w:lang w:val="sq-AL"/>
              </w:rPr>
            </w:pPr>
          </w:p>
        </w:tc>
        <w:tc>
          <w:tcPr>
            <w:tcW w:w="1983" w:type="dxa"/>
            <w:gridSpan w:val="2"/>
            <w:vMerge/>
            <w:vAlign w:val="center"/>
          </w:tcPr>
          <w:p w14:paraId="48B39E49" w14:textId="77777777" w:rsidR="00712023" w:rsidRPr="003E7289" w:rsidRDefault="00712023" w:rsidP="00712023">
            <w:pPr>
              <w:spacing w:before="0" w:line="240" w:lineRule="auto"/>
              <w:jc w:val="center"/>
              <w:rPr>
                <w:rFonts w:ascii="Arial" w:hAnsi="Arial" w:cs="Arial"/>
                <w:b/>
                <w:bCs/>
                <w:sz w:val="20"/>
                <w:szCs w:val="20"/>
                <w:lang w:val="sq-AL"/>
              </w:rPr>
            </w:pPr>
          </w:p>
        </w:tc>
        <w:tc>
          <w:tcPr>
            <w:tcW w:w="1700" w:type="dxa"/>
            <w:vMerge/>
            <w:vAlign w:val="center"/>
          </w:tcPr>
          <w:p w14:paraId="2DCC2E30" w14:textId="77777777" w:rsidR="00712023" w:rsidRPr="003E7289" w:rsidRDefault="00712023" w:rsidP="00712023">
            <w:pPr>
              <w:spacing w:before="0" w:line="240" w:lineRule="auto"/>
              <w:jc w:val="center"/>
              <w:rPr>
                <w:rFonts w:ascii="Arial" w:hAnsi="Arial" w:cs="Arial"/>
                <w:b/>
                <w:bCs/>
                <w:sz w:val="20"/>
                <w:szCs w:val="20"/>
                <w:lang w:val="sq-AL"/>
              </w:rPr>
            </w:pPr>
          </w:p>
        </w:tc>
        <w:tc>
          <w:tcPr>
            <w:tcW w:w="902" w:type="dxa"/>
            <w:shd w:val="clear" w:color="auto" w:fill="C6E7F6"/>
            <w:vAlign w:val="center"/>
          </w:tcPr>
          <w:p w14:paraId="0D14AED9"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2026</w:t>
            </w:r>
          </w:p>
        </w:tc>
        <w:tc>
          <w:tcPr>
            <w:tcW w:w="900" w:type="dxa"/>
            <w:shd w:val="clear" w:color="auto" w:fill="C6E7F6"/>
            <w:vAlign w:val="center"/>
          </w:tcPr>
          <w:p w14:paraId="6D847247"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2027</w:t>
            </w:r>
          </w:p>
        </w:tc>
        <w:tc>
          <w:tcPr>
            <w:tcW w:w="898" w:type="dxa"/>
            <w:gridSpan w:val="2"/>
            <w:shd w:val="clear" w:color="auto" w:fill="C6E7F6"/>
            <w:vAlign w:val="center"/>
          </w:tcPr>
          <w:p w14:paraId="0D20F785"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2028</w:t>
            </w:r>
          </w:p>
        </w:tc>
        <w:tc>
          <w:tcPr>
            <w:tcW w:w="2974" w:type="dxa"/>
            <w:gridSpan w:val="2"/>
            <w:vMerge/>
            <w:vAlign w:val="center"/>
          </w:tcPr>
          <w:p w14:paraId="44C4682E" w14:textId="77777777" w:rsidR="00712023" w:rsidRPr="003E7289" w:rsidRDefault="00712023" w:rsidP="00712023">
            <w:pPr>
              <w:spacing w:before="0" w:line="240" w:lineRule="auto"/>
              <w:jc w:val="center"/>
              <w:rPr>
                <w:rFonts w:ascii="Arial" w:hAnsi="Arial" w:cs="Arial"/>
                <w:b/>
                <w:bCs/>
                <w:sz w:val="20"/>
                <w:szCs w:val="20"/>
                <w:lang w:val="sq-AL"/>
              </w:rPr>
            </w:pPr>
          </w:p>
        </w:tc>
        <w:tc>
          <w:tcPr>
            <w:tcW w:w="1512" w:type="dxa"/>
            <w:gridSpan w:val="2"/>
            <w:vMerge/>
            <w:vAlign w:val="center"/>
          </w:tcPr>
          <w:p w14:paraId="3DDD95C3" w14:textId="77777777" w:rsidR="00712023" w:rsidRPr="003E7289" w:rsidRDefault="00712023" w:rsidP="00712023">
            <w:pPr>
              <w:spacing w:before="0" w:line="240" w:lineRule="auto"/>
              <w:jc w:val="center"/>
              <w:rPr>
                <w:rFonts w:ascii="Arial" w:hAnsi="Arial" w:cs="Arial"/>
                <w:b/>
                <w:bCs/>
                <w:sz w:val="20"/>
                <w:szCs w:val="20"/>
                <w:lang w:val="sq-AL"/>
              </w:rPr>
            </w:pPr>
          </w:p>
        </w:tc>
        <w:tc>
          <w:tcPr>
            <w:tcW w:w="1653" w:type="dxa"/>
            <w:vMerge/>
            <w:vAlign w:val="center"/>
          </w:tcPr>
          <w:p w14:paraId="78C726A3" w14:textId="77777777" w:rsidR="00712023" w:rsidRPr="003E7289" w:rsidRDefault="00712023" w:rsidP="00712023">
            <w:pPr>
              <w:spacing w:before="0" w:line="240" w:lineRule="auto"/>
              <w:jc w:val="center"/>
              <w:rPr>
                <w:rFonts w:ascii="Arial" w:hAnsi="Arial" w:cs="Arial"/>
                <w:b/>
                <w:bCs/>
                <w:sz w:val="20"/>
                <w:szCs w:val="20"/>
                <w:lang w:val="sq-AL"/>
              </w:rPr>
            </w:pPr>
          </w:p>
        </w:tc>
        <w:tc>
          <w:tcPr>
            <w:tcW w:w="1653" w:type="dxa"/>
            <w:vMerge/>
            <w:vAlign w:val="center"/>
          </w:tcPr>
          <w:p w14:paraId="0B224264" w14:textId="77777777" w:rsidR="00712023" w:rsidRPr="003E7289" w:rsidRDefault="00712023" w:rsidP="00712023">
            <w:pPr>
              <w:spacing w:before="0" w:line="240" w:lineRule="auto"/>
              <w:jc w:val="center"/>
              <w:rPr>
                <w:rFonts w:ascii="Arial" w:hAnsi="Arial" w:cs="Arial"/>
                <w:b/>
                <w:bCs/>
                <w:sz w:val="20"/>
                <w:szCs w:val="20"/>
                <w:lang w:val="sq-AL"/>
              </w:rPr>
            </w:pPr>
          </w:p>
        </w:tc>
      </w:tr>
      <w:tr w:rsidR="00712023" w:rsidRPr="003E7289" w14:paraId="71C33134" w14:textId="77777777" w:rsidTr="004807C9">
        <w:trPr>
          <w:trHeight w:val="120"/>
        </w:trPr>
        <w:tc>
          <w:tcPr>
            <w:tcW w:w="993" w:type="dxa"/>
            <w:vAlign w:val="center"/>
          </w:tcPr>
          <w:p w14:paraId="54FCAAB7" w14:textId="54840DC9"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lastRenderedPageBreak/>
              <w:t>II.2</w:t>
            </w:r>
            <w:r w:rsidR="00E0225B" w:rsidRPr="003E7289">
              <w:rPr>
                <w:rFonts w:ascii="Arial" w:hAnsi="Arial" w:cs="Arial"/>
                <w:b/>
                <w:bCs/>
                <w:sz w:val="20"/>
                <w:szCs w:val="20"/>
                <w:lang w:val="sq-AL"/>
              </w:rPr>
              <w:t>6</w:t>
            </w:r>
            <w:r w:rsidRPr="003E7289">
              <w:rPr>
                <w:rFonts w:ascii="Arial" w:hAnsi="Arial" w:cs="Arial"/>
                <w:b/>
                <w:bCs/>
                <w:sz w:val="20"/>
                <w:szCs w:val="20"/>
                <w:lang w:val="sq-AL"/>
              </w:rPr>
              <w:t>.1</w:t>
            </w:r>
          </w:p>
        </w:tc>
        <w:tc>
          <w:tcPr>
            <w:tcW w:w="1983" w:type="dxa"/>
            <w:gridSpan w:val="2"/>
            <w:vAlign w:val="center"/>
          </w:tcPr>
          <w:p w14:paraId="7C2E1F8B" w14:textId="7BECFDB2" w:rsidR="00712023" w:rsidRPr="003E7289" w:rsidRDefault="00A267D7" w:rsidP="00A267D7">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Auditimi i Rrjetit dhe Përmirësimet Teknike Prioritare</w:t>
            </w:r>
          </w:p>
        </w:tc>
        <w:tc>
          <w:tcPr>
            <w:tcW w:w="1700" w:type="dxa"/>
            <w:vAlign w:val="center"/>
          </w:tcPr>
          <w:p w14:paraId="107D1B60"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sz w:val="20"/>
                <w:szCs w:val="20"/>
                <w:lang w:val="sq-AL"/>
              </w:rPr>
              <w:t>2026</w:t>
            </w:r>
          </w:p>
        </w:tc>
        <w:tc>
          <w:tcPr>
            <w:tcW w:w="902" w:type="dxa"/>
            <w:vAlign w:val="center"/>
          </w:tcPr>
          <w:p w14:paraId="2A8FD95D"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sz w:val="20"/>
                <w:szCs w:val="20"/>
                <w:lang w:val="sq-AL"/>
              </w:rPr>
              <w:t>24 mil €</w:t>
            </w:r>
          </w:p>
        </w:tc>
        <w:tc>
          <w:tcPr>
            <w:tcW w:w="900" w:type="dxa"/>
            <w:vAlign w:val="center"/>
          </w:tcPr>
          <w:p w14:paraId="6B92940F" w14:textId="77777777" w:rsidR="00712023" w:rsidRPr="003E7289" w:rsidRDefault="00712023" w:rsidP="00712023">
            <w:pPr>
              <w:spacing w:before="0" w:line="240" w:lineRule="auto"/>
              <w:jc w:val="center"/>
              <w:rPr>
                <w:rFonts w:ascii="Arial" w:hAnsi="Arial" w:cs="Arial"/>
                <w:b/>
                <w:bCs/>
                <w:sz w:val="20"/>
                <w:szCs w:val="20"/>
                <w:lang w:val="sq-AL"/>
              </w:rPr>
            </w:pPr>
          </w:p>
        </w:tc>
        <w:tc>
          <w:tcPr>
            <w:tcW w:w="898" w:type="dxa"/>
            <w:gridSpan w:val="2"/>
            <w:vAlign w:val="center"/>
          </w:tcPr>
          <w:p w14:paraId="7146E407" w14:textId="77777777" w:rsidR="00712023" w:rsidRPr="003E7289" w:rsidRDefault="00712023" w:rsidP="00712023">
            <w:pPr>
              <w:spacing w:before="0" w:line="240" w:lineRule="auto"/>
              <w:jc w:val="center"/>
              <w:rPr>
                <w:rFonts w:ascii="Arial" w:hAnsi="Arial" w:cs="Arial"/>
                <w:b/>
                <w:bCs/>
                <w:sz w:val="20"/>
                <w:szCs w:val="20"/>
                <w:lang w:val="sq-AL"/>
              </w:rPr>
            </w:pPr>
          </w:p>
        </w:tc>
        <w:tc>
          <w:tcPr>
            <w:tcW w:w="2974" w:type="dxa"/>
            <w:gridSpan w:val="2"/>
            <w:vAlign w:val="center"/>
          </w:tcPr>
          <w:p w14:paraId="47A6E5FD" w14:textId="77777777" w:rsidR="00712023" w:rsidRPr="003E7289" w:rsidRDefault="00712023" w:rsidP="00712023">
            <w:pPr>
              <w:spacing w:before="0" w:line="240" w:lineRule="auto"/>
              <w:jc w:val="center"/>
              <w:rPr>
                <w:rFonts w:ascii="Arial" w:hAnsi="Arial" w:cs="Arial"/>
                <w:b/>
                <w:bCs/>
                <w:sz w:val="20"/>
                <w:szCs w:val="20"/>
                <w:lang w:val="sq-AL"/>
              </w:rPr>
            </w:pPr>
          </w:p>
        </w:tc>
        <w:tc>
          <w:tcPr>
            <w:tcW w:w="1512" w:type="dxa"/>
            <w:gridSpan w:val="2"/>
            <w:vAlign w:val="center"/>
          </w:tcPr>
          <w:p w14:paraId="534F6CA6" w14:textId="5C02FC3F" w:rsidR="00712023" w:rsidRPr="003E7289" w:rsidRDefault="00A267D7" w:rsidP="00A267D7">
            <w:pPr>
              <w:spacing w:before="0" w:line="240" w:lineRule="auto"/>
              <w:jc w:val="center"/>
              <w:rPr>
                <w:rFonts w:ascii="Arial" w:hAnsi="Arial" w:cs="Arial"/>
                <w:b/>
                <w:bCs/>
                <w:sz w:val="20"/>
                <w:szCs w:val="20"/>
                <w:lang w:val="sq-AL"/>
              </w:rPr>
            </w:pPr>
            <w:r w:rsidRPr="003E7289">
              <w:rPr>
                <w:rFonts w:ascii="Arial" w:hAnsi="Arial" w:cs="Arial"/>
                <w:sz w:val="20"/>
                <w:szCs w:val="20"/>
                <w:lang w:val="sq-AL"/>
              </w:rPr>
              <w:t>ME, MMPHI, ZRE, KEK, KEDS)</w:t>
            </w:r>
          </w:p>
        </w:tc>
        <w:tc>
          <w:tcPr>
            <w:tcW w:w="1653" w:type="dxa"/>
            <w:vAlign w:val="center"/>
          </w:tcPr>
          <w:p w14:paraId="2907F8B1" w14:textId="58B553D6" w:rsidR="00712023" w:rsidRPr="003E7289" w:rsidRDefault="00A267D7" w:rsidP="00A267D7">
            <w:pPr>
              <w:spacing w:before="0" w:line="240" w:lineRule="auto"/>
              <w:jc w:val="center"/>
              <w:rPr>
                <w:rFonts w:ascii="Arial" w:hAnsi="Arial" w:cs="Arial"/>
                <w:b/>
                <w:bCs/>
                <w:sz w:val="20"/>
                <w:szCs w:val="20"/>
                <w:lang w:val="sq-AL"/>
              </w:rPr>
            </w:pPr>
            <w:r w:rsidRPr="003E7289">
              <w:rPr>
                <w:rFonts w:ascii="Arial" w:hAnsi="Arial" w:cs="Arial"/>
                <w:sz w:val="20"/>
                <w:szCs w:val="20"/>
                <w:lang w:val="sq-AL"/>
              </w:rPr>
              <w:t>Hartëzim kombëtar i humbjeve; përmirësim i transformatorëve kritikë dhe pilotimi i detektimit të humbjeve</w:t>
            </w:r>
          </w:p>
        </w:tc>
        <w:tc>
          <w:tcPr>
            <w:tcW w:w="1653" w:type="dxa"/>
            <w:vAlign w:val="center"/>
          </w:tcPr>
          <w:p w14:paraId="31DC76B8" w14:textId="3F9F3EBC" w:rsidR="00712023" w:rsidRPr="003E7289" w:rsidRDefault="00A267D7" w:rsidP="00A267D7">
            <w:pPr>
              <w:spacing w:before="0" w:line="240" w:lineRule="auto"/>
              <w:jc w:val="center"/>
              <w:rPr>
                <w:rFonts w:ascii="Arial" w:hAnsi="Arial" w:cs="Arial"/>
                <w:b/>
                <w:bCs/>
                <w:sz w:val="20"/>
                <w:szCs w:val="20"/>
                <w:lang w:val="sq-AL"/>
              </w:rPr>
            </w:pPr>
            <w:r w:rsidRPr="003E7289">
              <w:rPr>
                <w:rFonts w:ascii="Arial" w:hAnsi="Arial" w:cs="Arial"/>
                <w:sz w:val="20"/>
                <w:szCs w:val="20"/>
                <w:lang w:val="sq-AL"/>
              </w:rPr>
              <w:t>Plani 5-vjeçar i investimeve të KEDS</w:t>
            </w:r>
          </w:p>
        </w:tc>
      </w:tr>
      <w:tr w:rsidR="00712023" w:rsidRPr="003E7289" w14:paraId="0DBB63CB" w14:textId="77777777" w:rsidTr="004807C9">
        <w:trPr>
          <w:trHeight w:val="120"/>
        </w:trPr>
        <w:tc>
          <w:tcPr>
            <w:tcW w:w="993" w:type="dxa"/>
            <w:vAlign w:val="center"/>
          </w:tcPr>
          <w:p w14:paraId="68439937" w14:textId="6911C064"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II.2</w:t>
            </w:r>
            <w:r w:rsidR="00E0225B" w:rsidRPr="003E7289">
              <w:rPr>
                <w:rFonts w:ascii="Arial" w:hAnsi="Arial" w:cs="Arial"/>
                <w:b/>
                <w:bCs/>
                <w:sz w:val="20"/>
                <w:szCs w:val="20"/>
                <w:lang w:val="sq-AL"/>
              </w:rPr>
              <w:t>6</w:t>
            </w:r>
            <w:r w:rsidRPr="003E7289">
              <w:rPr>
                <w:rFonts w:ascii="Arial" w:hAnsi="Arial" w:cs="Arial"/>
                <w:b/>
                <w:bCs/>
                <w:sz w:val="20"/>
                <w:szCs w:val="20"/>
                <w:lang w:val="sq-AL"/>
              </w:rPr>
              <w:t>.2</w:t>
            </w:r>
          </w:p>
        </w:tc>
        <w:tc>
          <w:tcPr>
            <w:tcW w:w="1983" w:type="dxa"/>
            <w:gridSpan w:val="2"/>
            <w:vAlign w:val="center"/>
          </w:tcPr>
          <w:p w14:paraId="0459C09B" w14:textId="383673FA" w:rsidR="00712023" w:rsidRPr="003E7289" w:rsidRDefault="00A267D7" w:rsidP="00A267D7">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Shtrirja Kombëtare e Matësve të Mençur dhe Zvogëlimi i Humbjeve Komerciale</w:t>
            </w:r>
          </w:p>
        </w:tc>
        <w:tc>
          <w:tcPr>
            <w:tcW w:w="1700" w:type="dxa"/>
            <w:vAlign w:val="center"/>
          </w:tcPr>
          <w:p w14:paraId="023EA3D3"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sz w:val="20"/>
                <w:szCs w:val="20"/>
                <w:lang w:val="sq-AL"/>
              </w:rPr>
              <w:t>2028</w:t>
            </w:r>
          </w:p>
        </w:tc>
        <w:tc>
          <w:tcPr>
            <w:tcW w:w="902" w:type="dxa"/>
            <w:vAlign w:val="center"/>
          </w:tcPr>
          <w:p w14:paraId="381F7AE4" w14:textId="77777777" w:rsidR="00712023" w:rsidRPr="003E7289" w:rsidRDefault="00712023" w:rsidP="00712023">
            <w:pPr>
              <w:spacing w:before="0" w:line="240" w:lineRule="auto"/>
              <w:jc w:val="center"/>
              <w:rPr>
                <w:rFonts w:ascii="Arial" w:hAnsi="Arial" w:cs="Arial"/>
                <w:b/>
                <w:bCs/>
                <w:sz w:val="20"/>
                <w:szCs w:val="20"/>
                <w:lang w:val="sq-AL"/>
              </w:rPr>
            </w:pPr>
          </w:p>
        </w:tc>
        <w:tc>
          <w:tcPr>
            <w:tcW w:w="900" w:type="dxa"/>
            <w:vAlign w:val="center"/>
          </w:tcPr>
          <w:p w14:paraId="2ABA613C"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sz w:val="20"/>
                <w:szCs w:val="20"/>
                <w:lang w:val="sq-AL"/>
              </w:rPr>
              <w:t>73 mil €</w:t>
            </w:r>
          </w:p>
        </w:tc>
        <w:tc>
          <w:tcPr>
            <w:tcW w:w="898" w:type="dxa"/>
            <w:gridSpan w:val="2"/>
            <w:vAlign w:val="center"/>
          </w:tcPr>
          <w:p w14:paraId="4B311490" w14:textId="77777777" w:rsidR="00712023" w:rsidRPr="003E7289" w:rsidRDefault="00712023" w:rsidP="00712023">
            <w:pPr>
              <w:spacing w:before="0" w:line="240" w:lineRule="auto"/>
              <w:jc w:val="center"/>
              <w:rPr>
                <w:rFonts w:ascii="Arial" w:hAnsi="Arial" w:cs="Arial"/>
                <w:b/>
                <w:bCs/>
                <w:sz w:val="20"/>
                <w:szCs w:val="20"/>
                <w:lang w:val="sq-AL"/>
              </w:rPr>
            </w:pPr>
          </w:p>
        </w:tc>
        <w:tc>
          <w:tcPr>
            <w:tcW w:w="2974" w:type="dxa"/>
            <w:gridSpan w:val="2"/>
            <w:vAlign w:val="center"/>
          </w:tcPr>
          <w:p w14:paraId="34EEA304" w14:textId="77777777" w:rsidR="00712023" w:rsidRPr="003E7289" w:rsidRDefault="00712023" w:rsidP="00712023">
            <w:pPr>
              <w:spacing w:before="0" w:line="240" w:lineRule="auto"/>
              <w:jc w:val="center"/>
              <w:rPr>
                <w:rFonts w:ascii="Arial" w:hAnsi="Arial" w:cs="Arial"/>
                <w:b/>
                <w:bCs/>
                <w:sz w:val="20"/>
                <w:szCs w:val="20"/>
                <w:lang w:val="sq-AL"/>
              </w:rPr>
            </w:pPr>
          </w:p>
        </w:tc>
        <w:tc>
          <w:tcPr>
            <w:tcW w:w="1512" w:type="dxa"/>
            <w:gridSpan w:val="2"/>
            <w:vAlign w:val="center"/>
          </w:tcPr>
          <w:p w14:paraId="05FCBC03" w14:textId="6AA22F4C" w:rsidR="00712023" w:rsidRPr="003E7289" w:rsidRDefault="00A267D7" w:rsidP="00A267D7">
            <w:pPr>
              <w:spacing w:before="0" w:line="240" w:lineRule="auto"/>
              <w:jc w:val="center"/>
              <w:rPr>
                <w:rFonts w:ascii="Arial" w:hAnsi="Arial" w:cs="Arial"/>
                <w:b/>
                <w:bCs/>
                <w:sz w:val="20"/>
                <w:szCs w:val="20"/>
                <w:lang w:val="sq-AL"/>
              </w:rPr>
            </w:pPr>
            <w:r w:rsidRPr="003E7289">
              <w:rPr>
                <w:rFonts w:ascii="Arial" w:hAnsi="Arial" w:cs="Arial"/>
                <w:sz w:val="20"/>
                <w:szCs w:val="20"/>
                <w:lang w:val="sq-AL"/>
              </w:rPr>
              <w:t>ME, MMPHI, ZRE, KEK, KEDS</w:t>
            </w:r>
          </w:p>
        </w:tc>
        <w:tc>
          <w:tcPr>
            <w:tcW w:w="1653" w:type="dxa"/>
            <w:vAlign w:val="center"/>
          </w:tcPr>
          <w:p w14:paraId="4BC57EDA" w14:textId="2E23D013" w:rsidR="00712023" w:rsidRPr="003E7289" w:rsidRDefault="00A267D7" w:rsidP="00A267D7">
            <w:pPr>
              <w:spacing w:before="0" w:line="240" w:lineRule="auto"/>
              <w:jc w:val="center"/>
              <w:rPr>
                <w:rFonts w:ascii="Arial" w:hAnsi="Arial" w:cs="Arial"/>
                <w:b/>
                <w:bCs/>
                <w:sz w:val="20"/>
                <w:szCs w:val="20"/>
                <w:lang w:val="sq-AL"/>
              </w:rPr>
            </w:pPr>
            <w:r w:rsidRPr="003E7289">
              <w:rPr>
                <w:rFonts w:ascii="Arial" w:hAnsi="Arial" w:cs="Arial"/>
                <w:sz w:val="20"/>
                <w:szCs w:val="20"/>
                <w:lang w:val="sq-AL"/>
              </w:rPr>
              <w:t>Matës të mençur në zonat prioritare; detektim i vjedhjeve; ekipe për mbrojtjen e të hyrave funksionale</w:t>
            </w:r>
          </w:p>
        </w:tc>
        <w:tc>
          <w:tcPr>
            <w:tcW w:w="1653" w:type="dxa"/>
            <w:vAlign w:val="center"/>
          </w:tcPr>
          <w:p w14:paraId="72A06123" w14:textId="5585CDCD" w:rsidR="00712023" w:rsidRPr="003E7289" w:rsidRDefault="00A267D7" w:rsidP="00A267D7">
            <w:pPr>
              <w:spacing w:before="0" w:line="240" w:lineRule="auto"/>
              <w:jc w:val="center"/>
              <w:rPr>
                <w:rFonts w:ascii="Arial" w:hAnsi="Arial" w:cs="Arial"/>
                <w:b/>
                <w:bCs/>
                <w:sz w:val="20"/>
                <w:szCs w:val="20"/>
                <w:lang w:val="sq-AL"/>
              </w:rPr>
            </w:pPr>
            <w:r w:rsidRPr="003E7289">
              <w:rPr>
                <w:rFonts w:ascii="Arial" w:hAnsi="Arial" w:cs="Arial"/>
                <w:sz w:val="20"/>
                <w:szCs w:val="20"/>
                <w:lang w:val="sq-AL"/>
              </w:rPr>
              <w:t>Plani 5-vjeçar i investimeve të KEDS</w:t>
            </w:r>
          </w:p>
        </w:tc>
      </w:tr>
      <w:tr w:rsidR="00712023" w:rsidRPr="003E7289" w14:paraId="75191C57" w14:textId="77777777" w:rsidTr="004807C9">
        <w:trPr>
          <w:trHeight w:val="120"/>
        </w:trPr>
        <w:tc>
          <w:tcPr>
            <w:tcW w:w="993" w:type="dxa"/>
            <w:vAlign w:val="center"/>
          </w:tcPr>
          <w:p w14:paraId="68F021C2" w14:textId="690EBD81"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II.2</w:t>
            </w:r>
            <w:r w:rsidR="00E0225B" w:rsidRPr="003E7289">
              <w:rPr>
                <w:rFonts w:ascii="Arial" w:hAnsi="Arial" w:cs="Arial"/>
                <w:b/>
                <w:bCs/>
                <w:sz w:val="20"/>
                <w:szCs w:val="20"/>
                <w:lang w:val="sq-AL"/>
              </w:rPr>
              <w:t>6</w:t>
            </w:r>
            <w:r w:rsidRPr="003E7289">
              <w:rPr>
                <w:rFonts w:ascii="Arial" w:hAnsi="Arial" w:cs="Arial"/>
                <w:b/>
                <w:bCs/>
                <w:sz w:val="20"/>
                <w:szCs w:val="20"/>
                <w:lang w:val="sq-AL"/>
              </w:rPr>
              <w:t>.3</w:t>
            </w:r>
          </w:p>
        </w:tc>
        <w:tc>
          <w:tcPr>
            <w:tcW w:w="1983" w:type="dxa"/>
            <w:gridSpan w:val="2"/>
            <w:vAlign w:val="center"/>
          </w:tcPr>
          <w:p w14:paraId="5F4C0676" w14:textId="49F8F0F9" w:rsidR="00712023" w:rsidRPr="003E7289" w:rsidRDefault="00A267D7" w:rsidP="00A267D7">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Modernizimi i Thellë i Rrjetit dhe Automatizimi</w:t>
            </w:r>
          </w:p>
        </w:tc>
        <w:tc>
          <w:tcPr>
            <w:tcW w:w="1700" w:type="dxa"/>
            <w:vAlign w:val="center"/>
          </w:tcPr>
          <w:p w14:paraId="02A0C7CB"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sz w:val="20"/>
                <w:szCs w:val="20"/>
                <w:lang w:val="sq-AL"/>
              </w:rPr>
              <w:t>2040</w:t>
            </w:r>
          </w:p>
        </w:tc>
        <w:tc>
          <w:tcPr>
            <w:tcW w:w="902" w:type="dxa"/>
            <w:vAlign w:val="center"/>
          </w:tcPr>
          <w:p w14:paraId="6D1D71F0" w14:textId="77777777" w:rsidR="00712023" w:rsidRPr="003E7289" w:rsidRDefault="00712023" w:rsidP="00712023">
            <w:pPr>
              <w:spacing w:before="0" w:line="240" w:lineRule="auto"/>
              <w:jc w:val="center"/>
              <w:rPr>
                <w:rFonts w:ascii="Arial" w:hAnsi="Arial" w:cs="Arial"/>
                <w:b/>
                <w:bCs/>
                <w:sz w:val="20"/>
                <w:szCs w:val="20"/>
                <w:lang w:val="sq-AL"/>
              </w:rPr>
            </w:pPr>
          </w:p>
        </w:tc>
        <w:tc>
          <w:tcPr>
            <w:tcW w:w="900" w:type="dxa"/>
            <w:vAlign w:val="center"/>
          </w:tcPr>
          <w:p w14:paraId="1DA8F110" w14:textId="77777777" w:rsidR="00712023" w:rsidRPr="003E7289" w:rsidRDefault="00712023" w:rsidP="00712023">
            <w:pPr>
              <w:spacing w:before="0" w:line="240" w:lineRule="auto"/>
              <w:jc w:val="center"/>
              <w:rPr>
                <w:rFonts w:ascii="Arial" w:hAnsi="Arial" w:cs="Arial"/>
                <w:b/>
                <w:bCs/>
                <w:sz w:val="20"/>
                <w:szCs w:val="20"/>
                <w:lang w:val="sq-AL"/>
              </w:rPr>
            </w:pPr>
          </w:p>
        </w:tc>
        <w:tc>
          <w:tcPr>
            <w:tcW w:w="898" w:type="dxa"/>
            <w:gridSpan w:val="2"/>
            <w:vAlign w:val="center"/>
          </w:tcPr>
          <w:p w14:paraId="7534BA5E"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sz w:val="20"/>
                <w:szCs w:val="20"/>
                <w:lang w:val="sq-AL"/>
              </w:rPr>
              <w:t>25 mil €</w:t>
            </w:r>
          </w:p>
        </w:tc>
        <w:tc>
          <w:tcPr>
            <w:tcW w:w="2974" w:type="dxa"/>
            <w:gridSpan w:val="2"/>
            <w:vAlign w:val="center"/>
          </w:tcPr>
          <w:p w14:paraId="02DE93E6" w14:textId="77777777" w:rsidR="00712023" w:rsidRPr="003E7289" w:rsidRDefault="00712023" w:rsidP="00712023">
            <w:pPr>
              <w:spacing w:before="0" w:line="240" w:lineRule="auto"/>
              <w:jc w:val="center"/>
              <w:rPr>
                <w:rFonts w:ascii="Arial" w:hAnsi="Arial" w:cs="Arial"/>
                <w:b/>
                <w:bCs/>
                <w:sz w:val="20"/>
                <w:szCs w:val="20"/>
                <w:lang w:val="sq-AL"/>
              </w:rPr>
            </w:pPr>
          </w:p>
        </w:tc>
        <w:tc>
          <w:tcPr>
            <w:tcW w:w="1512" w:type="dxa"/>
            <w:gridSpan w:val="2"/>
            <w:vAlign w:val="center"/>
          </w:tcPr>
          <w:p w14:paraId="66F13A09" w14:textId="7BDF31BB" w:rsidR="00712023" w:rsidRPr="003E7289" w:rsidRDefault="00A267D7" w:rsidP="00A267D7">
            <w:pPr>
              <w:spacing w:before="0" w:line="240" w:lineRule="auto"/>
              <w:jc w:val="center"/>
              <w:rPr>
                <w:rFonts w:ascii="Arial" w:hAnsi="Arial" w:cs="Arial"/>
                <w:b/>
                <w:bCs/>
                <w:sz w:val="20"/>
                <w:szCs w:val="20"/>
                <w:lang w:val="sq-AL"/>
              </w:rPr>
            </w:pPr>
            <w:r w:rsidRPr="003E7289">
              <w:rPr>
                <w:rFonts w:ascii="Arial" w:hAnsi="Arial" w:cs="Arial"/>
                <w:sz w:val="20"/>
                <w:szCs w:val="20"/>
                <w:lang w:val="sq-AL"/>
              </w:rPr>
              <w:t>ME, MMPHI, ZRE, KEK, KEDS</w:t>
            </w:r>
          </w:p>
        </w:tc>
        <w:tc>
          <w:tcPr>
            <w:tcW w:w="1653" w:type="dxa"/>
            <w:vAlign w:val="center"/>
          </w:tcPr>
          <w:p w14:paraId="4F4C62EE" w14:textId="593F1957" w:rsidR="00712023" w:rsidRPr="003E7289" w:rsidRDefault="00A267D7" w:rsidP="00A267D7">
            <w:pPr>
              <w:spacing w:before="0" w:line="240" w:lineRule="auto"/>
              <w:jc w:val="center"/>
              <w:rPr>
                <w:rFonts w:ascii="Arial" w:hAnsi="Arial" w:cs="Arial"/>
                <w:b/>
                <w:bCs/>
                <w:sz w:val="20"/>
                <w:szCs w:val="20"/>
                <w:lang w:val="sq-AL"/>
              </w:rPr>
            </w:pPr>
            <w:r w:rsidRPr="003E7289">
              <w:rPr>
                <w:rFonts w:ascii="Arial" w:hAnsi="Arial" w:cs="Arial"/>
                <w:sz w:val="20"/>
                <w:szCs w:val="20"/>
                <w:lang w:val="sq-AL"/>
              </w:rPr>
              <w:t>Humbjet në transmetim dhe shpërndarje ≤5%; rrjet modern digjital; standarde të forta për ulje të mëtejshme të humbjeve</w:t>
            </w:r>
          </w:p>
        </w:tc>
        <w:tc>
          <w:tcPr>
            <w:tcW w:w="1653" w:type="dxa"/>
            <w:vAlign w:val="center"/>
          </w:tcPr>
          <w:p w14:paraId="407C215F" w14:textId="39A1B102" w:rsidR="00712023" w:rsidRPr="003E7289" w:rsidRDefault="00A267D7" w:rsidP="00A267D7">
            <w:pPr>
              <w:spacing w:before="0" w:line="240" w:lineRule="auto"/>
              <w:jc w:val="center"/>
              <w:rPr>
                <w:rFonts w:ascii="Arial" w:hAnsi="Arial" w:cs="Arial"/>
                <w:b/>
                <w:bCs/>
                <w:sz w:val="20"/>
                <w:szCs w:val="20"/>
                <w:lang w:val="sq-AL"/>
              </w:rPr>
            </w:pPr>
            <w:r w:rsidRPr="003E7289">
              <w:rPr>
                <w:rFonts w:ascii="Arial" w:hAnsi="Arial" w:cs="Arial"/>
                <w:sz w:val="20"/>
                <w:szCs w:val="20"/>
                <w:lang w:val="sq-AL"/>
              </w:rPr>
              <w:t>Plani 5-vjeçar i investimeve të KEDS</w:t>
            </w:r>
          </w:p>
        </w:tc>
      </w:tr>
      <w:tr w:rsidR="00712023" w:rsidRPr="003E7289" w14:paraId="6DC2446E" w14:textId="77777777" w:rsidTr="00D42597">
        <w:trPr>
          <w:trHeight w:val="120"/>
        </w:trPr>
        <w:tc>
          <w:tcPr>
            <w:tcW w:w="2976" w:type="dxa"/>
            <w:gridSpan w:val="3"/>
            <w:shd w:val="clear" w:color="auto" w:fill="C6E7F6"/>
            <w:vAlign w:val="center"/>
          </w:tcPr>
          <w:p w14:paraId="5F6125D9" w14:textId="7588DD65" w:rsidR="00712023" w:rsidRPr="003E7289" w:rsidRDefault="00712023" w:rsidP="00712023">
            <w:pPr>
              <w:spacing w:before="0" w:line="240" w:lineRule="auto"/>
              <w:rPr>
                <w:rFonts w:ascii="Arial" w:hAnsi="Arial" w:cs="Arial"/>
                <w:b/>
                <w:bCs/>
                <w:sz w:val="20"/>
                <w:szCs w:val="20"/>
                <w:lang w:val="sq-AL"/>
              </w:rPr>
            </w:pPr>
            <w:r w:rsidRPr="003E7289">
              <w:rPr>
                <w:rFonts w:ascii="Arial" w:eastAsia="Aptos" w:hAnsi="Arial" w:cs="Arial"/>
                <w:b/>
                <w:bCs/>
                <w:sz w:val="20"/>
                <w:szCs w:val="20"/>
                <w:lang w:val="sq-AL"/>
              </w:rPr>
              <w:t>Buxheti total për Objektivin specifik II.2</w:t>
            </w:r>
            <w:r w:rsidR="00E0225B" w:rsidRPr="003E7289">
              <w:rPr>
                <w:rFonts w:ascii="Arial" w:eastAsia="Aptos" w:hAnsi="Arial" w:cs="Arial"/>
                <w:b/>
                <w:bCs/>
                <w:sz w:val="20"/>
                <w:szCs w:val="20"/>
                <w:lang w:val="sq-AL"/>
              </w:rPr>
              <w:t>6</w:t>
            </w:r>
            <w:r w:rsidRPr="003E7289">
              <w:rPr>
                <w:rFonts w:ascii="Arial" w:eastAsia="Aptos" w:hAnsi="Arial" w:cs="Arial"/>
                <w:b/>
                <w:bCs/>
                <w:sz w:val="20"/>
                <w:szCs w:val="20"/>
                <w:lang w:val="sq-AL"/>
              </w:rPr>
              <w:t>:</w:t>
            </w:r>
          </w:p>
        </w:tc>
        <w:tc>
          <w:tcPr>
            <w:tcW w:w="12192" w:type="dxa"/>
            <w:gridSpan w:val="11"/>
            <w:vAlign w:val="center"/>
          </w:tcPr>
          <w:p w14:paraId="2CF5D392" w14:textId="77777777" w:rsidR="00712023" w:rsidRPr="003E7289" w:rsidRDefault="00712023" w:rsidP="00712023">
            <w:pPr>
              <w:spacing w:before="0" w:line="240" w:lineRule="auto"/>
              <w:jc w:val="center"/>
              <w:rPr>
                <w:rFonts w:ascii="Arial" w:hAnsi="Arial" w:cs="Arial"/>
                <w:b/>
                <w:bCs/>
                <w:sz w:val="20"/>
                <w:szCs w:val="20"/>
                <w:lang w:val="sq-AL"/>
              </w:rPr>
            </w:pPr>
            <w:r w:rsidRPr="003E7289">
              <w:rPr>
                <w:rFonts w:ascii="Arial" w:hAnsi="Arial" w:cs="Arial"/>
                <w:sz w:val="20"/>
                <w:szCs w:val="20"/>
                <w:lang w:val="sq-AL"/>
              </w:rPr>
              <w:t>122 mil €</w:t>
            </w:r>
          </w:p>
        </w:tc>
      </w:tr>
      <w:tr w:rsidR="00712023" w:rsidRPr="003E7289" w14:paraId="7FBFAD2D" w14:textId="77777777" w:rsidTr="007065D4">
        <w:trPr>
          <w:trHeight w:val="120"/>
        </w:trPr>
        <w:tc>
          <w:tcPr>
            <w:tcW w:w="2976" w:type="dxa"/>
            <w:gridSpan w:val="3"/>
            <w:shd w:val="clear" w:color="auto" w:fill="C6E7F6"/>
          </w:tcPr>
          <w:p w14:paraId="50C8193C" w14:textId="7CC52D2C" w:rsidR="00712023" w:rsidRPr="003E7289" w:rsidRDefault="00712023" w:rsidP="00712023">
            <w:pPr>
              <w:spacing w:before="0" w:line="240" w:lineRule="auto"/>
              <w:rPr>
                <w:rFonts w:ascii="Arial" w:hAnsi="Arial" w:cs="Arial"/>
                <w:b/>
                <w:bCs/>
                <w:sz w:val="20"/>
                <w:szCs w:val="20"/>
                <w:lang w:val="sq-AL"/>
              </w:rPr>
            </w:pPr>
            <w:r w:rsidRPr="003E7289">
              <w:rPr>
                <w:rFonts w:ascii="Arial" w:eastAsia="Aptos" w:hAnsi="Arial" w:cs="Arial"/>
                <w:b/>
                <w:bCs/>
                <w:sz w:val="20"/>
                <w:szCs w:val="20"/>
                <w:lang w:val="sq-AL"/>
              </w:rPr>
              <w:t>Nga kjo, kapital:</w:t>
            </w:r>
          </w:p>
        </w:tc>
        <w:tc>
          <w:tcPr>
            <w:tcW w:w="12192" w:type="dxa"/>
            <w:gridSpan w:val="11"/>
            <w:vAlign w:val="center"/>
          </w:tcPr>
          <w:p w14:paraId="277CF495" w14:textId="77777777" w:rsidR="00712023" w:rsidRPr="003E7289" w:rsidRDefault="00712023" w:rsidP="00712023">
            <w:pPr>
              <w:spacing w:before="0" w:line="240" w:lineRule="auto"/>
              <w:jc w:val="center"/>
              <w:rPr>
                <w:rFonts w:ascii="Arial" w:hAnsi="Arial" w:cs="Arial"/>
                <w:b/>
                <w:bCs/>
                <w:sz w:val="20"/>
                <w:szCs w:val="20"/>
                <w:lang w:val="sq-AL"/>
              </w:rPr>
            </w:pPr>
          </w:p>
        </w:tc>
      </w:tr>
      <w:tr w:rsidR="00712023" w:rsidRPr="003E7289" w14:paraId="0D0321D6" w14:textId="77777777" w:rsidTr="007065D4">
        <w:trPr>
          <w:trHeight w:val="120"/>
        </w:trPr>
        <w:tc>
          <w:tcPr>
            <w:tcW w:w="2976" w:type="dxa"/>
            <w:gridSpan w:val="3"/>
            <w:shd w:val="clear" w:color="auto" w:fill="C6E7F6"/>
          </w:tcPr>
          <w:p w14:paraId="77638843" w14:textId="74CBBBC4" w:rsidR="00712023" w:rsidRPr="003E7289" w:rsidRDefault="00712023" w:rsidP="00712023">
            <w:pPr>
              <w:spacing w:before="0" w:line="240" w:lineRule="auto"/>
              <w:rPr>
                <w:rFonts w:ascii="Arial" w:hAnsi="Arial" w:cs="Arial"/>
                <w:b/>
                <w:bCs/>
                <w:sz w:val="20"/>
                <w:szCs w:val="20"/>
                <w:lang w:val="sq-AL"/>
              </w:rPr>
            </w:pPr>
            <w:r w:rsidRPr="003E7289">
              <w:rPr>
                <w:rFonts w:ascii="Arial" w:eastAsia="Aptos" w:hAnsi="Arial" w:cs="Arial"/>
                <w:b/>
                <w:bCs/>
                <w:sz w:val="20"/>
                <w:szCs w:val="20"/>
                <w:lang w:val="sq-AL"/>
              </w:rPr>
              <w:t>Nga kjo, shpenzime korrente:</w:t>
            </w:r>
          </w:p>
        </w:tc>
        <w:tc>
          <w:tcPr>
            <w:tcW w:w="12192" w:type="dxa"/>
            <w:gridSpan w:val="11"/>
            <w:vAlign w:val="center"/>
          </w:tcPr>
          <w:p w14:paraId="406F685A" w14:textId="77777777" w:rsidR="00712023" w:rsidRPr="003E7289" w:rsidRDefault="00712023" w:rsidP="00712023">
            <w:pPr>
              <w:spacing w:before="0" w:line="240" w:lineRule="auto"/>
              <w:jc w:val="center"/>
              <w:rPr>
                <w:rFonts w:ascii="Arial" w:hAnsi="Arial" w:cs="Arial"/>
                <w:b/>
                <w:bCs/>
                <w:sz w:val="20"/>
                <w:szCs w:val="20"/>
                <w:lang w:val="sq-AL"/>
              </w:rPr>
            </w:pPr>
          </w:p>
        </w:tc>
      </w:tr>
    </w:tbl>
    <w:p w14:paraId="4A65FD68" w14:textId="77777777" w:rsidR="0097040B" w:rsidRPr="003E7289" w:rsidRDefault="0097040B" w:rsidP="0097040B">
      <w:pPr>
        <w:rPr>
          <w:rFonts w:ascii="Arial" w:hAnsi="Arial" w:cs="Arial"/>
          <w:lang w:val="sq-AL"/>
        </w:rPr>
      </w:pPr>
      <w:bookmarkStart w:id="130" w:name="_Ref203472619"/>
    </w:p>
    <w:p w14:paraId="386984C2" w14:textId="77777777" w:rsidR="0097040B" w:rsidRPr="003E7289" w:rsidRDefault="0097040B" w:rsidP="0097040B">
      <w:pPr>
        <w:rPr>
          <w:rFonts w:ascii="Arial" w:hAnsi="Arial" w:cs="Arial"/>
          <w:lang w:val="sq-AL"/>
        </w:rPr>
      </w:pPr>
    </w:p>
    <w:p w14:paraId="0020426D" w14:textId="77777777" w:rsidR="0097040B" w:rsidRPr="003E7289" w:rsidRDefault="0097040B" w:rsidP="0097040B">
      <w:pPr>
        <w:rPr>
          <w:rFonts w:ascii="Arial" w:hAnsi="Arial" w:cs="Arial"/>
          <w:lang w:val="sq-AL"/>
        </w:rPr>
      </w:pPr>
    </w:p>
    <w:p w14:paraId="1E89D7EE" w14:textId="77777777" w:rsidR="0097040B" w:rsidRPr="003E7289" w:rsidRDefault="0097040B" w:rsidP="0097040B">
      <w:pPr>
        <w:rPr>
          <w:rFonts w:ascii="Arial" w:hAnsi="Arial" w:cs="Arial"/>
          <w:lang w:val="sq-AL"/>
        </w:rPr>
      </w:pPr>
    </w:p>
    <w:p w14:paraId="128343B9" w14:textId="77777777" w:rsidR="0097040B" w:rsidRPr="003E7289" w:rsidRDefault="0097040B" w:rsidP="0097040B">
      <w:pPr>
        <w:rPr>
          <w:rFonts w:ascii="Arial" w:hAnsi="Arial" w:cs="Arial"/>
          <w:lang w:val="sq-AL"/>
        </w:rPr>
      </w:pPr>
    </w:p>
    <w:p w14:paraId="3324AD10" w14:textId="77777777" w:rsidR="0097040B" w:rsidRPr="003E7289" w:rsidRDefault="0097040B" w:rsidP="0097040B">
      <w:pPr>
        <w:rPr>
          <w:rFonts w:ascii="Arial" w:hAnsi="Arial" w:cs="Arial"/>
          <w:lang w:val="sq-AL"/>
        </w:rPr>
      </w:pPr>
    </w:p>
    <w:p w14:paraId="7DB1BCD3" w14:textId="77777777" w:rsidR="0097040B" w:rsidRPr="003E7289" w:rsidRDefault="0097040B" w:rsidP="0097040B">
      <w:pPr>
        <w:rPr>
          <w:rFonts w:ascii="Arial" w:hAnsi="Arial" w:cs="Arial"/>
          <w:lang w:val="sq-AL"/>
        </w:rPr>
      </w:pPr>
    </w:p>
    <w:p w14:paraId="24348D28" w14:textId="77777777" w:rsidR="0097040B" w:rsidRPr="003E7289" w:rsidRDefault="0097040B" w:rsidP="0097040B">
      <w:pPr>
        <w:rPr>
          <w:rFonts w:ascii="Arial" w:hAnsi="Arial" w:cs="Arial"/>
          <w:lang w:val="sq-AL"/>
        </w:rPr>
      </w:pPr>
    </w:p>
    <w:p w14:paraId="03033146" w14:textId="77777777" w:rsidR="0097040B" w:rsidRPr="003E7289" w:rsidRDefault="0097040B" w:rsidP="0097040B">
      <w:pPr>
        <w:rPr>
          <w:rFonts w:ascii="Arial" w:hAnsi="Arial" w:cs="Arial"/>
          <w:lang w:val="sq-AL"/>
        </w:rPr>
      </w:pPr>
    </w:p>
    <w:p w14:paraId="77710FFD" w14:textId="77777777" w:rsidR="0097040B" w:rsidRPr="003E7289" w:rsidRDefault="0097040B" w:rsidP="0097040B">
      <w:pPr>
        <w:rPr>
          <w:rFonts w:ascii="Arial" w:hAnsi="Arial" w:cs="Arial"/>
          <w:lang w:val="sq-AL"/>
        </w:rPr>
      </w:pPr>
    </w:p>
    <w:p w14:paraId="7CAB0D46" w14:textId="77777777" w:rsidR="0097040B" w:rsidRPr="003E7289" w:rsidRDefault="0097040B" w:rsidP="0097040B">
      <w:pPr>
        <w:rPr>
          <w:rFonts w:ascii="Arial" w:hAnsi="Arial" w:cs="Arial"/>
          <w:lang w:val="sq-AL"/>
        </w:rPr>
      </w:pPr>
    </w:p>
    <w:p w14:paraId="2E1B6AB9" w14:textId="77777777" w:rsidR="0097040B" w:rsidRPr="003E7289" w:rsidRDefault="0097040B" w:rsidP="0097040B">
      <w:pPr>
        <w:rPr>
          <w:rFonts w:ascii="Arial" w:hAnsi="Arial" w:cs="Arial"/>
          <w:lang w:val="sq-AL"/>
        </w:rPr>
      </w:pPr>
    </w:p>
    <w:p w14:paraId="4A111CA0" w14:textId="77777777" w:rsidR="0097040B" w:rsidRPr="003E7289" w:rsidRDefault="0097040B" w:rsidP="0097040B">
      <w:pPr>
        <w:rPr>
          <w:rFonts w:ascii="Arial" w:hAnsi="Arial" w:cs="Arial"/>
          <w:lang w:val="sq-AL"/>
        </w:rPr>
      </w:pPr>
    </w:p>
    <w:p w14:paraId="19E284C6" w14:textId="77777777" w:rsidR="0097040B" w:rsidRPr="003E7289" w:rsidRDefault="0097040B" w:rsidP="0097040B">
      <w:pPr>
        <w:rPr>
          <w:rFonts w:ascii="Arial" w:hAnsi="Arial" w:cs="Arial"/>
          <w:lang w:val="sq-AL"/>
        </w:rPr>
      </w:pPr>
    </w:p>
    <w:p w14:paraId="39D9E1EC" w14:textId="77777777" w:rsidR="0097040B" w:rsidRPr="003E7289" w:rsidRDefault="0097040B" w:rsidP="0097040B">
      <w:pPr>
        <w:rPr>
          <w:rFonts w:ascii="Arial" w:hAnsi="Arial" w:cs="Arial"/>
          <w:lang w:val="sq-AL"/>
        </w:rPr>
      </w:pPr>
    </w:p>
    <w:p w14:paraId="25C550C8" w14:textId="77777777" w:rsidR="0097040B" w:rsidRPr="003E7289" w:rsidRDefault="0097040B" w:rsidP="0097040B">
      <w:pPr>
        <w:rPr>
          <w:rFonts w:ascii="Arial" w:hAnsi="Arial" w:cs="Arial"/>
          <w:lang w:val="sq-AL"/>
        </w:rPr>
      </w:pPr>
    </w:p>
    <w:p w14:paraId="13CA6D45" w14:textId="77777777" w:rsidR="0097040B" w:rsidRPr="003E7289" w:rsidRDefault="0097040B" w:rsidP="00C65386">
      <w:pPr>
        <w:rPr>
          <w:rFonts w:ascii="Arial" w:hAnsi="Arial" w:cs="Arial"/>
          <w:lang w:val="sq-AL"/>
        </w:rPr>
      </w:pPr>
    </w:p>
    <w:p w14:paraId="62C884DB" w14:textId="41ADFA3E" w:rsidR="00721CEA" w:rsidRPr="003E7289" w:rsidRDefault="00A61B74" w:rsidP="000A2344">
      <w:pPr>
        <w:pStyle w:val="Heading1"/>
        <w:rPr>
          <w:rFonts w:ascii="Arial" w:hAnsi="Arial" w:cs="Arial"/>
          <w:b/>
          <w:bCs/>
          <w:color w:val="22635D"/>
          <w:lang w:val="sq-AL"/>
        </w:rPr>
      </w:pPr>
      <w:bookmarkStart w:id="131" w:name="_Toc211532727"/>
      <w:r w:rsidRPr="003E7289">
        <w:rPr>
          <w:rFonts w:ascii="Arial" w:hAnsi="Arial" w:cs="Arial"/>
          <w:b/>
          <w:bCs/>
          <w:color w:val="22635D"/>
          <w:lang w:val="sq-AL"/>
        </w:rPr>
        <w:t>Shtojca III: Plani i Veprimit për Përshtatjen e Sektorit të Bujqësisë dhe Pylltarisë</w:t>
      </w:r>
      <w:bookmarkEnd w:id="130"/>
      <w:bookmarkEnd w:id="131"/>
    </w:p>
    <w:p w14:paraId="761B5F52" w14:textId="19D2573F" w:rsidR="00B152BF" w:rsidRPr="003E7289" w:rsidRDefault="00B152BF" w:rsidP="0097040B">
      <w:pPr>
        <w:pStyle w:val="Caption"/>
        <w:spacing w:after="0"/>
        <w:jc w:val="right"/>
        <w:rPr>
          <w:rFonts w:ascii="Arial" w:hAnsi="Arial" w:cs="Arial"/>
          <w:color w:val="auto"/>
          <w:lang w:val="sq-AL"/>
        </w:rPr>
      </w:pPr>
    </w:p>
    <w:p w14:paraId="5BF11A97" w14:textId="13C56E3C" w:rsidR="0097040B" w:rsidRPr="003E7289" w:rsidRDefault="0097040B" w:rsidP="00C65386">
      <w:pPr>
        <w:pStyle w:val="Caption"/>
        <w:keepNext/>
        <w:rPr>
          <w:rFonts w:ascii="Arial" w:hAnsi="Arial" w:cs="Arial"/>
        </w:rPr>
      </w:pPr>
      <w:bookmarkStart w:id="132" w:name="_Toc211532738"/>
      <w:r w:rsidRPr="003E7289">
        <w:rPr>
          <w:rFonts w:ascii="Arial" w:hAnsi="Arial" w:cs="Arial"/>
        </w:rPr>
        <w:t xml:space="preserve">Tabela </w:t>
      </w:r>
      <w:r w:rsidRPr="003E7289">
        <w:rPr>
          <w:rFonts w:ascii="Arial" w:hAnsi="Arial" w:cs="Arial"/>
        </w:rPr>
        <w:fldChar w:fldCharType="begin"/>
      </w:r>
      <w:r w:rsidRPr="003E7289">
        <w:rPr>
          <w:rFonts w:ascii="Arial" w:hAnsi="Arial" w:cs="Arial"/>
        </w:rPr>
        <w:instrText xml:space="preserve"> SEQ Tabela \* ARABIC </w:instrText>
      </w:r>
      <w:r w:rsidRPr="003E7289">
        <w:rPr>
          <w:rFonts w:ascii="Arial" w:hAnsi="Arial" w:cs="Arial"/>
        </w:rPr>
        <w:fldChar w:fldCharType="separate"/>
      </w:r>
      <w:r w:rsidR="00C62DE9">
        <w:rPr>
          <w:rFonts w:ascii="Arial" w:hAnsi="Arial" w:cs="Arial"/>
          <w:noProof/>
        </w:rPr>
        <w:t>11</w:t>
      </w:r>
      <w:r w:rsidRPr="003E7289">
        <w:rPr>
          <w:rFonts w:ascii="Arial" w:hAnsi="Arial" w:cs="Arial"/>
          <w:noProof/>
        </w:rPr>
        <w:fldChar w:fldCharType="end"/>
      </w:r>
      <w:r w:rsidRPr="003E7289">
        <w:rPr>
          <w:rFonts w:ascii="Arial" w:hAnsi="Arial" w:cs="Arial"/>
        </w:rPr>
        <w:t>. Plani i Veprimit për Sektorin e Bujqësisë dhe Pylltarisë. Burimi: MMPHI, 2025.</w:t>
      </w:r>
      <w:bookmarkEnd w:id="132"/>
    </w:p>
    <w:tbl>
      <w:tblPr>
        <w:tblStyle w:val="TableGrid"/>
        <w:tblW w:w="5000" w:type="pct"/>
        <w:tblBorders>
          <w:top w:val="single" w:sz="4" w:space="0" w:color="0F4761"/>
          <w:left w:val="single" w:sz="4" w:space="0" w:color="0F4761"/>
          <w:bottom w:val="single" w:sz="4" w:space="0" w:color="0F4761"/>
          <w:right w:val="single" w:sz="4" w:space="0" w:color="0F4761"/>
          <w:insideH w:val="single" w:sz="4" w:space="0" w:color="0F4761"/>
          <w:insideV w:val="single" w:sz="4" w:space="0" w:color="0F4761"/>
        </w:tblBorders>
        <w:tblLook w:val="04A0" w:firstRow="1" w:lastRow="0" w:firstColumn="1" w:lastColumn="0" w:noHBand="0" w:noVBand="1"/>
      </w:tblPr>
      <w:tblGrid>
        <w:gridCol w:w="365"/>
        <w:gridCol w:w="165"/>
        <w:gridCol w:w="561"/>
        <w:gridCol w:w="166"/>
        <w:gridCol w:w="167"/>
        <w:gridCol w:w="513"/>
        <w:gridCol w:w="188"/>
        <w:gridCol w:w="418"/>
        <w:gridCol w:w="166"/>
        <w:gridCol w:w="429"/>
        <w:gridCol w:w="177"/>
        <w:gridCol w:w="182"/>
        <w:gridCol w:w="391"/>
        <w:gridCol w:w="1105"/>
        <w:gridCol w:w="7376"/>
        <w:gridCol w:w="794"/>
        <w:gridCol w:w="626"/>
        <w:gridCol w:w="176"/>
        <w:gridCol w:w="525"/>
        <w:gridCol w:w="166"/>
        <w:gridCol w:w="470"/>
      </w:tblGrid>
      <w:tr w:rsidR="00702B19" w:rsidRPr="003E7289" w14:paraId="6A11C496" w14:textId="77777777" w:rsidTr="0039004D">
        <w:tc>
          <w:tcPr>
            <w:tcW w:w="327" w:type="pct"/>
            <w:shd w:val="clear" w:color="auto" w:fill="22635D"/>
            <w:vAlign w:val="center"/>
          </w:tcPr>
          <w:p w14:paraId="263F921A" w14:textId="1B83FE69" w:rsidR="00D617FD" w:rsidRPr="003E7289" w:rsidRDefault="00D617FD" w:rsidP="00D617FD">
            <w:pPr>
              <w:autoSpaceDE w:val="0"/>
              <w:autoSpaceDN w:val="0"/>
              <w:adjustRightInd w:val="0"/>
              <w:spacing w:before="0" w:line="240" w:lineRule="auto"/>
              <w:jc w:val="center"/>
              <w:rPr>
                <w:rFonts w:ascii="Arial" w:eastAsia="Aptos" w:hAnsi="Arial" w:cs="Arial"/>
                <w:b/>
                <w:bCs/>
                <w:color w:val="FFFFFF"/>
                <w:sz w:val="20"/>
                <w:szCs w:val="20"/>
                <w:lang w:val="sq-AL" w:eastAsia="en-US"/>
              </w:rPr>
            </w:pPr>
            <w:r w:rsidRPr="003E7289">
              <w:rPr>
                <w:rFonts w:ascii="Arial" w:hAnsi="Arial" w:cs="Arial"/>
                <w:b/>
                <w:bCs/>
                <w:color w:val="FFFFFF" w:themeColor="background1"/>
                <w:sz w:val="20"/>
                <w:szCs w:val="20"/>
                <w:lang w:val="sq-AL"/>
              </w:rPr>
              <w:t>Nr.</w:t>
            </w:r>
          </w:p>
        </w:tc>
        <w:tc>
          <w:tcPr>
            <w:tcW w:w="681" w:type="pct"/>
            <w:gridSpan w:val="2"/>
            <w:shd w:val="clear" w:color="auto" w:fill="22635D"/>
            <w:vAlign w:val="center"/>
          </w:tcPr>
          <w:p w14:paraId="6FD4BD98" w14:textId="3CFE7C38" w:rsidR="00D617FD" w:rsidRPr="003E7289" w:rsidRDefault="00D617FD" w:rsidP="00D617FD">
            <w:pPr>
              <w:autoSpaceDE w:val="0"/>
              <w:autoSpaceDN w:val="0"/>
              <w:adjustRightInd w:val="0"/>
              <w:spacing w:before="0" w:line="240" w:lineRule="auto"/>
              <w:jc w:val="center"/>
              <w:rPr>
                <w:rFonts w:ascii="Arial" w:eastAsia="Aptos" w:hAnsi="Arial" w:cs="Arial"/>
                <w:b/>
                <w:bCs/>
                <w:color w:val="FFFFFF"/>
                <w:sz w:val="20"/>
                <w:szCs w:val="20"/>
                <w:lang w:val="sq-AL" w:eastAsia="en-US"/>
              </w:rPr>
            </w:pPr>
            <w:r w:rsidRPr="003E7289">
              <w:rPr>
                <w:rFonts w:ascii="Arial" w:hAnsi="Arial" w:cs="Arial"/>
                <w:b/>
                <w:bCs/>
                <w:color w:val="FFFFFF" w:themeColor="background1"/>
                <w:sz w:val="20"/>
                <w:szCs w:val="20"/>
                <w:lang w:val="sq-AL"/>
              </w:rPr>
              <w:t xml:space="preserve">Objektivat strategjik dhe specifikë, </w:t>
            </w:r>
            <w:r w:rsidRPr="003E7289">
              <w:rPr>
                <w:rFonts w:ascii="Arial" w:hAnsi="Arial" w:cs="Arial"/>
                <w:b/>
                <w:bCs/>
                <w:color w:val="FFFFFF" w:themeColor="background1"/>
                <w:sz w:val="20"/>
                <w:szCs w:val="20"/>
                <w:lang w:val="sq-AL"/>
              </w:rPr>
              <w:lastRenderedPageBreak/>
              <w:t>treguesit, prioritetet kryesore të përshtatjes dhe veprime</w:t>
            </w:r>
          </w:p>
        </w:tc>
        <w:tc>
          <w:tcPr>
            <w:tcW w:w="581" w:type="pct"/>
            <w:gridSpan w:val="3"/>
            <w:shd w:val="clear" w:color="auto" w:fill="22635D"/>
            <w:vAlign w:val="center"/>
          </w:tcPr>
          <w:p w14:paraId="4F7A5B5E" w14:textId="5F7DBFB9" w:rsidR="00D617FD" w:rsidRPr="003E7289" w:rsidRDefault="00D617FD" w:rsidP="00D617FD">
            <w:pPr>
              <w:autoSpaceDE w:val="0"/>
              <w:autoSpaceDN w:val="0"/>
              <w:adjustRightInd w:val="0"/>
              <w:spacing w:before="0" w:line="240" w:lineRule="auto"/>
              <w:jc w:val="center"/>
              <w:rPr>
                <w:rFonts w:ascii="Arial" w:eastAsia="Aptos" w:hAnsi="Arial" w:cs="Arial"/>
                <w:b/>
                <w:bCs/>
                <w:color w:val="FFFFFF"/>
                <w:sz w:val="20"/>
                <w:szCs w:val="20"/>
                <w:lang w:val="sq-AL" w:eastAsia="en-US"/>
              </w:rPr>
            </w:pPr>
            <w:r w:rsidRPr="003E7289">
              <w:rPr>
                <w:rFonts w:ascii="Arial" w:hAnsi="Arial" w:cs="Arial"/>
                <w:b/>
                <w:bCs/>
                <w:color w:val="FFFFFF" w:themeColor="background1"/>
                <w:sz w:val="20"/>
                <w:szCs w:val="20"/>
                <w:lang w:val="sq-AL"/>
              </w:rPr>
              <w:lastRenderedPageBreak/>
              <w:t>Vlera bazë</w:t>
            </w:r>
          </w:p>
        </w:tc>
        <w:tc>
          <w:tcPr>
            <w:tcW w:w="1092" w:type="pct"/>
            <w:gridSpan w:val="7"/>
            <w:shd w:val="clear" w:color="auto" w:fill="22635D"/>
            <w:vAlign w:val="center"/>
          </w:tcPr>
          <w:p w14:paraId="518C82D0" w14:textId="77777777" w:rsidR="00D617FD" w:rsidRPr="003E7289" w:rsidRDefault="00D617FD" w:rsidP="00D617FD">
            <w:pPr>
              <w:autoSpaceDE w:val="0"/>
              <w:autoSpaceDN w:val="0"/>
              <w:adjustRightInd w:val="0"/>
              <w:spacing w:before="0" w:line="240" w:lineRule="auto"/>
              <w:jc w:val="center"/>
              <w:rPr>
                <w:rFonts w:ascii="Arial" w:hAnsi="Arial" w:cs="Arial"/>
                <w:b/>
                <w:bCs/>
                <w:color w:val="FFFFFF" w:themeColor="background1"/>
                <w:sz w:val="20"/>
                <w:szCs w:val="20"/>
                <w:lang w:val="sq-AL"/>
              </w:rPr>
            </w:pPr>
          </w:p>
          <w:p w14:paraId="1683410E" w14:textId="77777777" w:rsidR="00D617FD" w:rsidRPr="003E7289" w:rsidRDefault="00D617FD" w:rsidP="00D617FD">
            <w:pPr>
              <w:autoSpaceDE w:val="0"/>
              <w:autoSpaceDN w:val="0"/>
              <w:adjustRightInd w:val="0"/>
              <w:spacing w:before="0" w:line="240" w:lineRule="auto"/>
              <w:jc w:val="center"/>
              <w:rPr>
                <w:rFonts w:ascii="Arial" w:hAnsi="Arial" w:cs="Arial"/>
                <w:b/>
                <w:bCs/>
                <w:color w:val="FFFFFF" w:themeColor="background1"/>
                <w:sz w:val="20"/>
                <w:szCs w:val="20"/>
                <w:lang w:val="sq-AL"/>
              </w:rPr>
            </w:pPr>
            <w:r w:rsidRPr="003E7289">
              <w:rPr>
                <w:rFonts w:ascii="Arial" w:hAnsi="Arial" w:cs="Arial"/>
                <w:b/>
                <w:bCs/>
                <w:color w:val="FFFFFF" w:themeColor="background1"/>
                <w:sz w:val="20"/>
                <w:szCs w:val="20"/>
                <w:lang w:val="sq-AL"/>
              </w:rPr>
              <w:t>Objektivi i përkohshëm [2030]</w:t>
            </w:r>
          </w:p>
          <w:p w14:paraId="240FF566" w14:textId="763104A7" w:rsidR="00D617FD" w:rsidRPr="003E7289" w:rsidRDefault="00D617FD" w:rsidP="00D617FD">
            <w:pPr>
              <w:autoSpaceDE w:val="0"/>
              <w:autoSpaceDN w:val="0"/>
              <w:adjustRightInd w:val="0"/>
              <w:spacing w:before="0" w:line="240" w:lineRule="auto"/>
              <w:jc w:val="center"/>
              <w:rPr>
                <w:rFonts w:ascii="Arial" w:eastAsia="Aptos" w:hAnsi="Arial" w:cs="Arial"/>
                <w:b/>
                <w:bCs/>
                <w:color w:val="FFFFFF"/>
                <w:sz w:val="20"/>
                <w:szCs w:val="20"/>
                <w:lang w:val="sq-AL" w:eastAsia="en-US"/>
              </w:rPr>
            </w:pPr>
          </w:p>
        </w:tc>
        <w:tc>
          <w:tcPr>
            <w:tcW w:w="587" w:type="pct"/>
            <w:gridSpan w:val="2"/>
            <w:shd w:val="clear" w:color="auto" w:fill="22635D"/>
            <w:vAlign w:val="center"/>
          </w:tcPr>
          <w:p w14:paraId="13461224" w14:textId="33967957" w:rsidR="00D617FD" w:rsidRPr="003E7289" w:rsidRDefault="00D617FD" w:rsidP="00D617FD">
            <w:pPr>
              <w:autoSpaceDE w:val="0"/>
              <w:autoSpaceDN w:val="0"/>
              <w:adjustRightInd w:val="0"/>
              <w:spacing w:before="0" w:line="240" w:lineRule="auto"/>
              <w:jc w:val="center"/>
              <w:rPr>
                <w:rFonts w:ascii="Arial" w:eastAsia="Aptos" w:hAnsi="Arial" w:cs="Arial"/>
                <w:b/>
                <w:bCs/>
                <w:color w:val="FFFFFF"/>
                <w:sz w:val="20"/>
                <w:szCs w:val="20"/>
                <w:lang w:val="sq-AL" w:eastAsia="en-US"/>
              </w:rPr>
            </w:pPr>
            <w:r w:rsidRPr="003E7289">
              <w:rPr>
                <w:rFonts w:ascii="Arial" w:hAnsi="Arial" w:cs="Arial"/>
                <w:b/>
                <w:bCs/>
                <w:color w:val="FFFFFF" w:themeColor="background1"/>
                <w:sz w:val="20"/>
                <w:szCs w:val="20"/>
                <w:lang w:val="sq-AL"/>
              </w:rPr>
              <w:t>Objektivi i vitit të fundit [2040]</w:t>
            </w:r>
          </w:p>
        </w:tc>
        <w:tc>
          <w:tcPr>
            <w:tcW w:w="1732" w:type="pct"/>
            <w:gridSpan w:val="6"/>
            <w:shd w:val="clear" w:color="auto" w:fill="22635D"/>
            <w:vAlign w:val="center"/>
          </w:tcPr>
          <w:p w14:paraId="02329884" w14:textId="2A3004E8" w:rsidR="00D617FD" w:rsidRPr="003E7289" w:rsidRDefault="00D617FD" w:rsidP="00D617FD">
            <w:pPr>
              <w:autoSpaceDE w:val="0"/>
              <w:autoSpaceDN w:val="0"/>
              <w:adjustRightInd w:val="0"/>
              <w:spacing w:before="0" w:line="240" w:lineRule="auto"/>
              <w:jc w:val="center"/>
              <w:rPr>
                <w:rFonts w:ascii="Arial" w:eastAsia="Aptos" w:hAnsi="Arial" w:cs="Arial"/>
                <w:b/>
                <w:bCs/>
                <w:color w:val="FFFFFF"/>
                <w:sz w:val="20"/>
                <w:szCs w:val="20"/>
                <w:lang w:val="sq-AL" w:eastAsia="en-US"/>
              </w:rPr>
            </w:pPr>
            <w:r w:rsidRPr="003E7289">
              <w:rPr>
                <w:rFonts w:ascii="Arial" w:hAnsi="Arial" w:cs="Arial"/>
                <w:b/>
                <w:bCs/>
                <w:color w:val="FFFFFF" w:themeColor="background1"/>
                <w:sz w:val="20"/>
                <w:szCs w:val="20"/>
                <w:lang w:val="sq-AL"/>
              </w:rPr>
              <w:t>Rezultati</w:t>
            </w:r>
          </w:p>
        </w:tc>
      </w:tr>
      <w:tr w:rsidR="00B152BF" w:rsidRPr="003E7289" w14:paraId="790AB16F" w14:textId="77777777" w:rsidTr="00B152BF">
        <w:tc>
          <w:tcPr>
            <w:tcW w:w="5000" w:type="pct"/>
            <w:gridSpan w:val="21"/>
            <w:shd w:val="clear" w:color="auto" w:fill="ACE2DD"/>
            <w:vAlign w:val="center"/>
          </w:tcPr>
          <w:p w14:paraId="3F13E37B" w14:textId="15702B53" w:rsidR="00B152BF" w:rsidRPr="003E7289" w:rsidRDefault="00D617FD" w:rsidP="006624D5">
            <w:pPr>
              <w:spacing w:before="0" w:line="240" w:lineRule="auto"/>
              <w:jc w:val="both"/>
              <w:rPr>
                <w:rFonts w:ascii="Arial" w:eastAsia="Aptos" w:hAnsi="Arial" w:cs="Arial"/>
                <w:sz w:val="20"/>
                <w:szCs w:val="20"/>
                <w:highlight w:val="yellow"/>
                <w:lang w:val="sq-AL" w:eastAsia="en-US"/>
              </w:rPr>
            </w:pPr>
            <w:r w:rsidRPr="003E7289">
              <w:rPr>
                <w:rFonts w:ascii="Arial" w:eastAsia="Aptos" w:hAnsi="Arial" w:cs="Arial"/>
                <w:b/>
                <w:bCs/>
                <w:sz w:val="20"/>
                <w:szCs w:val="20"/>
                <w:lang w:val="sq-AL"/>
              </w:rPr>
              <w:lastRenderedPageBreak/>
              <w:t>Objektivi strategjik</w:t>
            </w:r>
            <w:r w:rsidR="005A4DE2" w:rsidRPr="003E7289">
              <w:rPr>
                <w:rFonts w:ascii="Arial" w:eastAsia="Aptos" w:hAnsi="Arial" w:cs="Arial"/>
                <w:b/>
                <w:bCs/>
                <w:sz w:val="20"/>
                <w:szCs w:val="20"/>
                <w:lang w:val="sq-AL"/>
              </w:rPr>
              <w:t xml:space="preserve"> III</w:t>
            </w:r>
            <w:r w:rsidR="00B152BF" w:rsidRPr="003E7289">
              <w:rPr>
                <w:rFonts w:ascii="Arial" w:eastAsia="Aptos" w:hAnsi="Arial" w:cs="Arial"/>
                <w:b/>
                <w:bCs/>
                <w:sz w:val="20"/>
                <w:szCs w:val="20"/>
                <w:lang w:val="sq-AL"/>
              </w:rPr>
              <w:t>:</w:t>
            </w:r>
            <w:r w:rsidR="00B152BF" w:rsidRPr="003E7289">
              <w:rPr>
                <w:rFonts w:ascii="Arial" w:eastAsia="Aptos" w:hAnsi="Arial" w:cs="Arial"/>
                <w:sz w:val="20"/>
                <w:szCs w:val="20"/>
                <w:lang w:val="sq-AL"/>
              </w:rPr>
              <w:t xml:space="preserve"> </w:t>
            </w:r>
            <w:r w:rsidR="00CF4C50" w:rsidRPr="003E7289">
              <w:rPr>
                <w:rFonts w:ascii="Arial" w:eastAsia="Aptos" w:hAnsi="Arial" w:cs="Arial"/>
                <w:sz w:val="20"/>
                <w:szCs w:val="20"/>
                <w:lang w:val="sq-AL"/>
              </w:rPr>
              <w:t xml:space="preserve">Të forcohet </w:t>
            </w:r>
            <w:r w:rsidR="00EC7B05" w:rsidRPr="003E7289">
              <w:rPr>
                <w:rFonts w:ascii="Arial" w:eastAsia="Aptos" w:hAnsi="Arial" w:cs="Arial"/>
                <w:sz w:val="20"/>
                <w:szCs w:val="20"/>
                <w:lang w:val="sq-AL"/>
              </w:rPr>
              <w:t xml:space="preserve">rezistenca </w:t>
            </w:r>
            <w:r w:rsidR="00CF4C50" w:rsidRPr="003E7289">
              <w:rPr>
                <w:rFonts w:ascii="Arial" w:eastAsia="Aptos" w:hAnsi="Arial" w:cs="Arial"/>
                <w:sz w:val="20"/>
                <w:szCs w:val="20"/>
                <w:lang w:val="sq-AL"/>
              </w:rPr>
              <w:t>ndaj ndryshimeve klimatike dhe menaxhimi i qëndrueshëm i sistemeve bujqësore dhe ekologjike të Kosovës, me qëllim të mbrojtjes së sigurisë ushqimore, mirëqenies rurale dhe integritetit të ekosistemeve, në kushte të ndryshueshme klimatike. Ky objektiv strategjik synon të zvogëlojë cenueshmërinë ndaj thatësirave, përmbytjeve, zjarreve në natyrë dhe ndikimeve të tjera klimatike përmes përmirësimit të infrastrukturës, përvetësimit të praktikave të përparuara dhe forcimit të kapaciteteve institucionale.</w:t>
            </w:r>
          </w:p>
        </w:tc>
      </w:tr>
      <w:tr w:rsidR="00702B19" w:rsidRPr="003E7289" w14:paraId="2C1F2E08" w14:textId="77777777" w:rsidTr="0039004D">
        <w:trPr>
          <w:trHeight w:val="248"/>
        </w:trPr>
        <w:tc>
          <w:tcPr>
            <w:tcW w:w="1012" w:type="pct"/>
            <w:gridSpan w:val="4"/>
            <w:vAlign w:val="center"/>
          </w:tcPr>
          <w:p w14:paraId="2A45E1AB" w14:textId="66BC7A85" w:rsidR="00B152BF" w:rsidRPr="003E7289" w:rsidRDefault="006624D5" w:rsidP="00702B19">
            <w:pPr>
              <w:spacing w:before="0" w:line="240" w:lineRule="auto"/>
              <w:rPr>
                <w:rFonts w:ascii="Arial" w:eastAsia="Aptos" w:hAnsi="Arial" w:cs="Arial"/>
                <w:b/>
                <w:bCs/>
                <w:sz w:val="20"/>
                <w:szCs w:val="20"/>
                <w:highlight w:val="green"/>
                <w:lang w:val="sq-AL" w:eastAsia="en-US"/>
              </w:rPr>
            </w:pPr>
            <w:r w:rsidRPr="003E7289">
              <w:rPr>
                <w:rFonts w:ascii="Arial" w:eastAsia="Aptos" w:hAnsi="Arial" w:cs="Arial"/>
                <w:b/>
                <w:bCs/>
                <w:sz w:val="20"/>
                <w:szCs w:val="20"/>
                <w:lang w:val="sq-AL"/>
              </w:rPr>
              <w:t>Përqindja e Objektivave Specifikë të prioritarizuara nën Objektivin Strategjik III që janë plotësisht të zbatuara apo funksionalizuara.</w:t>
            </w:r>
          </w:p>
        </w:tc>
        <w:tc>
          <w:tcPr>
            <w:tcW w:w="576" w:type="pct"/>
            <w:gridSpan w:val="2"/>
            <w:vAlign w:val="center"/>
          </w:tcPr>
          <w:p w14:paraId="55EF17CA" w14:textId="77777777" w:rsidR="00B152BF" w:rsidRPr="003E7289" w:rsidRDefault="00B152BF" w:rsidP="00B152BF">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0%</w:t>
            </w:r>
          </w:p>
        </w:tc>
        <w:tc>
          <w:tcPr>
            <w:tcW w:w="1092" w:type="pct"/>
            <w:gridSpan w:val="7"/>
            <w:vAlign w:val="center"/>
          </w:tcPr>
          <w:p w14:paraId="507082D7" w14:textId="77777777" w:rsidR="00B152BF" w:rsidRPr="003E7289" w:rsidRDefault="00B152BF" w:rsidP="00B152BF">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35%</w:t>
            </w:r>
          </w:p>
        </w:tc>
        <w:tc>
          <w:tcPr>
            <w:tcW w:w="587" w:type="pct"/>
            <w:gridSpan w:val="2"/>
            <w:vAlign w:val="center"/>
          </w:tcPr>
          <w:p w14:paraId="07583F83" w14:textId="77777777" w:rsidR="00B152BF" w:rsidRPr="003E7289" w:rsidRDefault="00B152BF" w:rsidP="00B152BF">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100%</w:t>
            </w:r>
          </w:p>
        </w:tc>
        <w:tc>
          <w:tcPr>
            <w:tcW w:w="1732" w:type="pct"/>
            <w:gridSpan w:val="6"/>
            <w:vAlign w:val="center"/>
          </w:tcPr>
          <w:p w14:paraId="5F892A0D" w14:textId="23123D18" w:rsidR="00B152BF" w:rsidRPr="003E7289" w:rsidRDefault="006624D5" w:rsidP="00702B19">
            <w:pPr>
              <w:spacing w:before="0" w:line="240" w:lineRule="auto"/>
              <w:rPr>
                <w:rFonts w:ascii="Arial" w:eastAsia="Aptos" w:hAnsi="Arial" w:cs="Arial"/>
                <w:sz w:val="20"/>
                <w:szCs w:val="20"/>
                <w:lang w:val="sq-AL" w:eastAsia="en-US"/>
              </w:rPr>
            </w:pPr>
            <w:r w:rsidRPr="003E7289">
              <w:rPr>
                <w:rFonts w:ascii="Arial" w:eastAsia="Aptos" w:hAnsi="Arial" w:cs="Arial"/>
                <w:sz w:val="20"/>
                <w:szCs w:val="20"/>
                <w:lang w:val="sq-AL"/>
              </w:rPr>
              <w:t>Rritja e qëndrueshmërisë ndaj ndryshimeve klimatike dhe qëndrueshmërisë së sistemeve bujqësore dhe pyjore në Kosovë, me ulje të ndjeshmërisë ndaj rreziqeve klimatike dhe përmirësim të sigurisë ushqimore, mirëqenies rurale dhe integritetit të ekosistemit.</w:t>
            </w:r>
          </w:p>
        </w:tc>
      </w:tr>
      <w:tr w:rsidR="00B152BF" w:rsidRPr="003E7289" w14:paraId="00ED0605" w14:textId="77777777" w:rsidTr="00B152BF">
        <w:tc>
          <w:tcPr>
            <w:tcW w:w="5000" w:type="pct"/>
            <w:gridSpan w:val="21"/>
            <w:shd w:val="clear" w:color="auto" w:fill="0F4761"/>
            <w:vAlign w:val="center"/>
          </w:tcPr>
          <w:p w14:paraId="4335C5AB" w14:textId="1EA25C3C" w:rsidR="00B152BF" w:rsidRPr="003E7289" w:rsidRDefault="0040465B" w:rsidP="00B152BF">
            <w:pPr>
              <w:spacing w:before="0" w:line="240" w:lineRule="auto"/>
              <w:jc w:val="center"/>
              <w:rPr>
                <w:rFonts w:ascii="Arial" w:eastAsia="Aptos" w:hAnsi="Arial" w:cs="Arial"/>
                <w:b/>
                <w:bCs/>
                <w:color w:val="FFFFFF"/>
                <w:sz w:val="20"/>
                <w:szCs w:val="20"/>
                <w:lang w:val="sq-AL" w:eastAsia="en-US"/>
              </w:rPr>
            </w:pPr>
            <w:r w:rsidRPr="003E7289">
              <w:rPr>
                <w:rFonts w:ascii="Arial" w:eastAsia="Aptos" w:hAnsi="Arial" w:cs="Arial"/>
                <w:b/>
                <w:bCs/>
                <w:color w:val="FFFFFF"/>
                <w:sz w:val="20"/>
                <w:szCs w:val="20"/>
                <w:lang w:val="sq-AL"/>
              </w:rPr>
              <w:t>Prioriteti kyç për përshtatje</w:t>
            </w:r>
            <w:r w:rsidR="00B152BF" w:rsidRPr="003E7289">
              <w:rPr>
                <w:rFonts w:ascii="Arial" w:eastAsia="Aptos" w:hAnsi="Arial" w:cs="Arial"/>
                <w:b/>
                <w:bCs/>
                <w:color w:val="FFFFFF"/>
                <w:sz w:val="20"/>
                <w:szCs w:val="20"/>
                <w:lang w:val="sq-AL"/>
              </w:rPr>
              <w:t xml:space="preserve">: </w:t>
            </w:r>
            <w:r w:rsidR="00E0225B" w:rsidRPr="003E7289">
              <w:rPr>
                <w:rFonts w:ascii="Arial" w:eastAsia="Aptos" w:hAnsi="Arial" w:cs="Arial"/>
                <w:b/>
                <w:bCs/>
                <w:color w:val="FFFFFF"/>
                <w:sz w:val="20"/>
                <w:szCs w:val="20"/>
                <w:lang w:val="sq-AL"/>
              </w:rPr>
              <w:t>Praktika bujqësore që lejojnë përshtatje ndaj ndryshimit të klimës</w:t>
            </w:r>
          </w:p>
        </w:tc>
      </w:tr>
      <w:tr w:rsidR="00B152BF" w:rsidRPr="003E7289" w14:paraId="42740086" w14:textId="77777777" w:rsidTr="0039004D">
        <w:tc>
          <w:tcPr>
            <w:tcW w:w="327" w:type="pct"/>
            <w:shd w:val="clear" w:color="auto" w:fill="84CCEC"/>
            <w:vAlign w:val="center"/>
          </w:tcPr>
          <w:p w14:paraId="200C9994" w14:textId="55B93D0B" w:rsidR="00B152BF" w:rsidRPr="003E7289" w:rsidRDefault="00B152BF" w:rsidP="00B152BF">
            <w:pPr>
              <w:spacing w:before="0" w:line="240" w:lineRule="auto"/>
              <w:jc w:val="center"/>
              <w:rPr>
                <w:rFonts w:ascii="Arial" w:eastAsia="Aptos" w:hAnsi="Arial" w:cs="Arial"/>
                <w:b/>
                <w:bCs/>
                <w:sz w:val="20"/>
                <w:szCs w:val="20"/>
                <w:highlight w:val="green"/>
                <w:lang w:val="sq-AL" w:eastAsia="en-US"/>
              </w:rPr>
            </w:pPr>
            <w:r w:rsidRPr="003E7289">
              <w:rPr>
                <w:rFonts w:ascii="Arial" w:eastAsia="Aptos" w:hAnsi="Arial" w:cs="Arial"/>
                <w:b/>
                <w:bCs/>
                <w:sz w:val="20"/>
                <w:szCs w:val="20"/>
                <w:lang w:val="sq-AL"/>
              </w:rPr>
              <w:t>III.2</w:t>
            </w:r>
            <w:r w:rsidR="00E0225B" w:rsidRPr="003E7289">
              <w:rPr>
                <w:rFonts w:ascii="Arial" w:eastAsia="Aptos" w:hAnsi="Arial" w:cs="Arial"/>
                <w:b/>
                <w:bCs/>
                <w:sz w:val="20"/>
                <w:szCs w:val="20"/>
                <w:lang w:val="sq-AL"/>
              </w:rPr>
              <w:t>8</w:t>
            </w:r>
          </w:p>
        </w:tc>
        <w:tc>
          <w:tcPr>
            <w:tcW w:w="4673" w:type="pct"/>
            <w:gridSpan w:val="20"/>
            <w:shd w:val="clear" w:color="auto" w:fill="84CCEC"/>
            <w:vAlign w:val="center"/>
          </w:tcPr>
          <w:p w14:paraId="1E6C793E" w14:textId="6E4F6B96" w:rsidR="00B152BF" w:rsidRPr="003E7289" w:rsidRDefault="006624D5" w:rsidP="006624D5">
            <w:pPr>
              <w:spacing w:before="0" w:line="240" w:lineRule="auto"/>
              <w:jc w:val="both"/>
              <w:rPr>
                <w:rFonts w:ascii="Arial" w:eastAsia="Aptos" w:hAnsi="Arial" w:cs="Arial"/>
                <w:b/>
                <w:bCs/>
                <w:sz w:val="20"/>
                <w:szCs w:val="20"/>
                <w:highlight w:val="green"/>
                <w:lang w:val="sq-AL" w:eastAsia="en-US"/>
              </w:rPr>
            </w:pPr>
            <w:r w:rsidRPr="003E7289">
              <w:rPr>
                <w:rFonts w:ascii="Arial" w:eastAsia="Aptos" w:hAnsi="Arial" w:cs="Arial"/>
                <w:b/>
                <w:bCs/>
                <w:sz w:val="20"/>
                <w:szCs w:val="20"/>
                <w:lang w:val="sq-AL"/>
              </w:rPr>
              <w:t>Zhvillimi i infrastrukturës së ujitjes së qëndrueshme dhe të përshtatur ndaj kushteve klimatike</w:t>
            </w:r>
          </w:p>
        </w:tc>
      </w:tr>
      <w:tr w:rsidR="00A402D1" w:rsidRPr="003E7289" w14:paraId="6FA04B36" w14:textId="77777777" w:rsidTr="0039004D">
        <w:tc>
          <w:tcPr>
            <w:tcW w:w="1008" w:type="pct"/>
            <w:gridSpan w:val="3"/>
            <w:vAlign w:val="center"/>
          </w:tcPr>
          <w:p w14:paraId="7744F153" w14:textId="2A4208B3" w:rsidR="006624D5" w:rsidRPr="003E7289" w:rsidRDefault="006624D5" w:rsidP="006624D5">
            <w:pPr>
              <w:autoSpaceDE w:val="0"/>
              <w:autoSpaceDN w:val="0"/>
              <w:adjustRightInd w:val="0"/>
              <w:spacing w:before="0" w:line="240" w:lineRule="auto"/>
              <w:jc w:val="center"/>
              <w:rPr>
                <w:rFonts w:ascii="Arial" w:eastAsia="Yu Mincho" w:hAnsi="Arial" w:cs="Arial"/>
                <w:b/>
                <w:bCs/>
                <w:i/>
                <w:iCs/>
                <w:color w:val="000000"/>
                <w:sz w:val="20"/>
                <w:szCs w:val="20"/>
                <w:highlight w:val="green"/>
                <w:lang w:val="sq-AL"/>
              </w:rPr>
            </w:pPr>
            <w:r w:rsidRPr="003E7289">
              <w:rPr>
                <w:rFonts w:ascii="Arial" w:eastAsia="Myriad Pro" w:hAnsi="Arial" w:cs="Arial"/>
                <w:b/>
                <w:bCs/>
                <w:sz w:val="20"/>
                <w:szCs w:val="20"/>
                <w:lang w:val="sq-AL"/>
              </w:rPr>
              <w:t xml:space="preserve">Sipërfaqe nën sisteme </w:t>
            </w:r>
            <w:r w:rsidRPr="003E7289">
              <w:rPr>
                <w:rFonts w:ascii="Arial" w:eastAsia="Myriad Pro" w:hAnsi="Arial" w:cs="Arial"/>
                <w:b/>
                <w:bCs/>
                <w:sz w:val="20"/>
                <w:szCs w:val="20"/>
                <w:lang w:val="sq-AL"/>
              </w:rPr>
              <w:lastRenderedPageBreak/>
              <w:t>moderne ujitjeje (hektarë).</w:t>
            </w:r>
          </w:p>
        </w:tc>
        <w:tc>
          <w:tcPr>
            <w:tcW w:w="581" w:type="pct"/>
            <w:gridSpan w:val="3"/>
            <w:vAlign w:val="center"/>
          </w:tcPr>
          <w:p w14:paraId="2AEB012D" w14:textId="3D2E5061" w:rsidR="006624D5" w:rsidRPr="003E7289" w:rsidRDefault="006624D5" w:rsidP="006624D5">
            <w:pPr>
              <w:spacing w:before="0" w:line="240" w:lineRule="auto"/>
              <w:rPr>
                <w:rFonts w:ascii="Arial" w:eastAsia="Aptos" w:hAnsi="Arial" w:cs="Arial"/>
                <w:b/>
                <w:bCs/>
                <w:sz w:val="20"/>
                <w:szCs w:val="20"/>
                <w:highlight w:val="yellow"/>
                <w:lang w:val="sq-AL" w:eastAsia="en-US"/>
              </w:rPr>
            </w:pPr>
            <w:r w:rsidRPr="003E7289">
              <w:rPr>
                <w:rFonts w:ascii="Arial" w:eastAsia="Myriad Pro" w:hAnsi="Arial" w:cs="Arial"/>
                <w:sz w:val="20"/>
                <w:szCs w:val="20"/>
                <w:lang w:val="sq-AL"/>
              </w:rPr>
              <w:lastRenderedPageBreak/>
              <w:t xml:space="preserve">Aktualisht ujiten </w:t>
            </w:r>
            <w:r w:rsidRPr="003E7289">
              <w:rPr>
                <w:rFonts w:ascii="Arial" w:eastAsia="Myriad Pro" w:hAnsi="Arial" w:cs="Arial"/>
                <w:sz w:val="20"/>
                <w:szCs w:val="20"/>
                <w:lang w:val="sq-AL"/>
              </w:rPr>
              <w:lastRenderedPageBreak/>
              <w:t>afërsisht 32,000 ha (7% e sipërfaqes totale bujqësore).</w:t>
            </w:r>
          </w:p>
        </w:tc>
        <w:tc>
          <w:tcPr>
            <w:tcW w:w="1092" w:type="pct"/>
            <w:gridSpan w:val="7"/>
            <w:vAlign w:val="center"/>
          </w:tcPr>
          <w:p w14:paraId="1498F74A" w14:textId="6E809F2D" w:rsidR="006624D5" w:rsidRPr="003E7289" w:rsidRDefault="006624D5" w:rsidP="006624D5">
            <w:pPr>
              <w:spacing w:before="0" w:line="240" w:lineRule="auto"/>
              <w:jc w:val="center"/>
              <w:rPr>
                <w:rFonts w:ascii="Arial" w:eastAsia="Aptos" w:hAnsi="Arial" w:cs="Arial"/>
                <w:sz w:val="20"/>
                <w:szCs w:val="20"/>
                <w:highlight w:val="yellow"/>
                <w:lang w:val="sq-AL" w:eastAsia="en-US"/>
              </w:rPr>
            </w:pPr>
            <w:r w:rsidRPr="003E7289">
              <w:rPr>
                <w:rFonts w:ascii="Arial" w:eastAsia="Myriad Pro" w:hAnsi="Arial" w:cs="Arial"/>
                <w:sz w:val="20"/>
                <w:szCs w:val="20"/>
                <w:lang w:val="sq-AL"/>
              </w:rPr>
              <w:lastRenderedPageBreak/>
              <w:t xml:space="preserve">40,000 ha nën ujitje; sisteme pilot </w:t>
            </w:r>
            <w:r w:rsidRPr="003E7289">
              <w:rPr>
                <w:rFonts w:ascii="Arial" w:eastAsia="Myriad Pro" w:hAnsi="Arial" w:cs="Arial"/>
                <w:sz w:val="20"/>
                <w:szCs w:val="20"/>
                <w:lang w:val="sq-AL"/>
              </w:rPr>
              <w:lastRenderedPageBreak/>
              <w:t>me pika/spërkatje funksionale.</w:t>
            </w:r>
          </w:p>
        </w:tc>
        <w:tc>
          <w:tcPr>
            <w:tcW w:w="587" w:type="pct"/>
            <w:gridSpan w:val="2"/>
            <w:vAlign w:val="center"/>
          </w:tcPr>
          <w:p w14:paraId="4B53807D" w14:textId="38E78FB6" w:rsidR="006624D5" w:rsidRPr="003E7289" w:rsidRDefault="006624D5" w:rsidP="006624D5">
            <w:pPr>
              <w:spacing w:before="0" w:line="240" w:lineRule="auto"/>
              <w:jc w:val="center"/>
              <w:rPr>
                <w:rFonts w:ascii="Arial" w:eastAsia="Aptos" w:hAnsi="Arial" w:cs="Arial"/>
                <w:sz w:val="20"/>
                <w:szCs w:val="20"/>
                <w:highlight w:val="yellow"/>
                <w:lang w:val="sq-AL" w:eastAsia="en-US"/>
              </w:rPr>
            </w:pPr>
            <w:r w:rsidRPr="003E7289">
              <w:rPr>
                <w:rFonts w:ascii="Arial" w:eastAsia="Myriad Pro" w:hAnsi="Arial" w:cs="Arial"/>
                <w:sz w:val="20"/>
                <w:szCs w:val="20"/>
                <w:lang w:val="sq-AL"/>
              </w:rPr>
              <w:lastRenderedPageBreak/>
              <w:t>60,000 ha nën ujitje moderne; përdorim i gjerë i sistemeve efikase.</w:t>
            </w:r>
          </w:p>
        </w:tc>
        <w:tc>
          <w:tcPr>
            <w:tcW w:w="1732" w:type="pct"/>
            <w:gridSpan w:val="6"/>
            <w:vAlign w:val="center"/>
          </w:tcPr>
          <w:p w14:paraId="5D751480" w14:textId="407EF5A7" w:rsidR="006624D5" w:rsidRPr="003E7289" w:rsidRDefault="006624D5" w:rsidP="006624D5">
            <w:pPr>
              <w:spacing w:before="0" w:line="240" w:lineRule="auto"/>
              <w:jc w:val="center"/>
              <w:rPr>
                <w:rFonts w:ascii="Arial" w:eastAsia="Aptos" w:hAnsi="Arial" w:cs="Arial"/>
                <w:sz w:val="20"/>
                <w:szCs w:val="20"/>
                <w:highlight w:val="yellow"/>
                <w:lang w:val="sq-AL" w:eastAsia="en-US"/>
              </w:rPr>
            </w:pPr>
            <w:r w:rsidRPr="003E7289">
              <w:rPr>
                <w:rFonts w:ascii="Arial" w:eastAsia="Myriad Pro" w:hAnsi="Arial" w:cs="Arial"/>
                <w:sz w:val="20"/>
                <w:szCs w:val="20"/>
                <w:lang w:val="sq-AL"/>
              </w:rPr>
              <w:t xml:space="preserve">120,000 ha të ujitura në mënyrë të qëndrueshme, </w:t>
            </w:r>
            <w:r w:rsidRPr="003E7289">
              <w:rPr>
                <w:rFonts w:ascii="Arial" w:eastAsia="Myriad Pro" w:hAnsi="Arial" w:cs="Arial"/>
                <w:sz w:val="20"/>
                <w:szCs w:val="20"/>
                <w:lang w:val="sq-AL"/>
              </w:rPr>
              <w:lastRenderedPageBreak/>
              <w:t>teknologji të integruara plotësisht për kursimin e ujit.</w:t>
            </w:r>
          </w:p>
        </w:tc>
      </w:tr>
      <w:tr w:rsidR="00691972" w:rsidRPr="003E7289" w14:paraId="70F7B540" w14:textId="77777777" w:rsidTr="0039004D">
        <w:trPr>
          <w:trHeight w:val="195"/>
        </w:trPr>
        <w:tc>
          <w:tcPr>
            <w:tcW w:w="327" w:type="pct"/>
            <w:vMerge w:val="restart"/>
            <w:shd w:val="clear" w:color="auto" w:fill="C6E7F6"/>
            <w:vAlign w:val="center"/>
          </w:tcPr>
          <w:p w14:paraId="73725937" w14:textId="1689410E"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Nr.</w:t>
            </w:r>
          </w:p>
        </w:tc>
        <w:tc>
          <w:tcPr>
            <w:tcW w:w="681" w:type="pct"/>
            <w:gridSpan w:val="2"/>
            <w:vMerge w:val="restart"/>
            <w:shd w:val="clear" w:color="auto" w:fill="C6E7F6"/>
            <w:vAlign w:val="center"/>
          </w:tcPr>
          <w:p w14:paraId="04D583E7" w14:textId="28F5BAB1" w:rsidR="000D1635" w:rsidRPr="003E7289" w:rsidRDefault="000D1635" w:rsidP="000D1635">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Veprimi</w:t>
            </w:r>
          </w:p>
        </w:tc>
        <w:tc>
          <w:tcPr>
            <w:tcW w:w="581" w:type="pct"/>
            <w:gridSpan w:val="3"/>
            <w:vMerge w:val="restart"/>
            <w:shd w:val="clear" w:color="auto" w:fill="C6E7F6"/>
            <w:vAlign w:val="center"/>
          </w:tcPr>
          <w:p w14:paraId="0E31DE35" w14:textId="26BC44F7"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Afati I fundit</w:t>
            </w:r>
          </w:p>
        </w:tc>
        <w:tc>
          <w:tcPr>
            <w:tcW w:w="1092" w:type="pct"/>
            <w:gridSpan w:val="7"/>
            <w:shd w:val="clear" w:color="auto" w:fill="C6E7F6"/>
            <w:vAlign w:val="center"/>
          </w:tcPr>
          <w:p w14:paraId="2A264DF4" w14:textId="01BB1D46"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Buxheti</w:t>
            </w:r>
          </w:p>
        </w:tc>
        <w:tc>
          <w:tcPr>
            <w:tcW w:w="587" w:type="pct"/>
            <w:gridSpan w:val="2"/>
            <w:vMerge w:val="restart"/>
            <w:shd w:val="clear" w:color="auto" w:fill="C6E7F6"/>
            <w:vAlign w:val="center"/>
          </w:tcPr>
          <w:p w14:paraId="1A89540C" w14:textId="07C102F1"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Burimi i financimit</w:t>
            </w:r>
          </w:p>
        </w:tc>
        <w:tc>
          <w:tcPr>
            <w:tcW w:w="731" w:type="pct"/>
            <w:gridSpan w:val="2"/>
            <w:vMerge w:val="restart"/>
            <w:shd w:val="clear" w:color="auto" w:fill="C6E7F6"/>
            <w:vAlign w:val="center"/>
          </w:tcPr>
          <w:p w14:paraId="216A1200" w14:textId="4D69D403"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Institucionet përgjegjëse dhe partnere</w:t>
            </w:r>
          </w:p>
        </w:tc>
        <w:tc>
          <w:tcPr>
            <w:tcW w:w="548" w:type="pct"/>
            <w:gridSpan w:val="3"/>
            <w:vMerge w:val="restart"/>
            <w:shd w:val="clear" w:color="auto" w:fill="C6E7F6"/>
            <w:vAlign w:val="center"/>
          </w:tcPr>
          <w:p w14:paraId="7D4141F8" w14:textId="7F3C74D1"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Rezultati i pritur</w:t>
            </w:r>
          </w:p>
        </w:tc>
        <w:tc>
          <w:tcPr>
            <w:tcW w:w="453" w:type="pct"/>
            <w:vMerge w:val="restart"/>
            <w:shd w:val="clear" w:color="auto" w:fill="C6E7F6"/>
            <w:vAlign w:val="center"/>
          </w:tcPr>
          <w:p w14:paraId="4B8CBB3B" w14:textId="23D711B3"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Dokumenti strategjik referues</w:t>
            </w:r>
          </w:p>
        </w:tc>
      </w:tr>
      <w:tr w:rsidR="00691972" w:rsidRPr="003E7289" w14:paraId="4081ED31" w14:textId="77777777" w:rsidTr="0039004D">
        <w:trPr>
          <w:trHeight w:val="195"/>
        </w:trPr>
        <w:tc>
          <w:tcPr>
            <w:tcW w:w="327" w:type="pct"/>
            <w:vMerge/>
            <w:vAlign w:val="center"/>
          </w:tcPr>
          <w:p w14:paraId="69F14AE3" w14:textId="77777777" w:rsidR="00B152BF" w:rsidRPr="003E7289" w:rsidRDefault="00B152BF" w:rsidP="00B152BF">
            <w:pPr>
              <w:spacing w:before="0" w:line="240" w:lineRule="auto"/>
              <w:jc w:val="center"/>
              <w:rPr>
                <w:rFonts w:ascii="Arial" w:eastAsia="Aptos" w:hAnsi="Arial" w:cs="Arial"/>
                <w:sz w:val="20"/>
                <w:szCs w:val="20"/>
                <w:lang w:val="sq-AL" w:eastAsia="en-US"/>
              </w:rPr>
            </w:pPr>
          </w:p>
        </w:tc>
        <w:tc>
          <w:tcPr>
            <w:tcW w:w="681" w:type="pct"/>
            <w:gridSpan w:val="2"/>
            <w:vMerge/>
            <w:vAlign w:val="center"/>
          </w:tcPr>
          <w:p w14:paraId="68D2E35E"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581" w:type="pct"/>
            <w:gridSpan w:val="3"/>
            <w:vMerge/>
            <w:vAlign w:val="center"/>
          </w:tcPr>
          <w:p w14:paraId="7D69857B" w14:textId="77777777" w:rsidR="00B152BF" w:rsidRPr="003E7289" w:rsidRDefault="00B152BF" w:rsidP="00B152BF">
            <w:pPr>
              <w:spacing w:before="0" w:line="240" w:lineRule="auto"/>
              <w:jc w:val="center"/>
              <w:rPr>
                <w:rFonts w:ascii="Arial" w:eastAsia="Aptos" w:hAnsi="Arial" w:cs="Arial"/>
                <w:b/>
                <w:bCs/>
                <w:sz w:val="20"/>
                <w:szCs w:val="20"/>
                <w:highlight w:val="yellow"/>
                <w:lang w:val="sq-AL" w:eastAsia="en-US"/>
              </w:rPr>
            </w:pPr>
          </w:p>
        </w:tc>
        <w:tc>
          <w:tcPr>
            <w:tcW w:w="368" w:type="pct"/>
            <w:gridSpan w:val="2"/>
            <w:shd w:val="clear" w:color="auto" w:fill="C6E7F6"/>
            <w:vAlign w:val="center"/>
          </w:tcPr>
          <w:p w14:paraId="5432B4F2"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2026</w:t>
            </w:r>
          </w:p>
        </w:tc>
        <w:tc>
          <w:tcPr>
            <w:tcW w:w="373" w:type="pct"/>
            <w:gridSpan w:val="3"/>
            <w:shd w:val="clear" w:color="auto" w:fill="C6E7F6"/>
            <w:vAlign w:val="center"/>
          </w:tcPr>
          <w:p w14:paraId="38548C18"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2027</w:t>
            </w:r>
          </w:p>
        </w:tc>
        <w:tc>
          <w:tcPr>
            <w:tcW w:w="351" w:type="pct"/>
            <w:gridSpan w:val="2"/>
            <w:shd w:val="clear" w:color="auto" w:fill="C6E7F6"/>
            <w:vAlign w:val="center"/>
          </w:tcPr>
          <w:p w14:paraId="1E8F48F1"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2028</w:t>
            </w:r>
          </w:p>
        </w:tc>
        <w:tc>
          <w:tcPr>
            <w:tcW w:w="587" w:type="pct"/>
            <w:gridSpan w:val="2"/>
            <w:vMerge/>
            <w:vAlign w:val="center"/>
          </w:tcPr>
          <w:p w14:paraId="79EDFF51" w14:textId="77777777" w:rsidR="00B152BF" w:rsidRPr="003E7289" w:rsidRDefault="00B152BF" w:rsidP="00B152BF">
            <w:pPr>
              <w:spacing w:before="0" w:line="240" w:lineRule="auto"/>
              <w:jc w:val="center"/>
              <w:rPr>
                <w:rFonts w:ascii="Arial" w:eastAsia="Aptos" w:hAnsi="Arial" w:cs="Arial"/>
                <w:b/>
                <w:bCs/>
                <w:sz w:val="20"/>
                <w:szCs w:val="20"/>
                <w:highlight w:val="yellow"/>
                <w:lang w:val="sq-AL" w:eastAsia="en-US"/>
              </w:rPr>
            </w:pPr>
          </w:p>
        </w:tc>
        <w:tc>
          <w:tcPr>
            <w:tcW w:w="731" w:type="pct"/>
            <w:gridSpan w:val="2"/>
            <w:vMerge/>
            <w:vAlign w:val="center"/>
          </w:tcPr>
          <w:p w14:paraId="3A68C85A" w14:textId="77777777" w:rsidR="00B152BF" w:rsidRPr="003E7289" w:rsidRDefault="00B152BF" w:rsidP="00B152BF">
            <w:pPr>
              <w:spacing w:before="0" w:line="240" w:lineRule="auto"/>
              <w:jc w:val="center"/>
              <w:rPr>
                <w:rFonts w:ascii="Arial" w:eastAsia="Aptos" w:hAnsi="Arial" w:cs="Arial"/>
                <w:b/>
                <w:bCs/>
                <w:sz w:val="20"/>
                <w:szCs w:val="20"/>
                <w:highlight w:val="yellow"/>
                <w:lang w:val="sq-AL" w:eastAsia="en-US"/>
              </w:rPr>
            </w:pPr>
          </w:p>
        </w:tc>
        <w:tc>
          <w:tcPr>
            <w:tcW w:w="548" w:type="pct"/>
            <w:gridSpan w:val="3"/>
            <w:vMerge/>
            <w:vAlign w:val="center"/>
          </w:tcPr>
          <w:p w14:paraId="60DAFD55" w14:textId="77777777" w:rsidR="00B152BF" w:rsidRPr="003E7289" w:rsidRDefault="00B152BF" w:rsidP="00B152BF">
            <w:pPr>
              <w:spacing w:before="0" w:line="240" w:lineRule="auto"/>
              <w:jc w:val="center"/>
              <w:rPr>
                <w:rFonts w:ascii="Arial" w:eastAsia="Aptos" w:hAnsi="Arial" w:cs="Arial"/>
                <w:b/>
                <w:bCs/>
                <w:sz w:val="20"/>
                <w:szCs w:val="20"/>
                <w:highlight w:val="yellow"/>
                <w:lang w:val="sq-AL" w:eastAsia="en-US"/>
              </w:rPr>
            </w:pPr>
          </w:p>
        </w:tc>
        <w:tc>
          <w:tcPr>
            <w:tcW w:w="453" w:type="pct"/>
            <w:vMerge/>
            <w:vAlign w:val="center"/>
          </w:tcPr>
          <w:p w14:paraId="4C35A183" w14:textId="77777777" w:rsidR="00B152BF" w:rsidRPr="003E7289" w:rsidRDefault="00B152BF" w:rsidP="00B152BF">
            <w:pPr>
              <w:spacing w:before="0" w:line="240" w:lineRule="auto"/>
              <w:jc w:val="center"/>
              <w:rPr>
                <w:rFonts w:ascii="Arial" w:eastAsia="Aptos" w:hAnsi="Arial" w:cs="Arial"/>
                <w:b/>
                <w:bCs/>
                <w:sz w:val="20"/>
                <w:szCs w:val="20"/>
                <w:highlight w:val="yellow"/>
                <w:lang w:val="sq-AL" w:eastAsia="en-US"/>
              </w:rPr>
            </w:pPr>
          </w:p>
        </w:tc>
      </w:tr>
      <w:tr w:rsidR="00691972" w:rsidRPr="003E7289" w14:paraId="7ED5DFA8" w14:textId="77777777" w:rsidTr="0039004D">
        <w:trPr>
          <w:trHeight w:val="391"/>
        </w:trPr>
        <w:tc>
          <w:tcPr>
            <w:tcW w:w="327" w:type="pct"/>
            <w:vAlign w:val="center"/>
          </w:tcPr>
          <w:p w14:paraId="53753908" w14:textId="3E67A145"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III.2</w:t>
            </w:r>
            <w:r w:rsidR="00E0225B" w:rsidRPr="003E7289">
              <w:rPr>
                <w:rFonts w:ascii="Arial" w:eastAsia="Aptos" w:hAnsi="Arial" w:cs="Arial"/>
                <w:b/>
                <w:bCs/>
                <w:sz w:val="20"/>
                <w:szCs w:val="20"/>
                <w:lang w:val="sq-AL"/>
              </w:rPr>
              <w:t>8</w:t>
            </w:r>
            <w:r w:rsidRPr="003E7289">
              <w:rPr>
                <w:rFonts w:ascii="Arial" w:eastAsia="Aptos" w:hAnsi="Arial" w:cs="Arial"/>
                <w:b/>
                <w:bCs/>
                <w:sz w:val="20"/>
                <w:szCs w:val="20"/>
                <w:lang w:val="sq-AL"/>
              </w:rPr>
              <w:t>.1</w:t>
            </w:r>
          </w:p>
        </w:tc>
        <w:tc>
          <w:tcPr>
            <w:tcW w:w="681" w:type="pct"/>
            <w:gridSpan w:val="2"/>
            <w:vAlign w:val="center"/>
          </w:tcPr>
          <w:p w14:paraId="5319C5A4" w14:textId="487E60F1" w:rsidR="00B152BF" w:rsidRPr="003E7289" w:rsidRDefault="006624D5" w:rsidP="006624D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Rehabilitimi i infrastrukturës së dëmtuar</w:t>
            </w:r>
          </w:p>
        </w:tc>
        <w:tc>
          <w:tcPr>
            <w:tcW w:w="581" w:type="pct"/>
            <w:gridSpan w:val="3"/>
            <w:vAlign w:val="center"/>
          </w:tcPr>
          <w:p w14:paraId="1EC00756" w14:textId="77777777" w:rsidR="00B152BF" w:rsidRPr="003E7289" w:rsidRDefault="00B152BF" w:rsidP="00B152BF">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2030</w:t>
            </w:r>
          </w:p>
        </w:tc>
        <w:tc>
          <w:tcPr>
            <w:tcW w:w="368" w:type="pct"/>
            <w:gridSpan w:val="2"/>
            <w:vAlign w:val="center"/>
          </w:tcPr>
          <w:p w14:paraId="47E63127" w14:textId="7465AB65" w:rsidR="00B152BF" w:rsidRPr="003E7289" w:rsidRDefault="00B152BF" w:rsidP="00B152BF">
            <w:pPr>
              <w:spacing w:before="0" w:line="240" w:lineRule="auto"/>
              <w:jc w:val="center"/>
              <w:rPr>
                <w:rFonts w:ascii="Arial" w:eastAsia="Aptos" w:hAnsi="Arial" w:cs="Arial"/>
                <w:sz w:val="20"/>
                <w:szCs w:val="20"/>
                <w:highlight w:val="yellow"/>
                <w:lang w:val="sq-AL" w:eastAsia="en-US"/>
              </w:rPr>
            </w:pPr>
            <w:r w:rsidRPr="003E7289">
              <w:rPr>
                <w:rFonts w:ascii="Arial" w:eastAsia="Aptos" w:hAnsi="Arial" w:cs="Arial"/>
                <w:sz w:val="20"/>
                <w:szCs w:val="20"/>
                <w:lang w:val="sq-AL"/>
              </w:rPr>
              <w:t>2.472.000</w:t>
            </w:r>
            <w:r w:rsidR="005A4DE2" w:rsidRPr="003E7289">
              <w:rPr>
                <w:rFonts w:ascii="Arial" w:eastAsia="Aptos" w:hAnsi="Arial" w:cs="Arial"/>
                <w:sz w:val="20"/>
                <w:szCs w:val="20"/>
                <w:lang w:val="sq-AL"/>
              </w:rPr>
              <w:t xml:space="preserve"> €</w:t>
            </w:r>
          </w:p>
        </w:tc>
        <w:tc>
          <w:tcPr>
            <w:tcW w:w="373" w:type="pct"/>
            <w:gridSpan w:val="3"/>
            <w:vAlign w:val="center"/>
          </w:tcPr>
          <w:p w14:paraId="64F886DF" w14:textId="77777777" w:rsidR="00B152BF" w:rsidRPr="003E7289" w:rsidRDefault="00B152BF" w:rsidP="00B152BF">
            <w:pPr>
              <w:spacing w:before="0" w:line="240" w:lineRule="auto"/>
              <w:jc w:val="center"/>
              <w:rPr>
                <w:rFonts w:ascii="Arial" w:eastAsia="Aptos" w:hAnsi="Arial" w:cs="Arial"/>
                <w:sz w:val="20"/>
                <w:szCs w:val="20"/>
                <w:highlight w:val="yellow"/>
                <w:lang w:val="sq-AL" w:eastAsia="en-US"/>
              </w:rPr>
            </w:pPr>
          </w:p>
        </w:tc>
        <w:tc>
          <w:tcPr>
            <w:tcW w:w="351" w:type="pct"/>
            <w:gridSpan w:val="2"/>
            <w:vAlign w:val="center"/>
          </w:tcPr>
          <w:p w14:paraId="2D5B13D2" w14:textId="77777777" w:rsidR="00B152BF" w:rsidRPr="003E7289" w:rsidRDefault="00B152BF" w:rsidP="00B152BF">
            <w:pPr>
              <w:spacing w:before="0" w:line="240" w:lineRule="auto"/>
              <w:jc w:val="center"/>
              <w:rPr>
                <w:rFonts w:ascii="Arial" w:eastAsia="Aptos" w:hAnsi="Arial" w:cs="Arial"/>
                <w:sz w:val="20"/>
                <w:szCs w:val="20"/>
                <w:highlight w:val="yellow"/>
                <w:lang w:val="sq-AL" w:eastAsia="en-US"/>
              </w:rPr>
            </w:pPr>
          </w:p>
        </w:tc>
        <w:tc>
          <w:tcPr>
            <w:tcW w:w="587" w:type="pct"/>
            <w:gridSpan w:val="2"/>
            <w:vAlign w:val="center"/>
          </w:tcPr>
          <w:p w14:paraId="1A142DF7" w14:textId="5C04AE97" w:rsidR="00B152BF" w:rsidRPr="003E7289" w:rsidRDefault="006624D5" w:rsidP="006624D5">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Programi IPA III i BE-së, Buxheti Kombëtar, Donatorë</w:t>
            </w:r>
          </w:p>
        </w:tc>
        <w:tc>
          <w:tcPr>
            <w:tcW w:w="731" w:type="pct"/>
            <w:gridSpan w:val="2"/>
            <w:vAlign w:val="center"/>
          </w:tcPr>
          <w:p w14:paraId="13342BEF" w14:textId="4312BBB6" w:rsidR="00B152BF" w:rsidRPr="003E7289" w:rsidRDefault="006624D5" w:rsidP="006624D5">
            <w:pPr>
              <w:spacing w:before="0" w:line="240" w:lineRule="auto"/>
              <w:jc w:val="center"/>
              <w:rPr>
                <w:rFonts w:ascii="Arial" w:eastAsia="Aptos" w:hAnsi="Arial" w:cs="Arial"/>
                <w:color w:val="EE0000"/>
                <w:sz w:val="20"/>
                <w:szCs w:val="20"/>
                <w:highlight w:val="yellow"/>
                <w:lang w:val="sq-AL" w:eastAsia="en-US"/>
              </w:rPr>
            </w:pPr>
            <w:r w:rsidRPr="003E7289">
              <w:rPr>
                <w:rFonts w:ascii="Arial" w:eastAsia="Aptos" w:hAnsi="Arial" w:cs="Arial"/>
                <w:sz w:val="20"/>
                <w:szCs w:val="20"/>
                <w:lang w:val="sq-AL"/>
              </w:rPr>
              <w:t>MBZHR, komunat dhe komunitetet lokale</w:t>
            </w:r>
          </w:p>
        </w:tc>
        <w:tc>
          <w:tcPr>
            <w:tcW w:w="548" w:type="pct"/>
            <w:gridSpan w:val="3"/>
            <w:vAlign w:val="center"/>
          </w:tcPr>
          <w:p w14:paraId="53862313" w14:textId="56044435" w:rsidR="00B152BF" w:rsidRPr="003E7289" w:rsidRDefault="006624D5" w:rsidP="006624D5">
            <w:pPr>
              <w:spacing w:before="0" w:line="240" w:lineRule="auto"/>
              <w:jc w:val="center"/>
              <w:rPr>
                <w:rFonts w:ascii="Arial" w:eastAsia="Aptos" w:hAnsi="Arial" w:cs="Arial"/>
                <w:color w:val="EE0000"/>
                <w:sz w:val="20"/>
                <w:szCs w:val="20"/>
                <w:highlight w:val="yellow"/>
                <w:lang w:val="sq-AL" w:eastAsia="en-US"/>
              </w:rPr>
            </w:pPr>
            <w:r w:rsidRPr="003E7289">
              <w:rPr>
                <w:rFonts w:ascii="Arial" w:eastAsia="Aptos" w:hAnsi="Arial" w:cs="Arial"/>
                <w:sz w:val="20"/>
                <w:szCs w:val="20"/>
                <w:lang w:val="sq-AL"/>
              </w:rPr>
              <w:t>Rehabilitimi i përfunduar në zonat target</w:t>
            </w:r>
          </w:p>
        </w:tc>
        <w:tc>
          <w:tcPr>
            <w:tcW w:w="453" w:type="pct"/>
            <w:vAlign w:val="center"/>
          </w:tcPr>
          <w:p w14:paraId="5BFC7308" w14:textId="28A2987A" w:rsidR="00B152BF" w:rsidRPr="003E7289" w:rsidRDefault="00BE39C7" w:rsidP="006624D5">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color w:val="000000"/>
                <w:sz w:val="20"/>
                <w:szCs w:val="20"/>
                <w:lang w:val="sq-AL"/>
              </w:rPr>
              <w:t>Strategjia</w:t>
            </w:r>
            <w:r w:rsidR="006624D5" w:rsidRPr="003E7289">
              <w:rPr>
                <w:rFonts w:ascii="Arial" w:eastAsia="Aptos" w:hAnsi="Arial" w:cs="Arial"/>
                <w:color w:val="000000"/>
                <w:sz w:val="20"/>
                <w:szCs w:val="20"/>
                <w:lang w:val="sq-AL"/>
              </w:rPr>
              <w:t xml:space="preserve"> për Bujqësi dhe Zhvillim Rur</w:t>
            </w:r>
            <w:r w:rsidR="006624D5" w:rsidRPr="003E7289">
              <w:rPr>
                <w:rFonts w:ascii="Arial" w:eastAsia="Aptos" w:hAnsi="Arial" w:cs="Arial"/>
                <w:color w:val="000000"/>
                <w:sz w:val="20"/>
                <w:szCs w:val="20"/>
                <w:lang w:val="sq-AL"/>
              </w:rPr>
              <w:lastRenderedPageBreak/>
              <w:t>al (SBZHR) 2022–2028</w:t>
            </w:r>
          </w:p>
        </w:tc>
      </w:tr>
      <w:tr w:rsidR="00691972" w:rsidRPr="003E7289" w14:paraId="45885819" w14:textId="77777777" w:rsidTr="0039004D">
        <w:tc>
          <w:tcPr>
            <w:tcW w:w="327" w:type="pct"/>
            <w:vAlign w:val="center"/>
          </w:tcPr>
          <w:p w14:paraId="6DF2237E" w14:textId="00C053F2"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III.2</w:t>
            </w:r>
            <w:r w:rsidR="00E0225B" w:rsidRPr="003E7289">
              <w:rPr>
                <w:rFonts w:ascii="Arial" w:eastAsia="Aptos" w:hAnsi="Arial" w:cs="Arial"/>
                <w:b/>
                <w:bCs/>
                <w:sz w:val="20"/>
                <w:szCs w:val="20"/>
                <w:lang w:val="sq-AL"/>
              </w:rPr>
              <w:t>8</w:t>
            </w:r>
            <w:r w:rsidRPr="003E7289">
              <w:rPr>
                <w:rFonts w:ascii="Arial" w:eastAsia="Aptos" w:hAnsi="Arial" w:cs="Arial"/>
                <w:b/>
                <w:bCs/>
                <w:sz w:val="20"/>
                <w:szCs w:val="20"/>
                <w:lang w:val="sq-AL"/>
              </w:rPr>
              <w:t>.2</w:t>
            </w:r>
          </w:p>
        </w:tc>
        <w:tc>
          <w:tcPr>
            <w:tcW w:w="681" w:type="pct"/>
            <w:gridSpan w:val="2"/>
            <w:vAlign w:val="center"/>
          </w:tcPr>
          <w:p w14:paraId="7D489587" w14:textId="3AC601A6" w:rsidR="00B152BF" w:rsidRPr="003E7289" w:rsidRDefault="006624D5" w:rsidP="006624D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Zgjerimi i mbulimit me ujitje dhe vendosja e teknologjive efikase</w:t>
            </w:r>
          </w:p>
        </w:tc>
        <w:tc>
          <w:tcPr>
            <w:tcW w:w="581" w:type="pct"/>
            <w:gridSpan w:val="3"/>
            <w:vAlign w:val="center"/>
          </w:tcPr>
          <w:p w14:paraId="649D4684" w14:textId="77777777" w:rsidR="00B152BF" w:rsidRPr="003E7289" w:rsidRDefault="00B152BF" w:rsidP="00B152BF">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2040</w:t>
            </w:r>
          </w:p>
        </w:tc>
        <w:tc>
          <w:tcPr>
            <w:tcW w:w="368" w:type="pct"/>
            <w:gridSpan w:val="2"/>
            <w:vAlign w:val="center"/>
          </w:tcPr>
          <w:p w14:paraId="00A71424" w14:textId="77777777" w:rsidR="00B152BF" w:rsidRPr="003E7289" w:rsidRDefault="00B152BF" w:rsidP="00B152BF">
            <w:pPr>
              <w:spacing w:before="0" w:line="240" w:lineRule="auto"/>
              <w:jc w:val="center"/>
              <w:rPr>
                <w:rFonts w:ascii="Arial" w:eastAsia="Aptos" w:hAnsi="Arial" w:cs="Arial"/>
                <w:sz w:val="20"/>
                <w:szCs w:val="20"/>
                <w:highlight w:val="yellow"/>
                <w:lang w:val="sq-AL" w:eastAsia="en-US"/>
              </w:rPr>
            </w:pPr>
          </w:p>
        </w:tc>
        <w:tc>
          <w:tcPr>
            <w:tcW w:w="724" w:type="pct"/>
            <w:gridSpan w:val="5"/>
            <w:vAlign w:val="center"/>
          </w:tcPr>
          <w:p w14:paraId="24BC68EB" w14:textId="0EE791B4" w:rsidR="00B152BF" w:rsidRPr="003E7289" w:rsidRDefault="00B152BF" w:rsidP="00B152BF">
            <w:pPr>
              <w:spacing w:before="0" w:line="240" w:lineRule="auto"/>
              <w:jc w:val="center"/>
              <w:rPr>
                <w:rFonts w:ascii="Arial" w:eastAsia="Aptos" w:hAnsi="Arial" w:cs="Arial"/>
                <w:sz w:val="20"/>
                <w:szCs w:val="20"/>
                <w:highlight w:val="yellow"/>
                <w:lang w:val="sq-AL" w:eastAsia="en-US"/>
              </w:rPr>
            </w:pPr>
            <w:r w:rsidRPr="003E7289">
              <w:rPr>
                <w:rFonts w:ascii="Arial" w:eastAsia="Aptos" w:hAnsi="Arial" w:cs="Arial"/>
                <w:sz w:val="20"/>
                <w:szCs w:val="20"/>
                <w:lang w:val="sq-AL"/>
              </w:rPr>
              <w:t>3.708.000</w:t>
            </w:r>
            <w:r w:rsidR="005A4DE2" w:rsidRPr="003E7289">
              <w:rPr>
                <w:rFonts w:ascii="Arial" w:eastAsia="Aptos" w:hAnsi="Arial" w:cs="Arial"/>
                <w:sz w:val="20"/>
                <w:szCs w:val="20"/>
                <w:lang w:val="sq-AL"/>
              </w:rPr>
              <w:t xml:space="preserve"> €</w:t>
            </w:r>
          </w:p>
        </w:tc>
        <w:tc>
          <w:tcPr>
            <w:tcW w:w="587" w:type="pct"/>
            <w:gridSpan w:val="2"/>
            <w:vAlign w:val="center"/>
          </w:tcPr>
          <w:p w14:paraId="6B11CFEB" w14:textId="274FC770" w:rsidR="00B152BF" w:rsidRPr="003E7289" w:rsidRDefault="006624D5" w:rsidP="006624D5">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Buxheti Kombëtar, me mbështetje teknike nga TAIEX dhe Donatorë</w:t>
            </w:r>
          </w:p>
        </w:tc>
        <w:tc>
          <w:tcPr>
            <w:tcW w:w="731" w:type="pct"/>
            <w:gridSpan w:val="2"/>
            <w:vAlign w:val="center"/>
          </w:tcPr>
          <w:p w14:paraId="256259D4" w14:textId="670866D6" w:rsidR="00B152BF" w:rsidRPr="003E7289" w:rsidRDefault="006624D5" w:rsidP="006624D5">
            <w:pPr>
              <w:spacing w:before="0" w:line="240" w:lineRule="auto"/>
              <w:jc w:val="center"/>
              <w:rPr>
                <w:rFonts w:ascii="Arial" w:eastAsia="Aptos" w:hAnsi="Arial" w:cs="Arial"/>
                <w:color w:val="EE0000"/>
                <w:sz w:val="20"/>
                <w:szCs w:val="20"/>
                <w:highlight w:val="yellow"/>
                <w:lang w:val="sq-AL" w:eastAsia="en-US"/>
              </w:rPr>
            </w:pPr>
            <w:r w:rsidRPr="003E7289">
              <w:rPr>
                <w:rFonts w:ascii="Arial" w:eastAsia="Aptos" w:hAnsi="Arial" w:cs="Arial"/>
                <w:sz w:val="20"/>
                <w:szCs w:val="20"/>
                <w:lang w:val="sq-AL"/>
              </w:rPr>
              <w:t>MBZHR, komunat dhe komunitetet lokale</w:t>
            </w:r>
          </w:p>
        </w:tc>
        <w:tc>
          <w:tcPr>
            <w:tcW w:w="548" w:type="pct"/>
            <w:gridSpan w:val="3"/>
            <w:vAlign w:val="center"/>
          </w:tcPr>
          <w:p w14:paraId="491CE804" w14:textId="537A738B" w:rsidR="00B152BF" w:rsidRPr="003E7289" w:rsidRDefault="006624D5" w:rsidP="006624D5">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Përfundimi i zgjerimit të mbulimit me ujitje në zonat target</w:t>
            </w:r>
          </w:p>
        </w:tc>
        <w:tc>
          <w:tcPr>
            <w:tcW w:w="453" w:type="pct"/>
            <w:vAlign w:val="center"/>
          </w:tcPr>
          <w:p w14:paraId="74FDBEA9" w14:textId="6D61134C" w:rsidR="00B152BF" w:rsidRPr="003E7289" w:rsidRDefault="00BE39C7" w:rsidP="006624D5">
            <w:pPr>
              <w:spacing w:before="0" w:line="240" w:lineRule="auto"/>
              <w:jc w:val="center"/>
              <w:rPr>
                <w:rFonts w:ascii="Arial" w:eastAsia="Aptos" w:hAnsi="Arial" w:cs="Arial"/>
                <w:color w:val="EE0000"/>
                <w:sz w:val="20"/>
                <w:szCs w:val="20"/>
                <w:highlight w:val="yellow"/>
                <w:lang w:val="sq-AL" w:eastAsia="en-US"/>
              </w:rPr>
            </w:pPr>
            <w:r w:rsidRPr="003E7289">
              <w:rPr>
                <w:rFonts w:ascii="Arial" w:eastAsia="Aptos" w:hAnsi="Arial" w:cs="Arial"/>
                <w:color w:val="000000"/>
                <w:sz w:val="20"/>
                <w:szCs w:val="20"/>
                <w:lang w:val="sq-AL"/>
              </w:rPr>
              <w:t>Strategjia</w:t>
            </w:r>
            <w:r w:rsidR="006624D5" w:rsidRPr="003E7289">
              <w:rPr>
                <w:rFonts w:ascii="Arial" w:eastAsia="Aptos" w:hAnsi="Arial" w:cs="Arial"/>
                <w:color w:val="000000"/>
                <w:sz w:val="20"/>
                <w:szCs w:val="20"/>
                <w:lang w:val="sq-AL"/>
              </w:rPr>
              <w:t xml:space="preserve"> për Bujqësi dhe Zhvillim Rural (SBZHR) 2022–2028</w:t>
            </w:r>
          </w:p>
        </w:tc>
      </w:tr>
      <w:tr w:rsidR="00C63DE6" w:rsidRPr="003E7289" w14:paraId="6941A96C" w14:textId="77777777" w:rsidTr="0039004D">
        <w:tc>
          <w:tcPr>
            <w:tcW w:w="1008" w:type="pct"/>
            <w:gridSpan w:val="3"/>
            <w:shd w:val="clear" w:color="auto" w:fill="C6E7F6"/>
            <w:vAlign w:val="center"/>
          </w:tcPr>
          <w:p w14:paraId="1AA896EB" w14:textId="402E4724" w:rsidR="00C63DE6" w:rsidRPr="003E7289" w:rsidRDefault="00C63DE6" w:rsidP="00C63DE6">
            <w:pPr>
              <w:spacing w:before="0" w:line="240" w:lineRule="auto"/>
              <w:rPr>
                <w:rFonts w:ascii="Arial" w:eastAsia="Aptos" w:hAnsi="Arial" w:cs="Arial"/>
                <w:b/>
                <w:bCs/>
                <w:sz w:val="20"/>
                <w:szCs w:val="20"/>
                <w:lang w:val="sq-AL" w:eastAsia="en-US"/>
              </w:rPr>
            </w:pPr>
            <w:r w:rsidRPr="003E7289">
              <w:rPr>
                <w:rFonts w:ascii="Arial" w:eastAsia="Aptos" w:hAnsi="Arial" w:cs="Arial"/>
                <w:b/>
                <w:bCs/>
                <w:sz w:val="20"/>
                <w:szCs w:val="20"/>
                <w:lang w:val="sq-AL"/>
              </w:rPr>
              <w:t>Buxheti total për Objektivi</w:t>
            </w:r>
            <w:r w:rsidRPr="003E7289">
              <w:rPr>
                <w:rFonts w:ascii="Arial" w:eastAsia="Aptos" w:hAnsi="Arial" w:cs="Arial"/>
                <w:b/>
                <w:bCs/>
                <w:sz w:val="20"/>
                <w:szCs w:val="20"/>
                <w:lang w:val="sq-AL"/>
              </w:rPr>
              <w:lastRenderedPageBreak/>
              <w:t>n specifik III.2</w:t>
            </w:r>
            <w:r w:rsidR="00E0225B" w:rsidRPr="003E7289">
              <w:rPr>
                <w:rFonts w:ascii="Arial" w:eastAsia="Aptos" w:hAnsi="Arial" w:cs="Arial"/>
                <w:b/>
                <w:bCs/>
                <w:sz w:val="20"/>
                <w:szCs w:val="20"/>
                <w:lang w:val="sq-AL"/>
              </w:rPr>
              <w:t>8</w:t>
            </w:r>
            <w:r w:rsidRPr="003E7289">
              <w:rPr>
                <w:rFonts w:ascii="Arial" w:eastAsia="Aptos" w:hAnsi="Arial" w:cs="Arial"/>
                <w:b/>
                <w:bCs/>
                <w:sz w:val="20"/>
                <w:szCs w:val="20"/>
                <w:lang w:val="sq-AL"/>
              </w:rPr>
              <w:t>:</w:t>
            </w:r>
          </w:p>
        </w:tc>
        <w:tc>
          <w:tcPr>
            <w:tcW w:w="3992" w:type="pct"/>
            <w:gridSpan w:val="18"/>
            <w:vAlign w:val="center"/>
          </w:tcPr>
          <w:p w14:paraId="50B2750F" w14:textId="77777777" w:rsidR="00C63DE6" w:rsidRPr="003E7289" w:rsidRDefault="00C63DE6" w:rsidP="00C63DE6">
            <w:pPr>
              <w:spacing w:before="0" w:line="240" w:lineRule="auto"/>
              <w:jc w:val="center"/>
              <w:rPr>
                <w:rFonts w:ascii="Arial" w:eastAsia="Aptos" w:hAnsi="Arial" w:cs="Arial"/>
                <w:color w:val="EE0000"/>
                <w:sz w:val="20"/>
                <w:szCs w:val="20"/>
                <w:highlight w:val="yellow"/>
                <w:lang w:val="sq-AL" w:eastAsia="en-US"/>
              </w:rPr>
            </w:pPr>
            <w:r w:rsidRPr="003E7289">
              <w:rPr>
                <w:rFonts w:ascii="Arial" w:eastAsia="Aptos" w:hAnsi="Arial" w:cs="Arial"/>
                <w:sz w:val="20"/>
                <w:szCs w:val="20"/>
                <w:lang w:val="sq-AL"/>
              </w:rPr>
              <w:lastRenderedPageBreak/>
              <w:t>6.180.000 €</w:t>
            </w:r>
          </w:p>
        </w:tc>
      </w:tr>
      <w:tr w:rsidR="00C63DE6" w:rsidRPr="003E7289" w14:paraId="62345801" w14:textId="77777777" w:rsidTr="0039004D">
        <w:tc>
          <w:tcPr>
            <w:tcW w:w="1008" w:type="pct"/>
            <w:gridSpan w:val="3"/>
            <w:shd w:val="clear" w:color="auto" w:fill="C6E7F6"/>
          </w:tcPr>
          <w:p w14:paraId="170D806F" w14:textId="4626CA06" w:rsidR="00C63DE6" w:rsidRPr="003E7289" w:rsidRDefault="00C63DE6" w:rsidP="00C63DE6">
            <w:pPr>
              <w:spacing w:before="0" w:line="240" w:lineRule="auto"/>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Nga kjo, kapital:</w:t>
            </w:r>
          </w:p>
        </w:tc>
        <w:tc>
          <w:tcPr>
            <w:tcW w:w="3992" w:type="pct"/>
            <w:gridSpan w:val="18"/>
            <w:vAlign w:val="center"/>
          </w:tcPr>
          <w:p w14:paraId="7C04E0E3" w14:textId="2CD8DF4C" w:rsidR="00C63DE6" w:rsidRPr="003E7289" w:rsidRDefault="00C63DE6" w:rsidP="00C63DE6">
            <w:pPr>
              <w:spacing w:before="0" w:line="240" w:lineRule="auto"/>
              <w:jc w:val="center"/>
              <w:rPr>
                <w:rFonts w:ascii="Arial" w:eastAsia="Aptos" w:hAnsi="Arial" w:cs="Arial"/>
                <w:b/>
                <w:bCs/>
                <w:color w:val="EE0000"/>
                <w:sz w:val="20"/>
                <w:szCs w:val="20"/>
                <w:highlight w:val="yellow"/>
                <w:lang w:val="sq-AL" w:eastAsia="en-US"/>
              </w:rPr>
            </w:pPr>
            <w:r w:rsidRPr="003E7289">
              <w:rPr>
                <w:rFonts w:ascii="Arial" w:eastAsia="Aptos" w:hAnsi="Arial" w:cs="Arial"/>
                <w:sz w:val="20"/>
                <w:szCs w:val="20"/>
                <w:lang w:val="sq-AL"/>
              </w:rPr>
              <w:t>6.180.000 €</w:t>
            </w:r>
          </w:p>
        </w:tc>
      </w:tr>
      <w:tr w:rsidR="00C63DE6" w:rsidRPr="003E7289" w14:paraId="5BF5AC74" w14:textId="77777777" w:rsidTr="0039004D">
        <w:tc>
          <w:tcPr>
            <w:tcW w:w="1008" w:type="pct"/>
            <w:gridSpan w:val="3"/>
            <w:shd w:val="clear" w:color="auto" w:fill="C6E7F6"/>
          </w:tcPr>
          <w:p w14:paraId="0D20FBCD" w14:textId="675C68E6" w:rsidR="00C63DE6" w:rsidRPr="003E7289" w:rsidRDefault="00C63DE6" w:rsidP="00C63DE6">
            <w:pPr>
              <w:spacing w:before="0" w:line="240" w:lineRule="auto"/>
              <w:rPr>
                <w:rFonts w:ascii="Arial" w:eastAsia="Aptos" w:hAnsi="Arial" w:cs="Arial"/>
                <w:b/>
                <w:bCs/>
                <w:sz w:val="20"/>
                <w:szCs w:val="20"/>
                <w:lang w:val="sq-AL" w:eastAsia="en-US"/>
              </w:rPr>
            </w:pPr>
            <w:r w:rsidRPr="003E7289">
              <w:rPr>
                <w:rFonts w:ascii="Arial" w:eastAsia="Aptos" w:hAnsi="Arial" w:cs="Arial"/>
                <w:b/>
                <w:bCs/>
                <w:sz w:val="20"/>
                <w:szCs w:val="20"/>
                <w:lang w:val="sq-AL"/>
              </w:rPr>
              <w:t>Nga kjo, shpenzime korrente:</w:t>
            </w:r>
          </w:p>
        </w:tc>
        <w:tc>
          <w:tcPr>
            <w:tcW w:w="3992" w:type="pct"/>
            <w:gridSpan w:val="18"/>
            <w:vAlign w:val="center"/>
          </w:tcPr>
          <w:p w14:paraId="4568AE5B" w14:textId="5BE56159" w:rsidR="00C63DE6" w:rsidRPr="003E7289" w:rsidRDefault="00C63DE6" w:rsidP="00C63DE6">
            <w:pPr>
              <w:spacing w:before="0" w:line="240" w:lineRule="auto"/>
              <w:jc w:val="center"/>
              <w:rPr>
                <w:rFonts w:ascii="Arial" w:eastAsia="Aptos" w:hAnsi="Arial" w:cs="Arial"/>
                <w:color w:val="EE0000"/>
                <w:sz w:val="20"/>
                <w:szCs w:val="20"/>
                <w:highlight w:val="yellow"/>
                <w:lang w:val="sq-AL" w:eastAsia="en-US"/>
              </w:rPr>
            </w:pPr>
            <w:r w:rsidRPr="003E7289">
              <w:rPr>
                <w:rFonts w:ascii="Arial" w:eastAsia="Aptos" w:hAnsi="Arial" w:cs="Arial"/>
                <w:color w:val="000000" w:themeColor="text1"/>
                <w:sz w:val="20"/>
                <w:szCs w:val="20"/>
                <w:lang w:val="sq-AL"/>
              </w:rPr>
              <w:t>-</w:t>
            </w:r>
          </w:p>
        </w:tc>
      </w:tr>
      <w:tr w:rsidR="00B152BF" w:rsidRPr="003E7289" w14:paraId="35AC78BB" w14:textId="77777777" w:rsidTr="0039004D">
        <w:tc>
          <w:tcPr>
            <w:tcW w:w="327" w:type="pct"/>
            <w:shd w:val="clear" w:color="auto" w:fill="84CCEC"/>
          </w:tcPr>
          <w:p w14:paraId="7AE5BE58" w14:textId="4A6C111C"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III.2</w:t>
            </w:r>
            <w:r w:rsidR="00E0225B" w:rsidRPr="003E7289">
              <w:rPr>
                <w:rFonts w:ascii="Arial" w:eastAsia="Aptos" w:hAnsi="Arial" w:cs="Arial"/>
                <w:b/>
                <w:bCs/>
                <w:sz w:val="20"/>
                <w:szCs w:val="20"/>
                <w:lang w:val="sq-AL"/>
              </w:rPr>
              <w:t>9</w:t>
            </w:r>
          </w:p>
        </w:tc>
        <w:tc>
          <w:tcPr>
            <w:tcW w:w="4673" w:type="pct"/>
            <w:gridSpan w:val="20"/>
            <w:shd w:val="clear" w:color="auto" w:fill="84CCEC"/>
          </w:tcPr>
          <w:p w14:paraId="5AC43EDD" w14:textId="59BBC71C" w:rsidR="00B152BF" w:rsidRPr="003E7289" w:rsidRDefault="006624D5" w:rsidP="00B152BF">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Rritja e zbatimit të praktikave bujqësore të përshtatshme për klimën (p.sh. varietete të kulturave bujqësore reziliente, metoda agro-ekologjike)</w:t>
            </w:r>
          </w:p>
        </w:tc>
      </w:tr>
      <w:tr w:rsidR="00702B19" w:rsidRPr="003E7289" w14:paraId="78EF4E3F" w14:textId="77777777" w:rsidTr="0039004D">
        <w:tc>
          <w:tcPr>
            <w:tcW w:w="1012" w:type="pct"/>
            <w:gridSpan w:val="4"/>
            <w:vAlign w:val="center"/>
          </w:tcPr>
          <w:p w14:paraId="34A06C9C" w14:textId="3DA629E9" w:rsidR="006624D5" w:rsidRPr="003E7289" w:rsidRDefault="006624D5" w:rsidP="006624D5">
            <w:pPr>
              <w:spacing w:before="0" w:line="240" w:lineRule="auto"/>
              <w:jc w:val="center"/>
              <w:rPr>
                <w:rFonts w:ascii="Arial" w:eastAsia="Aptos" w:hAnsi="Arial" w:cs="Arial"/>
                <w:b/>
                <w:bCs/>
                <w:sz w:val="20"/>
                <w:szCs w:val="20"/>
                <w:lang w:val="sq-AL" w:eastAsia="en-US"/>
              </w:rPr>
            </w:pPr>
            <w:r w:rsidRPr="003E7289">
              <w:rPr>
                <w:rFonts w:ascii="Arial" w:eastAsia="Myriad Pro" w:hAnsi="Arial" w:cs="Arial"/>
                <w:b/>
                <w:bCs/>
                <w:sz w:val="20"/>
                <w:szCs w:val="20"/>
                <w:lang w:val="sq-AL"/>
              </w:rPr>
              <w:t>Përqindja e fermerëve që miratojnë të paktën një praktikë të njohur të zgjuar ndaj klimës (p.sh., të korra rezistente ndaj thatësirës, ​​bujqësi konservuese, menaxhim i integruar i dëmtuesve)</w:t>
            </w:r>
          </w:p>
        </w:tc>
        <w:tc>
          <w:tcPr>
            <w:tcW w:w="576" w:type="pct"/>
            <w:gridSpan w:val="2"/>
            <w:vAlign w:val="center"/>
          </w:tcPr>
          <w:p w14:paraId="09736BE0" w14:textId="3E5AFF90" w:rsidR="006624D5" w:rsidRPr="003E7289" w:rsidRDefault="006624D5" w:rsidP="006624D5">
            <w:pPr>
              <w:spacing w:before="0" w:line="240" w:lineRule="auto"/>
              <w:rPr>
                <w:rFonts w:ascii="Arial" w:eastAsia="Aptos" w:hAnsi="Arial" w:cs="Arial"/>
                <w:b/>
                <w:bCs/>
                <w:sz w:val="20"/>
                <w:szCs w:val="20"/>
                <w:lang w:val="sq-AL" w:eastAsia="en-US"/>
              </w:rPr>
            </w:pPr>
            <w:r w:rsidRPr="003E7289">
              <w:rPr>
                <w:rFonts w:ascii="Arial" w:eastAsia="Myriad Pro" w:hAnsi="Arial" w:cs="Arial"/>
                <w:sz w:val="20"/>
                <w:szCs w:val="20"/>
                <w:lang w:val="sq-AL"/>
              </w:rPr>
              <w:t>Përvetësim i kufizuar (&lt;10%). Një bazë e saktë bazë kërkon anketa.</w:t>
            </w:r>
          </w:p>
        </w:tc>
        <w:tc>
          <w:tcPr>
            <w:tcW w:w="1092" w:type="pct"/>
            <w:gridSpan w:val="7"/>
            <w:vAlign w:val="center"/>
          </w:tcPr>
          <w:p w14:paraId="2BFE23A1" w14:textId="76FCDE14" w:rsidR="006624D5" w:rsidRPr="003E7289" w:rsidRDefault="006624D5" w:rsidP="006624D5">
            <w:pPr>
              <w:spacing w:before="0" w:line="240" w:lineRule="auto"/>
              <w:rPr>
                <w:rFonts w:ascii="Arial" w:eastAsia="Aptos" w:hAnsi="Arial" w:cs="Arial"/>
                <w:b/>
                <w:bCs/>
                <w:sz w:val="20"/>
                <w:szCs w:val="20"/>
                <w:lang w:val="sq-AL" w:eastAsia="en-US"/>
              </w:rPr>
            </w:pPr>
            <w:r w:rsidRPr="003E7289">
              <w:rPr>
                <w:rFonts w:ascii="Arial" w:eastAsia="Myriad Pro" w:hAnsi="Arial" w:cs="Arial"/>
                <w:sz w:val="20"/>
                <w:szCs w:val="20"/>
                <w:lang w:val="sq-AL"/>
              </w:rPr>
              <w:t>Përvetësim 25% i të paktën një praktike të zgjuar ndaj klimës në të gjitha rajonet pilot.</w:t>
            </w:r>
          </w:p>
        </w:tc>
        <w:tc>
          <w:tcPr>
            <w:tcW w:w="587" w:type="pct"/>
            <w:gridSpan w:val="2"/>
            <w:vAlign w:val="center"/>
          </w:tcPr>
          <w:p w14:paraId="4FA99441" w14:textId="0E3E7E16" w:rsidR="006624D5" w:rsidRPr="003E7289" w:rsidRDefault="006624D5" w:rsidP="006624D5">
            <w:pPr>
              <w:spacing w:before="0" w:line="240" w:lineRule="auto"/>
              <w:rPr>
                <w:rFonts w:ascii="Arial" w:eastAsia="Aptos" w:hAnsi="Arial" w:cs="Arial"/>
                <w:b/>
                <w:bCs/>
                <w:sz w:val="20"/>
                <w:szCs w:val="20"/>
                <w:lang w:val="sq-AL" w:eastAsia="en-US"/>
              </w:rPr>
            </w:pPr>
            <w:r w:rsidRPr="003E7289">
              <w:rPr>
                <w:rFonts w:ascii="Arial" w:eastAsia="Myriad Pro" w:hAnsi="Arial" w:cs="Arial"/>
                <w:sz w:val="20"/>
                <w:szCs w:val="20"/>
                <w:lang w:val="sq-AL"/>
              </w:rPr>
              <w:t>Përvetësim 50% i praktikave të zgjuara ndaj klimës në nivel kombëtar; mbështetje e fortë këshillimore.</w:t>
            </w:r>
          </w:p>
        </w:tc>
        <w:tc>
          <w:tcPr>
            <w:tcW w:w="1732" w:type="pct"/>
            <w:gridSpan w:val="6"/>
            <w:vAlign w:val="center"/>
          </w:tcPr>
          <w:p w14:paraId="37A9675E" w14:textId="239D413E" w:rsidR="006624D5" w:rsidRPr="003E7289" w:rsidRDefault="006624D5" w:rsidP="006624D5">
            <w:pPr>
              <w:spacing w:before="0" w:line="240" w:lineRule="auto"/>
              <w:rPr>
                <w:rFonts w:ascii="Arial" w:eastAsia="Aptos" w:hAnsi="Arial" w:cs="Arial"/>
                <w:sz w:val="20"/>
                <w:szCs w:val="20"/>
                <w:lang w:val="sq-AL" w:eastAsia="en-US"/>
              </w:rPr>
            </w:pPr>
            <w:r w:rsidRPr="003E7289">
              <w:rPr>
                <w:rFonts w:ascii="Arial" w:eastAsia="Myriad Pro" w:hAnsi="Arial" w:cs="Arial"/>
                <w:sz w:val="20"/>
                <w:szCs w:val="20"/>
                <w:lang w:val="sq-AL"/>
              </w:rPr>
              <w:t>Përvetësim mbi 90%; bujqësia e zgjuar ndaj klimës është praktikë standarde në të gjithë Kosovën.</w:t>
            </w:r>
          </w:p>
        </w:tc>
      </w:tr>
      <w:tr w:rsidR="00691972" w:rsidRPr="003E7289" w14:paraId="04AD3165" w14:textId="77777777" w:rsidTr="0039004D">
        <w:trPr>
          <w:trHeight w:val="120"/>
        </w:trPr>
        <w:tc>
          <w:tcPr>
            <w:tcW w:w="327" w:type="pct"/>
            <w:vMerge w:val="restart"/>
            <w:shd w:val="clear" w:color="auto" w:fill="C6E7F6"/>
            <w:vAlign w:val="center"/>
          </w:tcPr>
          <w:p w14:paraId="0F99C392" w14:textId="1022E309" w:rsidR="000D1635" w:rsidRPr="003E7289" w:rsidRDefault="000D1635" w:rsidP="000D1635">
            <w:pPr>
              <w:spacing w:before="0" w:line="240" w:lineRule="auto"/>
              <w:jc w:val="center"/>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t>Nr.</w:t>
            </w:r>
          </w:p>
        </w:tc>
        <w:tc>
          <w:tcPr>
            <w:tcW w:w="686" w:type="pct"/>
            <w:gridSpan w:val="3"/>
            <w:vMerge w:val="restart"/>
            <w:shd w:val="clear" w:color="auto" w:fill="C6E7F6"/>
            <w:vAlign w:val="center"/>
          </w:tcPr>
          <w:p w14:paraId="18F0751C" w14:textId="5031FA9C" w:rsidR="000D1635" w:rsidRPr="003E7289" w:rsidRDefault="000D1635" w:rsidP="000D1635">
            <w:pPr>
              <w:spacing w:before="0" w:line="240" w:lineRule="auto"/>
              <w:jc w:val="center"/>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t>Veprimi</w:t>
            </w:r>
          </w:p>
        </w:tc>
        <w:tc>
          <w:tcPr>
            <w:tcW w:w="576" w:type="pct"/>
            <w:gridSpan w:val="2"/>
            <w:vMerge w:val="restart"/>
            <w:shd w:val="clear" w:color="auto" w:fill="C6E7F6"/>
            <w:vAlign w:val="center"/>
          </w:tcPr>
          <w:p w14:paraId="5BC96812" w14:textId="39A69B6B"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Afati I fundit</w:t>
            </w:r>
          </w:p>
        </w:tc>
        <w:tc>
          <w:tcPr>
            <w:tcW w:w="1092" w:type="pct"/>
            <w:gridSpan w:val="7"/>
            <w:shd w:val="clear" w:color="auto" w:fill="C6E7F6"/>
            <w:vAlign w:val="center"/>
          </w:tcPr>
          <w:p w14:paraId="58AA5D85" w14:textId="27EF5F1A"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Buxheti</w:t>
            </w:r>
          </w:p>
        </w:tc>
        <w:tc>
          <w:tcPr>
            <w:tcW w:w="587" w:type="pct"/>
            <w:gridSpan w:val="2"/>
            <w:vMerge w:val="restart"/>
            <w:shd w:val="clear" w:color="auto" w:fill="C6E7F6"/>
            <w:vAlign w:val="center"/>
          </w:tcPr>
          <w:p w14:paraId="1AD28F23" w14:textId="5D5D2D13"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Burimi i financimit</w:t>
            </w:r>
          </w:p>
        </w:tc>
        <w:tc>
          <w:tcPr>
            <w:tcW w:w="731" w:type="pct"/>
            <w:gridSpan w:val="2"/>
            <w:vMerge w:val="restart"/>
            <w:shd w:val="clear" w:color="auto" w:fill="C6E7F6"/>
            <w:vAlign w:val="center"/>
          </w:tcPr>
          <w:p w14:paraId="1AC9E0B3" w14:textId="73142261"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Institucionet përgjegjëse dhe partnere</w:t>
            </w:r>
          </w:p>
        </w:tc>
        <w:tc>
          <w:tcPr>
            <w:tcW w:w="548" w:type="pct"/>
            <w:gridSpan w:val="3"/>
            <w:vMerge w:val="restart"/>
            <w:shd w:val="clear" w:color="auto" w:fill="C6E7F6"/>
            <w:vAlign w:val="center"/>
          </w:tcPr>
          <w:p w14:paraId="4DBDE23B" w14:textId="1C862408"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Rezultati i pritur</w:t>
            </w:r>
          </w:p>
        </w:tc>
        <w:tc>
          <w:tcPr>
            <w:tcW w:w="453" w:type="pct"/>
            <w:vMerge w:val="restart"/>
            <w:shd w:val="clear" w:color="auto" w:fill="C6E7F6"/>
            <w:vAlign w:val="center"/>
          </w:tcPr>
          <w:p w14:paraId="089CDBE9" w14:textId="48AB395A"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Dokum</w:t>
            </w:r>
            <w:r w:rsidRPr="003E7289">
              <w:rPr>
                <w:rFonts w:ascii="Arial" w:eastAsia="Aptos" w:hAnsi="Arial" w:cs="Arial"/>
                <w:b/>
                <w:bCs/>
                <w:sz w:val="20"/>
                <w:szCs w:val="20"/>
                <w:lang w:val="sq-AL"/>
              </w:rPr>
              <w:lastRenderedPageBreak/>
              <w:t>enti strategjik referues</w:t>
            </w:r>
          </w:p>
        </w:tc>
      </w:tr>
      <w:tr w:rsidR="00691972" w:rsidRPr="003E7289" w14:paraId="1EB9704F" w14:textId="77777777" w:rsidTr="0039004D">
        <w:trPr>
          <w:trHeight w:val="120"/>
        </w:trPr>
        <w:tc>
          <w:tcPr>
            <w:tcW w:w="327" w:type="pct"/>
            <w:vMerge/>
            <w:vAlign w:val="center"/>
          </w:tcPr>
          <w:p w14:paraId="034CA891" w14:textId="77777777" w:rsidR="00B152BF" w:rsidRPr="003E7289" w:rsidRDefault="00B152BF" w:rsidP="00B152BF">
            <w:pPr>
              <w:spacing w:before="0" w:line="240" w:lineRule="auto"/>
              <w:rPr>
                <w:rFonts w:ascii="Arial" w:eastAsia="Aptos" w:hAnsi="Arial" w:cs="Arial"/>
                <w:b/>
                <w:bCs/>
                <w:i/>
                <w:iCs/>
                <w:sz w:val="20"/>
                <w:szCs w:val="20"/>
                <w:highlight w:val="green"/>
                <w:lang w:val="sq-AL" w:eastAsia="en-US"/>
              </w:rPr>
            </w:pPr>
          </w:p>
        </w:tc>
        <w:tc>
          <w:tcPr>
            <w:tcW w:w="686" w:type="pct"/>
            <w:gridSpan w:val="3"/>
            <w:vMerge/>
            <w:vAlign w:val="center"/>
          </w:tcPr>
          <w:p w14:paraId="2EEB70FC" w14:textId="77777777" w:rsidR="00B152BF" w:rsidRPr="003E7289" w:rsidRDefault="00B152BF" w:rsidP="00B152BF">
            <w:pPr>
              <w:spacing w:before="0" w:line="240" w:lineRule="auto"/>
              <w:rPr>
                <w:rFonts w:ascii="Arial" w:eastAsia="Aptos" w:hAnsi="Arial" w:cs="Arial"/>
                <w:b/>
                <w:bCs/>
                <w:i/>
                <w:iCs/>
                <w:sz w:val="20"/>
                <w:szCs w:val="20"/>
                <w:highlight w:val="green"/>
                <w:lang w:val="sq-AL" w:eastAsia="en-US"/>
              </w:rPr>
            </w:pPr>
          </w:p>
        </w:tc>
        <w:tc>
          <w:tcPr>
            <w:tcW w:w="576" w:type="pct"/>
            <w:gridSpan w:val="2"/>
            <w:vMerge/>
          </w:tcPr>
          <w:p w14:paraId="195A30C5"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368" w:type="pct"/>
            <w:gridSpan w:val="2"/>
            <w:shd w:val="clear" w:color="auto" w:fill="C6E7F6"/>
            <w:vAlign w:val="center"/>
          </w:tcPr>
          <w:p w14:paraId="340DA90B"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2026</w:t>
            </w:r>
          </w:p>
        </w:tc>
        <w:tc>
          <w:tcPr>
            <w:tcW w:w="355" w:type="pct"/>
            <w:gridSpan w:val="2"/>
            <w:shd w:val="clear" w:color="auto" w:fill="C6E7F6"/>
            <w:vAlign w:val="center"/>
          </w:tcPr>
          <w:p w14:paraId="0B1ADCAC"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2027</w:t>
            </w:r>
          </w:p>
        </w:tc>
        <w:tc>
          <w:tcPr>
            <w:tcW w:w="369" w:type="pct"/>
            <w:gridSpan w:val="3"/>
            <w:shd w:val="clear" w:color="auto" w:fill="C6E7F6"/>
            <w:vAlign w:val="center"/>
          </w:tcPr>
          <w:p w14:paraId="20906583"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2028</w:t>
            </w:r>
          </w:p>
        </w:tc>
        <w:tc>
          <w:tcPr>
            <w:tcW w:w="587" w:type="pct"/>
            <w:gridSpan w:val="2"/>
            <w:vMerge/>
          </w:tcPr>
          <w:p w14:paraId="5E9320D0"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731" w:type="pct"/>
            <w:gridSpan w:val="2"/>
            <w:vMerge/>
          </w:tcPr>
          <w:p w14:paraId="4D5EBDAE"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548" w:type="pct"/>
            <w:gridSpan w:val="3"/>
            <w:vMerge/>
          </w:tcPr>
          <w:p w14:paraId="469F8830"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453" w:type="pct"/>
            <w:vMerge/>
          </w:tcPr>
          <w:p w14:paraId="71387A51"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r>
      <w:tr w:rsidR="00691972" w:rsidRPr="003E7289" w14:paraId="4B28693E" w14:textId="77777777" w:rsidTr="0039004D">
        <w:trPr>
          <w:trHeight w:val="120"/>
        </w:trPr>
        <w:tc>
          <w:tcPr>
            <w:tcW w:w="327" w:type="pct"/>
            <w:vAlign w:val="center"/>
          </w:tcPr>
          <w:p w14:paraId="4B165C58" w14:textId="2ED941A1" w:rsidR="00CC340D" w:rsidRPr="003E7289" w:rsidRDefault="00CC340D" w:rsidP="00CC340D">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III.2</w:t>
            </w:r>
            <w:r w:rsidR="00E0225B" w:rsidRPr="003E7289">
              <w:rPr>
                <w:rFonts w:ascii="Arial" w:eastAsia="Aptos" w:hAnsi="Arial" w:cs="Arial"/>
                <w:b/>
                <w:bCs/>
                <w:sz w:val="20"/>
                <w:szCs w:val="20"/>
                <w:lang w:val="sq-AL"/>
              </w:rPr>
              <w:t>9</w:t>
            </w:r>
            <w:r w:rsidRPr="003E7289">
              <w:rPr>
                <w:rFonts w:ascii="Arial" w:eastAsia="Aptos" w:hAnsi="Arial" w:cs="Arial"/>
                <w:b/>
                <w:bCs/>
                <w:sz w:val="20"/>
                <w:szCs w:val="20"/>
                <w:lang w:val="sq-AL"/>
              </w:rPr>
              <w:t>.1</w:t>
            </w:r>
          </w:p>
        </w:tc>
        <w:tc>
          <w:tcPr>
            <w:tcW w:w="686" w:type="pct"/>
            <w:gridSpan w:val="3"/>
            <w:vAlign w:val="center"/>
          </w:tcPr>
          <w:p w14:paraId="33E1670C" w14:textId="14B01CD5" w:rsidR="00CC340D" w:rsidRPr="003E7289" w:rsidRDefault="006624D5" w:rsidP="006624D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Përdorimi i varieteteve të kulturave bujqësore dhe drunjve të qëndrueshëm ndaj thatësirës dhe nxehtësisë</w:t>
            </w:r>
          </w:p>
        </w:tc>
        <w:tc>
          <w:tcPr>
            <w:tcW w:w="576" w:type="pct"/>
            <w:gridSpan w:val="2"/>
            <w:vAlign w:val="center"/>
          </w:tcPr>
          <w:p w14:paraId="693B1159" w14:textId="77777777"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2030</w:t>
            </w:r>
          </w:p>
        </w:tc>
        <w:tc>
          <w:tcPr>
            <w:tcW w:w="368" w:type="pct"/>
            <w:gridSpan w:val="2"/>
            <w:vAlign w:val="center"/>
          </w:tcPr>
          <w:p w14:paraId="1A1562F1" w14:textId="72063E08"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180.000 €</w:t>
            </w:r>
          </w:p>
        </w:tc>
        <w:tc>
          <w:tcPr>
            <w:tcW w:w="355" w:type="pct"/>
            <w:gridSpan w:val="2"/>
            <w:vAlign w:val="center"/>
          </w:tcPr>
          <w:p w14:paraId="418188B3" w14:textId="77777777" w:rsidR="00CC340D" w:rsidRPr="003E7289" w:rsidRDefault="00CC340D" w:rsidP="00CC340D">
            <w:pPr>
              <w:spacing w:before="0" w:line="240" w:lineRule="auto"/>
              <w:jc w:val="center"/>
              <w:rPr>
                <w:rFonts w:ascii="Arial" w:eastAsia="Aptos" w:hAnsi="Arial" w:cs="Arial"/>
                <w:b/>
                <w:bCs/>
                <w:sz w:val="20"/>
                <w:szCs w:val="20"/>
                <w:lang w:val="sq-AL" w:eastAsia="en-US"/>
              </w:rPr>
            </w:pPr>
          </w:p>
        </w:tc>
        <w:tc>
          <w:tcPr>
            <w:tcW w:w="369" w:type="pct"/>
            <w:gridSpan w:val="3"/>
            <w:vAlign w:val="center"/>
          </w:tcPr>
          <w:p w14:paraId="21660A01" w14:textId="77777777" w:rsidR="00CC340D" w:rsidRPr="003E7289" w:rsidRDefault="00CC340D" w:rsidP="00CC340D">
            <w:pPr>
              <w:spacing w:before="0" w:line="240" w:lineRule="auto"/>
              <w:jc w:val="center"/>
              <w:rPr>
                <w:rFonts w:ascii="Arial" w:eastAsia="Aptos" w:hAnsi="Arial" w:cs="Arial"/>
                <w:b/>
                <w:bCs/>
                <w:sz w:val="20"/>
                <w:szCs w:val="20"/>
                <w:lang w:val="sq-AL" w:eastAsia="en-US"/>
              </w:rPr>
            </w:pPr>
          </w:p>
        </w:tc>
        <w:tc>
          <w:tcPr>
            <w:tcW w:w="587" w:type="pct"/>
            <w:gridSpan w:val="2"/>
            <w:vAlign w:val="center"/>
          </w:tcPr>
          <w:p w14:paraId="629A8D12" w14:textId="10695F98" w:rsidR="00CC340D" w:rsidRPr="003E7289" w:rsidRDefault="006624D5" w:rsidP="006624D5">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Buxheti Kombëtar, Donatorë</w:t>
            </w:r>
          </w:p>
        </w:tc>
        <w:tc>
          <w:tcPr>
            <w:tcW w:w="731" w:type="pct"/>
            <w:gridSpan w:val="2"/>
            <w:vAlign w:val="center"/>
          </w:tcPr>
          <w:p w14:paraId="5E22DB08" w14:textId="60B65977" w:rsidR="00CC340D" w:rsidRPr="003E7289" w:rsidRDefault="006624D5" w:rsidP="006624D5">
            <w:pPr>
              <w:spacing w:before="0" w:line="240" w:lineRule="auto"/>
              <w:jc w:val="center"/>
              <w:rPr>
                <w:rFonts w:ascii="Arial" w:eastAsia="Aptos" w:hAnsi="Arial" w:cs="Arial"/>
                <w:b/>
                <w:bCs/>
                <w:sz w:val="20"/>
                <w:szCs w:val="20"/>
                <w:lang w:val="sq-AL" w:eastAsia="en-US"/>
              </w:rPr>
            </w:pPr>
            <w:r w:rsidRPr="003E7289">
              <w:rPr>
                <w:rFonts w:ascii="Arial" w:eastAsia="Aptos" w:hAnsi="Arial" w:cs="Arial"/>
                <w:sz w:val="20"/>
                <w:szCs w:val="20"/>
                <w:lang w:val="sq-AL"/>
              </w:rPr>
              <w:t>MBZHR, komunat dhe komunitetet lokale</w:t>
            </w:r>
          </w:p>
        </w:tc>
        <w:tc>
          <w:tcPr>
            <w:tcW w:w="548" w:type="pct"/>
            <w:gridSpan w:val="3"/>
            <w:vAlign w:val="center"/>
          </w:tcPr>
          <w:p w14:paraId="7A39A688" w14:textId="1F47D6C5" w:rsidR="00CC340D" w:rsidRPr="003E7289" w:rsidRDefault="006624D5" w:rsidP="006624D5">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Të paktën 50% e fermerëve target kanë adoptuar varietete rezistente ndaj thatësirës dhe nxehtësisë</w:t>
            </w:r>
          </w:p>
        </w:tc>
        <w:tc>
          <w:tcPr>
            <w:tcW w:w="453" w:type="pct"/>
            <w:vAlign w:val="center"/>
          </w:tcPr>
          <w:p w14:paraId="10B6AD70" w14:textId="5FB78AE3" w:rsidR="00CC340D" w:rsidRPr="003E7289" w:rsidRDefault="00BE39C7" w:rsidP="006624D5">
            <w:pPr>
              <w:spacing w:before="0" w:line="240" w:lineRule="auto"/>
              <w:jc w:val="center"/>
              <w:rPr>
                <w:rFonts w:ascii="Arial" w:eastAsia="Aptos" w:hAnsi="Arial" w:cs="Arial"/>
                <w:b/>
                <w:bCs/>
                <w:sz w:val="20"/>
                <w:szCs w:val="20"/>
                <w:lang w:val="sq-AL" w:eastAsia="en-US"/>
              </w:rPr>
            </w:pPr>
            <w:r w:rsidRPr="003E7289">
              <w:rPr>
                <w:rFonts w:ascii="Arial" w:eastAsia="Aptos" w:hAnsi="Arial" w:cs="Arial"/>
                <w:color w:val="000000"/>
                <w:sz w:val="20"/>
                <w:szCs w:val="20"/>
                <w:lang w:val="sq-AL"/>
              </w:rPr>
              <w:t>Strategjia</w:t>
            </w:r>
            <w:r w:rsidR="006624D5" w:rsidRPr="003E7289">
              <w:rPr>
                <w:rFonts w:ascii="Arial" w:eastAsia="Aptos" w:hAnsi="Arial" w:cs="Arial"/>
                <w:color w:val="000000"/>
                <w:sz w:val="20"/>
                <w:szCs w:val="20"/>
                <w:lang w:val="sq-AL"/>
              </w:rPr>
              <w:t xml:space="preserve"> për Bujqësi dhe Zhvillim Rural (SBZHR) 2022–2028</w:t>
            </w:r>
          </w:p>
        </w:tc>
      </w:tr>
      <w:tr w:rsidR="00691972" w:rsidRPr="003E7289" w14:paraId="7B8E6179" w14:textId="77777777" w:rsidTr="0039004D">
        <w:trPr>
          <w:trHeight w:val="120"/>
        </w:trPr>
        <w:tc>
          <w:tcPr>
            <w:tcW w:w="327" w:type="pct"/>
            <w:vAlign w:val="center"/>
          </w:tcPr>
          <w:p w14:paraId="685A5B45" w14:textId="1F5818A8" w:rsidR="00CC340D" w:rsidRPr="003E7289" w:rsidRDefault="00CC340D" w:rsidP="00CC340D">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III.2</w:t>
            </w:r>
            <w:r w:rsidR="00E0225B" w:rsidRPr="003E7289">
              <w:rPr>
                <w:rFonts w:ascii="Arial" w:eastAsia="Aptos" w:hAnsi="Arial" w:cs="Arial"/>
                <w:b/>
                <w:bCs/>
                <w:sz w:val="20"/>
                <w:szCs w:val="20"/>
                <w:lang w:val="sq-AL"/>
              </w:rPr>
              <w:lastRenderedPageBreak/>
              <w:t>9</w:t>
            </w:r>
            <w:r w:rsidRPr="003E7289">
              <w:rPr>
                <w:rFonts w:ascii="Arial" w:eastAsia="Aptos" w:hAnsi="Arial" w:cs="Arial"/>
                <w:b/>
                <w:bCs/>
                <w:sz w:val="20"/>
                <w:szCs w:val="20"/>
                <w:lang w:val="sq-AL"/>
              </w:rPr>
              <w:t>.2</w:t>
            </w:r>
          </w:p>
        </w:tc>
        <w:tc>
          <w:tcPr>
            <w:tcW w:w="686" w:type="pct"/>
            <w:gridSpan w:val="3"/>
            <w:vAlign w:val="center"/>
          </w:tcPr>
          <w:p w14:paraId="6D6C478C" w14:textId="4A6EE940" w:rsidR="00CC340D" w:rsidRPr="003E7289" w:rsidRDefault="006624D5" w:rsidP="006624D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Diversifikimi i rotacio</w:t>
            </w:r>
            <w:r w:rsidRPr="003E7289">
              <w:rPr>
                <w:rFonts w:ascii="Arial" w:eastAsia="Aptos" w:hAnsi="Arial" w:cs="Arial"/>
                <w:b/>
                <w:bCs/>
                <w:sz w:val="20"/>
                <w:szCs w:val="20"/>
                <w:lang w:val="sq-AL"/>
              </w:rPr>
              <w:lastRenderedPageBreak/>
              <w:t>neve të kulturave</w:t>
            </w:r>
          </w:p>
        </w:tc>
        <w:tc>
          <w:tcPr>
            <w:tcW w:w="576" w:type="pct"/>
            <w:gridSpan w:val="2"/>
            <w:vAlign w:val="center"/>
          </w:tcPr>
          <w:p w14:paraId="6E01ABC2" w14:textId="77777777"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2030</w:t>
            </w:r>
          </w:p>
        </w:tc>
        <w:tc>
          <w:tcPr>
            <w:tcW w:w="368" w:type="pct"/>
            <w:gridSpan w:val="2"/>
            <w:vAlign w:val="center"/>
          </w:tcPr>
          <w:p w14:paraId="512732E1" w14:textId="6C815B0F"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100.000 €</w:t>
            </w:r>
          </w:p>
        </w:tc>
        <w:tc>
          <w:tcPr>
            <w:tcW w:w="355" w:type="pct"/>
            <w:gridSpan w:val="2"/>
            <w:vAlign w:val="center"/>
          </w:tcPr>
          <w:p w14:paraId="67D7AFE3" w14:textId="77777777" w:rsidR="00CC340D" w:rsidRPr="003E7289" w:rsidRDefault="00CC340D" w:rsidP="00CC340D">
            <w:pPr>
              <w:spacing w:before="0" w:line="240" w:lineRule="auto"/>
              <w:jc w:val="center"/>
              <w:rPr>
                <w:rFonts w:ascii="Arial" w:eastAsia="Aptos" w:hAnsi="Arial" w:cs="Arial"/>
                <w:b/>
                <w:bCs/>
                <w:sz w:val="20"/>
                <w:szCs w:val="20"/>
                <w:lang w:val="sq-AL" w:eastAsia="en-US"/>
              </w:rPr>
            </w:pPr>
          </w:p>
        </w:tc>
        <w:tc>
          <w:tcPr>
            <w:tcW w:w="369" w:type="pct"/>
            <w:gridSpan w:val="3"/>
            <w:vAlign w:val="center"/>
          </w:tcPr>
          <w:p w14:paraId="5883829C" w14:textId="77777777" w:rsidR="00CC340D" w:rsidRPr="003E7289" w:rsidRDefault="00CC340D" w:rsidP="00CC340D">
            <w:pPr>
              <w:spacing w:before="0" w:line="240" w:lineRule="auto"/>
              <w:jc w:val="center"/>
              <w:rPr>
                <w:rFonts w:ascii="Arial" w:eastAsia="Aptos" w:hAnsi="Arial" w:cs="Arial"/>
                <w:b/>
                <w:bCs/>
                <w:sz w:val="20"/>
                <w:szCs w:val="20"/>
                <w:lang w:val="sq-AL" w:eastAsia="en-US"/>
              </w:rPr>
            </w:pPr>
          </w:p>
        </w:tc>
        <w:tc>
          <w:tcPr>
            <w:tcW w:w="587" w:type="pct"/>
            <w:gridSpan w:val="2"/>
            <w:vAlign w:val="center"/>
          </w:tcPr>
          <w:p w14:paraId="47F3DCFF" w14:textId="77777777" w:rsidR="00CC340D" w:rsidRPr="003E7289" w:rsidRDefault="00CC340D" w:rsidP="00026811">
            <w:pPr>
              <w:spacing w:before="0" w:line="240" w:lineRule="auto"/>
              <w:jc w:val="center"/>
              <w:rPr>
                <w:rFonts w:ascii="Arial" w:eastAsia="Aptos" w:hAnsi="Arial" w:cs="Arial"/>
                <w:sz w:val="20"/>
                <w:szCs w:val="20"/>
                <w:lang w:val="sq-AL" w:eastAsia="en-US"/>
              </w:rPr>
            </w:pPr>
          </w:p>
          <w:p w14:paraId="48369122" w14:textId="4A87096B" w:rsidR="00CC340D" w:rsidRPr="003E7289" w:rsidRDefault="006624D5" w:rsidP="006624D5">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eastAsia="en-US"/>
              </w:rPr>
              <w:t>Programi IPA III i BE-së, Buxheti Kombëtar + fonde private (bashkëfinancim)</w:t>
            </w:r>
          </w:p>
        </w:tc>
        <w:tc>
          <w:tcPr>
            <w:tcW w:w="731" w:type="pct"/>
            <w:gridSpan w:val="2"/>
            <w:vAlign w:val="center"/>
          </w:tcPr>
          <w:p w14:paraId="706AA5DB" w14:textId="4841E041" w:rsidR="00CC340D" w:rsidRPr="003E7289" w:rsidRDefault="006624D5" w:rsidP="006624D5">
            <w:pPr>
              <w:spacing w:before="0" w:line="240" w:lineRule="auto"/>
              <w:jc w:val="center"/>
              <w:rPr>
                <w:rFonts w:ascii="Arial" w:eastAsia="Aptos" w:hAnsi="Arial" w:cs="Arial"/>
                <w:b/>
                <w:bCs/>
                <w:sz w:val="20"/>
                <w:szCs w:val="20"/>
                <w:lang w:val="sq-AL" w:eastAsia="en-US"/>
              </w:rPr>
            </w:pPr>
            <w:r w:rsidRPr="003E7289">
              <w:rPr>
                <w:rFonts w:ascii="Arial" w:eastAsia="Aptos" w:hAnsi="Arial" w:cs="Arial"/>
                <w:sz w:val="20"/>
                <w:szCs w:val="20"/>
                <w:lang w:val="sq-AL"/>
              </w:rPr>
              <w:t>MBZHR, Instituti Hidrometeor</w:t>
            </w:r>
            <w:r w:rsidRPr="003E7289">
              <w:rPr>
                <w:rFonts w:ascii="Arial" w:eastAsia="Aptos" w:hAnsi="Arial" w:cs="Arial"/>
                <w:sz w:val="20"/>
                <w:szCs w:val="20"/>
                <w:lang w:val="sq-AL"/>
              </w:rPr>
              <w:lastRenderedPageBreak/>
              <w:t>ologjik, komunat dhe komunitetet lokale</w:t>
            </w:r>
          </w:p>
        </w:tc>
        <w:tc>
          <w:tcPr>
            <w:tcW w:w="548" w:type="pct"/>
            <w:gridSpan w:val="3"/>
            <w:vAlign w:val="center"/>
          </w:tcPr>
          <w:p w14:paraId="4669C0F6" w14:textId="17D3CA9E" w:rsidR="00CC340D" w:rsidRPr="003E7289" w:rsidRDefault="006624D5" w:rsidP="006624D5">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Praktikat e rotacio</w:t>
            </w:r>
            <w:r w:rsidRPr="003E7289">
              <w:rPr>
                <w:rFonts w:ascii="Arial" w:eastAsia="Aptos" w:hAnsi="Arial" w:cs="Arial"/>
                <w:sz w:val="20"/>
                <w:szCs w:val="20"/>
                <w:lang w:val="sq-AL"/>
              </w:rPr>
              <w:lastRenderedPageBreak/>
              <w:t>nit të kulturave të diversifikuara janë adoptuar nga të paktën 50% e fermerëve target si pjesë e bujqësisë inteligjente ndaj klimës</w:t>
            </w:r>
          </w:p>
        </w:tc>
        <w:tc>
          <w:tcPr>
            <w:tcW w:w="453" w:type="pct"/>
            <w:vAlign w:val="center"/>
          </w:tcPr>
          <w:p w14:paraId="621C87B0" w14:textId="11B6B7FB" w:rsidR="00CC340D" w:rsidRPr="003E7289" w:rsidRDefault="00BE39C7" w:rsidP="006624D5">
            <w:pPr>
              <w:spacing w:before="0" w:line="240" w:lineRule="auto"/>
              <w:jc w:val="center"/>
              <w:rPr>
                <w:rFonts w:ascii="Arial" w:eastAsia="Aptos" w:hAnsi="Arial" w:cs="Arial"/>
                <w:b/>
                <w:bCs/>
                <w:sz w:val="20"/>
                <w:szCs w:val="20"/>
                <w:lang w:val="sq-AL" w:eastAsia="en-US"/>
              </w:rPr>
            </w:pPr>
            <w:r w:rsidRPr="003E7289">
              <w:rPr>
                <w:rFonts w:ascii="Arial" w:eastAsia="Aptos" w:hAnsi="Arial" w:cs="Arial"/>
                <w:color w:val="000000"/>
                <w:sz w:val="20"/>
                <w:szCs w:val="20"/>
                <w:lang w:val="sq-AL"/>
              </w:rPr>
              <w:lastRenderedPageBreak/>
              <w:t>Strateg</w:t>
            </w:r>
            <w:r w:rsidRPr="003E7289">
              <w:rPr>
                <w:rFonts w:ascii="Arial" w:eastAsia="Aptos" w:hAnsi="Arial" w:cs="Arial"/>
                <w:color w:val="000000"/>
                <w:sz w:val="20"/>
                <w:szCs w:val="20"/>
                <w:lang w:val="sq-AL"/>
              </w:rPr>
              <w:lastRenderedPageBreak/>
              <w:t>jia</w:t>
            </w:r>
            <w:r w:rsidR="006624D5" w:rsidRPr="003E7289">
              <w:rPr>
                <w:rFonts w:ascii="Arial" w:eastAsia="Aptos" w:hAnsi="Arial" w:cs="Arial"/>
                <w:color w:val="000000"/>
                <w:sz w:val="20"/>
                <w:szCs w:val="20"/>
                <w:lang w:val="sq-AL"/>
              </w:rPr>
              <w:t xml:space="preserve"> për Bujqësi dhe Zhvillim Rural (SBZHR) 2022–2028</w:t>
            </w:r>
          </w:p>
        </w:tc>
      </w:tr>
      <w:tr w:rsidR="00691972" w:rsidRPr="003E7289" w14:paraId="358F4E1A" w14:textId="77777777" w:rsidTr="0039004D">
        <w:trPr>
          <w:trHeight w:val="120"/>
        </w:trPr>
        <w:tc>
          <w:tcPr>
            <w:tcW w:w="327" w:type="pct"/>
            <w:vAlign w:val="center"/>
          </w:tcPr>
          <w:p w14:paraId="203E466F" w14:textId="29BCCE95"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III.2</w:t>
            </w:r>
            <w:r w:rsidR="00E0225B" w:rsidRPr="003E7289">
              <w:rPr>
                <w:rFonts w:ascii="Arial" w:eastAsia="Aptos" w:hAnsi="Arial" w:cs="Arial"/>
                <w:b/>
                <w:bCs/>
                <w:sz w:val="20"/>
                <w:szCs w:val="20"/>
                <w:lang w:val="sq-AL"/>
              </w:rPr>
              <w:t>9</w:t>
            </w:r>
            <w:r w:rsidRPr="003E7289">
              <w:rPr>
                <w:rFonts w:ascii="Arial" w:eastAsia="Aptos" w:hAnsi="Arial" w:cs="Arial"/>
                <w:b/>
                <w:bCs/>
                <w:sz w:val="20"/>
                <w:szCs w:val="20"/>
                <w:lang w:val="sq-AL"/>
              </w:rPr>
              <w:t>.3</w:t>
            </w:r>
          </w:p>
        </w:tc>
        <w:tc>
          <w:tcPr>
            <w:tcW w:w="686" w:type="pct"/>
            <w:gridSpan w:val="3"/>
            <w:vAlign w:val="center"/>
          </w:tcPr>
          <w:p w14:paraId="1020E452" w14:textId="45F1ED46" w:rsidR="00B152BF" w:rsidRPr="003E7289" w:rsidRDefault="006624D5" w:rsidP="006624D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Përshtatja e kalendarëve të mbjelljes bazuar në të dhënat agro-meteorologjike në kohë reale</w:t>
            </w:r>
          </w:p>
        </w:tc>
        <w:tc>
          <w:tcPr>
            <w:tcW w:w="576" w:type="pct"/>
            <w:gridSpan w:val="2"/>
            <w:vAlign w:val="center"/>
          </w:tcPr>
          <w:p w14:paraId="58E3E904" w14:textId="77777777" w:rsidR="00B152BF" w:rsidRPr="003E7289" w:rsidRDefault="00B152BF" w:rsidP="00B152BF">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2030</w:t>
            </w:r>
          </w:p>
        </w:tc>
        <w:tc>
          <w:tcPr>
            <w:tcW w:w="368" w:type="pct"/>
            <w:gridSpan w:val="2"/>
            <w:vAlign w:val="center"/>
          </w:tcPr>
          <w:p w14:paraId="3A6F2661" w14:textId="47174D74" w:rsidR="00B152BF" w:rsidRPr="003E7289" w:rsidRDefault="00B152BF" w:rsidP="00B152BF">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120.000</w:t>
            </w:r>
            <w:r w:rsidR="00C632D0" w:rsidRPr="003E7289">
              <w:rPr>
                <w:rFonts w:ascii="Arial" w:eastAsia="Aptos" w:hAnsi="Arial" w:cs="Arial"/>
                <w:sz w:val="20"/>
                <w:szCs w:val="20"/>
                <w:lang w:val="sq-AL"/>
              </w:rPr>
              <w:t xml:space="preserve"> €</w:t>
            </w:r>
          </w:p>
        </w:tc>
        <w:tc>
          <w:tcPr>
            <w:tcW w:w="355" w:type="pct"/>
            <w:gridSpan w:val="2"/>
            <w:vAlign w:val="center"/>
          </w:tcPr>
          <w:p w14:paraId="55202E9B"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369" w:type="pct"/>
            <w:gridSpan w:val="3"/>
            <w:vAlign w:val="center"/>
          </w:tcPr>
          <w:p w14:paraId="4EA8C234"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587" w:type="pct"/>
            <w:gridSpan w:val="2"/>
            <w:vAlign w:val="center"/>
          </w:tcPr>
          <w:p w14:paraId="3B2F3330" w14:textId="6689F293" w:rsidR="00B152BF" w:rsidRPr="003E7289" w:rsidRDefault="006624D5" w:rsidP="006624D5">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Buxheti Kombëtar + fonde private (bashkëfinancim)</w:t>
            </w:r>
          </w:p>
        </w:tc>
        <w:tc>
          <w:tcPr>
            <w:tcW w:w="731" w:type="pct"/>
            <w:gridSpan w:val="2"/>
            <w:vAlign w:val="center"/>
          </w:tcPr>
          <w:p w14:paraId="1CCB7A4D" w14:textId="27004C36" w:rsidR="00B152BF" w:rsidRPr="003E7289" w:rsidRDefault="006624D5" w:rsidP="006624D5">
            <w:pPr>
              <w:spacing w:before="0" w:line="240" w:lineRule="auto"/>
              <w:jc w:val="center"/>
              <w:rPr>
                <w:rFonts w:ascii="Arial" w:eastAsia="Aptos" w:hAnsi="Arial" w:cs="Arial"/>
                <w:b/>
                <w:bCs/>
                <w:sz w:val="20"/>
                <w:szCs w:val="20"/>
                <w:lang w:val="sq-AL" w:eastAsia="en-US"/>
              </w:rPr>
            </w:pPr>
            <w:r w:rsidRPr="003E7289">
              <w:rPr>
                <w:rFonts w:ascii="Arial" w:eastAsia="Aptos" w:hAnsi="Arial" w:cs="Arial"/>
                <w:sz w:val="20"/>
                <w:szCs w:val="20"/>
                <w:lang w:val="sq-AL"/>
              </w:rPr>
              <w:t>MBZHR, Instituti Hidrometeorologjik, komunat dhe komunitetet lokale</w:t>
            </w:r>
          </w:p>
        </w:tc>
        <w:tc>
          <w:tcPr>
            <w:tcW w:w="548" w:type="pct"/>
            <w:gridSpan w:val="3"/>
            <w:vAlign w:val="center"/>
          </w:tcPr>
          <w:p w14:paraId="451FA8D9" w14:textId="7959EB2A" w:rsidR="00B152BF" w:rsidRPr="003E7289" w:rsidRDefault="006624D5" w:rsidP="006624D5">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Të dhënat agro-meteorologjike në kohë reale janë integruar në shërbimet këshilluese, dhe fermer</w:t>
            </w:r>
            <w:r w:rsidRPr="003E7289">
              <w:rPr>
                <w:rFonts w:ascii="Arial" w:eastAsia="Aptos" w:hAnsi="Arial" w:cs="Arial"/>
                <w:sz w:val="20"/>
                <w:szCs w:val="20"/>
                <w:lang w:val="sq-AL"/>
              </w:rPr>
              <w:lastRenderedPageBreak/>
              <w:t>ët target kanë përshtatur kalendarët e mbjelljes përkatësisht</w:t>
            </w:r>
          </w:p>
        </w:tc>
        <w:tc>
          <w:tcPr>
            <w:tcW w:w="453" w:type="pct"/>
            <w:vAlign w:val="center"/>
          </w:tcPr>
          <w:p w14:paraId="6A9D749B" w14:textId="4B4DFF06" w:rsidR="00B152BF" w:rsidRPr="003E7289" w:rsidRDefault="00BE39C7" w:rsidP="006624D5">
            <w:pPr>
              <w:spacing w:before="0" w:line="240" w:lineRule="auto"/>
              <w:jc w:val="center"/>
              <w:rPr>
                <w:rFonts w:ascii="Arial" w:eastAsia="Aptos" w:hAnsi="Arial" w:cs="Arial"/>
                <w:b/>
                <w:bCs/>
                <w:sz w:val="20"/>
                <w:szCs w:val="20"/>
                <w:lang w:val="sq-AL" w:eastAsia="en-US"/>
              </w:rPr>
            </w:pPr>
            <w:r w:rsidRPr="003E7289">
              <w:rPr>
                <w:rFonts w:ascii="Arial" w:eastAsia="Aptos" w:hAnsi="Arial" w:cs="Arial"/>
                <w:color w:val="000000"/>
                <w:sz w:val="20"/>
                <w:szCs w:val="20"/>
                <w:lang w:val="sq-AL"/>
              </w:rPr>
              <w:lastRenderedPageBreak/>
              <w:t>Strategjia</w:t>
            </w:r>
            <w:r w:rsidR="006624D5" w:rsidRPr="003E7289">
              <w:rPr>
                <w:rFonts w:ascii="Arial" w:eastAsia="Aptos" w:hAnsi="Arial" w:cs="Arial"/>
                <w:color w:val="000000"/>
                <w:sz w:val="20"/>
                <w:szCs w:val="20"/>
                <w:lang w:val="sq-AL"/>
              </w:rPr>
              <w:t xml:space="preserve"> për Bujqësi dhe Zhvillim Rur</w:t>
            </w:r>
            <w:r w:rsidR="006624D5" w:rsidRPr="003E7289">
              <w:rPr>
                <w:rFonts w:ascii="Arial" w:eastAsia="Aptos" w:hAnsi="Arial" w:cs="Arial"/>
                <w:color w:val="000000"/>
                <w:sz w:val="20"/>
                <w:szCs w:val="20"/>
                <w:lang w:val="sq-AL"/>
              </w:rPr>
              <w:lastRenderedPageBreak/>
              <w:t>al (SBZHR) 2022–2028</w:t>
            </w:r>
          </w:p>
        </w:tc>
      </w:tr>
      <w:tr w:rsidR="00A402D1" w:rsidRPr="003E7289" w14:paraId="1B80CFC1" w14:textId="77777777" w:rsidTr="0039004D">
        <w:trPr>
          <w:trHeight w:val="120"/>
        </w:trPr>
        <w:tc>
          <w:tcPr>
            <w:tcW w:w="1012" w:type="pct"/>
            <w:gridSpan w:val="4"/>
            <w:shd w:val="clear" w:color="auto" w:fill="C6E7F6"/>
            <w:vAlign w:val="center"/>
          </w:tcPr>
          <w:p w14:paraId="55B41595" w14:textId="0A3D5B4E" w:rsidR="00C63DE6" w:rsidRPr="003E7289" w:rsidRDefault="00C63DE6" w:rsidP="00C63DE6">
            <w:pPr>
              <w:spacing w:before="0" w:line="240" w:lineRule="auto"/>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lastRenderedPageBreak/>
              <w:t>Buxheti total për Objektivin specifik III.2</w:t>
            </w:r>
            <w:r w:rsidR="00E0225B" w:rsidRPr="003E7289">
              <w:rPr>
                <w:rFonts w:ascii="Arial" w:eastAsia="Aptos" w:hAnsi="Arial" w:cs="Arial"/>
                <w:b/>
                <w:bCs/>
                <w:sz w:val="20"/>
                <w:szCs w:val="20"/>
                <w:lang w:val="sq-AL"/>
              </w:rPr>
              <w:t>9</w:t>
            </w:r>
            <w:r w:rsidRPr="003E7289">
              <w:rPr>
                <w:rFonts w:ascii="Arial" w:eastAsia="Aptos" w:hAnsi="Arial" w:cs="Arial"/>
                <w:b/>
                <w:bCs/>
                <w:sz w:val="20"/>
                <w:szCs w:val="20"/>
                <w:lang w:val="sq-AL"/>
              </w:rPr>
              <w:t>:</w:t>
            </w:r>
          </w:p>
        </w:tc>
        <w:tc>
          <w:tcPr>
            <w:tcW w:w="3988" w:type="pct"/>
            <w:gridSpan w:val="17"/>
            <w:vAlign w:val="center"/>
          </w:tcPr>
          <w:p w14:paraId="78ACE2AC" w14:textId="77777777" w:rsidR="00C63DE6" w:rsidRPr="003E7289" w:rsidRDefault="00C63DE6" w:rsidP="00C63DE6">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400.000€</w:t>
            </w:r>
          </w:p>
        </w:tc>
      </w:tr>
      <w:tr w:rsidR="00A402D1" w:rsidRPr="003E7289" w14:paraId="0532BB1B" w14:textId="77777777" w:rsidTr="0039004D">
        <w:trPr>
          <w:trHeight w:val="120"/>
        </w:trPr>
        <w:tc>
          <w:tcPr>
            <w:tcW w:w="1012" w:type="pct"/>
            <w:gridSpan w:val="4"/>
            <w:shd w:val="clear" w:color="auto" w:fill="C6E7F6"/>
          </w:tcPr>
          <w:p w14:paraId="37AEEEEA" w14:textId="21512E77" w:rsidR="00C63DE6" w:rsidRPr="003E7289" w:rsidRDefault="00C63DE6" w:rsidP="00C63DE6">
            <w:pPr>
              <w:spacing w:before="0" w:line="240" w:lineRule="auto"/>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t>Nga kjo, kapital:</w:t>
            </w:r>
          </w:p>
        </w:tc>
        <w:tc>
          <w:tcPr>
            <w:tcW w:w="3988" w:type="pct"/>
            <w:gridSpan w:val="17"/>
          </w:tcPr>
          <w:p w14:paraId="4D104BA4" w14:textId="0C3A8948" w:rsidR="00C63DE6" w:rsidRPr="003E7289" w:rsidRDefault="00C63DE6" w:rsidP="00C63DE6">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180.000€</w:t>
            </w:r>
          </w:p>
        </w:tc>
      </w:tr>
      <w:tr w:rsidR="00A402D1" w:rsidRPr="003E7289" w14:paraId="2D7C996F" w14:textId="77777777" w:rsidTr="0039004D">
        <w:trPr>
          <w:trHeight w:val="120"/>
        </w:trPr>
        <w:tc>
          <w:tcPr>
            <w:tcW w:w="1012" w:type="pct"/>
            <w:gridSpan w:val="4"/>
            <w:shd w:val="clear" w:color="auto" w:fill="C6E7F6"/>
          </w:tcPr>
          <w:p w14:paraId="0640BD33" w14:textId="6B278920" w:rsidR="00C63DE6" w:rsidRPr="003E7289" w:rsidRDefault="00C63DE6" w:rsidP="00C63DE6">
            <w:pPr>
              <w:spacing w:before="0" w:line="240" w:lineRule="auto"/>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t>Nga kjo, shpenzime korrente:</w:t>
            </w:r>
          </w:p>
        </w:tc>
        <w:tc>
          <w:tcPr>
            <w:tcW w:w="3988" w:type="pct"/>
            <w:gridSpan w:val="17"/>
          </w:tcPr>
          <w:p w14:paraId="7CA6FE74" w14:textId="5D65EB90" w:rsidR="00C63DE6" w:rsidRPr="003E7289" w:rsidRDefault="00C63DE6" w:rsidP="00C63DE6">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220.000€</w:t>
            </w:r>
          </w:p>
        </w:tc>
      </w:tr>
      <w:tr w:rsidR="00B152BF" w:rsidRPr="003E7289" w14:paraId="6D56ECF7" w14:textId="77777777" w:rsidTr="0039004D">
        <w:tc>
          <w:tcPr>
            <w:tcW w:w="327" w:type="pct"/>
            <w:shd w:val="clear" w:color="auto" w:fill="0F4761"/>
            <w:vAlign w:val="center"/>
          </w:tcPr>
          <w:p w14:paraId="20170361" w14:textId="77777777" w:rsidR="00B152BF" w:rsidRPr="003E7289" w:rsidRDefault="00B152BF" w:rsidP="00B152BF">
            <w:pPr>
              <w:spacing w:before="0" w:line="240" w:lineRule="auto"/>
              <w:jc w:val="center"/>
              <w:rPr>
                <w:rFonts w:ascii="Arial" w:eastAsia="Aptos" w:hAnsi="Arial" w:cs="Arial"/>
                <w:b/>
                <w:bCs/>
                <w:color w:val="FFFFFF"/>
                <w:sz w:val="20"/>
                <w:szCs w:val="20"/>
                <w:lang w:val="sq-AL" w:eastAsia="en-US"/>
              </w:rPr>
            </w:pPr>
          </w:p>
        </w:tc>
        <w:tc>
          <w:tcPr>
            <w:tcW w:w="4673" w:type="pct"/>
            <w:gridSpan w:val="20"/>
            <w:shd w:val="clear" w:color="auto" w:fill="0F4761"/>
            <w:vAlign w:val="center"/>
          </w:tcPr>
          <w:p w14:paraId="2DE961BA" w14:textId="5F86CD1B" w:rsidR="00B152BF" w:rsidRPr="003E7289" w:rsidRDefault="0040465B" w:rsidP="00B152BF">
            <w:pPr>
              <w:spacing w:before="0" w:line="240" w:lineRule="auto"/>
              <w:jc w:val="center"/>
              <w:rPr>
                <w:rFonts w:ascii="Arial" w:eastAsia="Aptos" w:hAnsi="Arial" w:cs="Arial"/>
                <w:b/>
                <w:bCs/>
                <w:color w:val="FFFFFF"/>
                <w:sz w:val="20"/>
                <w:szCs w:val="20"/>
                <w:highlight w:val="yellow"/>
                <w:lang w:val="sq-AL" w:eastAsia="en-US"/>
              </w:rPr>
            </w:pPr>
            <w:r w:rsidRPr="003E7289">
              <w:rPr>
                <w:rFonts w:ascii="Arial" w:eastAsia="Aptos" w:hAnsi="Arial" w:cs="Arial"/>
                <w:b/>
                <w:bCs/>
                <w:color w:val="FFFFFF"/>
                <w:sz w:val="20"/>
                <w:szCs w:val="20"/>
                <w:lang w:val="sq-AL"/>
              </w:rPr>
              <w:t>Prioriteti kyç për përshtatje</w:t>
            </w:r>
            <w:r w:rsidR="00B152BF" w:rsidRPr="003E7289">
              <w:rPr>
                <w:rFonts w:ascii="Arial" w:eastAsia="Aptos" w:hAnsi="Arial" w:cs="Arial"/>
                <w:b/>
                <w:bCs/>
                <w:color w:val="FFFFFF"/>
                <w:sz w:val="20"/>
                <w:szCs w:val="20"/>
                <w:lang w:val="sq-AL"/>
              </w:rPr>
              <w:t xml:space="preserve">: </w:t>
            </w:r>
            <w:r w:rsidR="00CF4C50" w:rsidRPr="003E7289">
              <w:rPr>
                <w:rFonts w:ascii="Arial" w:eastAsia="Aptos" w:hAnsi="Arial" w:cs="Arial"/>
                <w:b/>
                <w:bCs/>
                <w:color w:val="FFFFFF"/>
                <w:sz w:val="20"/>
                <w:szCs w:val="20"/>
                <w:lang w:val="sq-AL"/>
              </w:rPr>
              <w:t>Shfrytëzimi i qëndrueshëm i tokës dhe ruajtja e tokës bujqësore</w:t>
            </w:r>
          </w:p>
        </w:tc>
      </w:tr>
      <w:tr w:rsidR="00B152BF" w:rsidRPr="003E7289" w14:paraId="4E5D9A1A" w14:textId="77777777" w:rsidTr="0039004D">
        <w:trPr>
          <w:trHeight w:val="328"/>
        </w:trPr>
        <w:tc>
          <w:tcPr>
            <w:tcW w:w="327" w:type="pct"/>
            <w:shd w:val="clear" w:color="auto" w:fill="84CCEC"/>
            <w:vAlign w:val="center"/>
          </w:tcPr>
          <w:p w14:paraId="3ACDBC1D" w14:textId="6EE475CE" w:rsidR="00B152BF" w:rsidRPr="003E7289" w:rsidRDefault="00B152BF" w:rsidP="00B152BF">
            <w:pPr>
              <w:spacing w:before="0" w:line="240" w:lineRule="auto"/>
              <w:jc w:val="center"/>
              <w:rPr>
                <w:rFonts w:ascii="Arial" w:eastAsia="Aptos" w:hAnsi="Arial" w:cs="Arial"/>
                <w:b/>
                <w:bCs/>
                <w:sz w:val="20"/>
                <w:szCs w:val="20"/>
                <w:highlight w:val="green"/>
                <w:lang w:val="sq-AL" w:eastAsia="en-US"/>
              </w:rPr>
            </w:pPr>
            <w:r w:rsidRPr="003E7289">
              <w:rPr>
                <w:rFonts w:ascii="Arial" w:eastAsia="Aptos" w:hAnsi="Arial" w:cs="Arial"/>
                <w:b/>
                <w:bCs/>
                <w:sz w:val="20"/>
                <w:szCs w:val="20"/>
                <w:lang w:val="sq-AL"/>
              </w:rPr>
              <w:t>III.3</w:t>
            </w:r>
            <w:r w:rsidR="00E0225B" w:rsidRPr="003E7289">
              <w:rPr>
                <w:rFonts w:ascii="Arial" w:eastAsia="Aptos" w:hAnsi="Arial" w:cs="Arial"/>
                <w:b/>
                <w:bCs/>
                <w:sz w:val="20"/>
                <w:szCs w:val="20"/>
                <w:lang w:val="sq-AL"/>
              </w:rPr>
              <w:t>1</w:t>
            </w:r>
          </w:p>
        </w:tc>
        <w:tc>
          <w:tcPr>
            <w:tcW w:w="4673" w:type="pct"/>
            <w:gridSpan w:val="20"/>
            <w:shd w:val="clear" w:color="auto" w:fill="84CCEC"/>
            <w:vAlign w:val="center"/>
          </w:tcPr>
          <w:p w14:paraId="01B66C19" w14:textId="3C9316DF" w:rsidR="00B152BF" w:rsidRPr="003E7289" w:rsidRDefault="006624D5" w:rsidP="00B152BF">
            <w:pPr>
              <w:spacing w:before="0" w:line="240" w:lineRule="auto"/>
              <w:jc w:val="center"/>
              <w:rPr>
                <w:rFonts w:ascii="Arial" w:eastAsia="Aptos" w:hAnsi="Arial" w:cs="Arial"/>
                <w:b/>
                <w:bCs/>
                <w:sz w:val="20"/>
                <w:szCs w:val="20"/>
                <w:highlight w:val="green"/>
                <w:lang w:val="sq-AL" w:eastAsia="en-US"/>
              </w:rPr>
            </w:pPr>
            <w:r w:rsidRPr="003E7289">
              <w:rPr>
                <w:rFonts w:ascii="Arial" w:eastAsia="Aptos" w:hAnsi="Arial" w:cs="Arial"/>
                <w:b/>
                <w:bCs/>
                <w:sz w:val="20"/>
                <w:szCs w:val="20"/>
                <w:lang w:val="sq-AL"/>
              </w:rPr>
              <w:t>Ulja e degradimit të tokës dhe erozionit përmes praktikave të qëndrueshme të menaxhimit (p.sh., ndërtimi i tarracave, mbjellja e bimësisë mbuluese)</w:t>
            </w:r>
          </w:p>
        </w:tc>
      </w:tr>
      <w:tr w:rsidR="00A402D1" w:rsidRPr="003E7289" w14:paraId="386C5A92" w14:textId="77777777" w:rsidTr="0039004D">
        <w:tc>
          <w:tcPr>
            <w:tcW w:w="1008" w:type="pct"/>
            <w:gridSpan w:val="3"/>
            <w:vAlign w:val="center"/>
          </w:tcPr>
          <w:p w14:paraId="77EDB8ED" w14:textId="09FB1C48" w:rsidR="006624D5" w:rsidRPr="003E7289" w:rsidRDefault="006624D5" w:rsidP="006624D5">
            <w:pPr>
              <w:autoSpaceDE w:val="0"/>
              <w:autoSpaceDN w:val="0"/>
              <w:adjustRightInd w:val="0"/>
              <w:spacing w:before="0" w:line="240" w:lineRule="auto"/>
              <w:jc w:val="center"/>
              <w:rPr>
                <w:rFonts w:ascii="Arial" w:eastAsia="Aptos" w:hAnsi="Arial" w:cs="Arial"/>
                <w:b/>
                <w:bCs/>
                <w:sz w:val="20"/>
                <w:szCs w:val="20"/>
                <w:lang w:val="sq-AL" w:eastAsia="en-US"/>
              </w:rPr>
            </w:pPr>
            <w:r w:rsidRPr="003E7289">
              <w:rPr>
                <w:rFonts w:ascii="Arial" w:eastAsia="Myriad Pro" w:hAnsi="Arial" w:cs="Arial"/>
                <w:b/>
                <w:bCs/>
                <w:sz w:val="20"/>
                <w:szCs w:val="20"/>
                <w:lang w:val="sq-AL"/>
              </w:rPr>
              <w:t>Sipërfaqe toke bujqësore dhe pyjore nën kontroll aktiv të erozionit ose masa rehabilitimi (tarracim, ripyllëzi</w:t>
            </w:r>
            <w:r w:rsidRPr="003E7289">
              <w:rPr>
                <w:rFonts w:ascii="Arial" w:eastAsia="Myriad Pro" w:hAnsi="Arial" w:cs="Arial"/>
                <w:b/>
                <w:bCs/>
                <w:sz w:val="20"/>
                <w:szCs w:val="20"/>
                <w:lang w:val="sq-AL"/>
              </w:rPr>
              <w:lastRenderedPageBreak/>
              <w:t>m, breza bari).</w:t>
            </w:r>
          </w:p>
        </w:tc>
        <w:tc>
          <w:tcPr>
            <w:tcW w:w="581" w:type="pct"/>
            <w:gridSpan w:val="3"/>
            <w:vAlign w:val="center"/>
          </w:tcPr>
          <w:p w14:paraId="75DC5900" w14:textId="0DE25416" w:rsidR="006624D5" w:rsidRPr="003E7289" w:rsidRDefault="006624D5" w:rsidP="006624D5">
            <w:pPr>
              <w:spacing w:before="0" w:line="240" w:lineRule="auto"/>
              <w:jc w:val="both"/>
              <w:rPr>
                <w:rFonts w:ascii="Arial" w:eastAsia="Aptos" w:hAnsi="Arial" w:cs="Arial"/>
                <w:b/>
                <w:bCs/>
                <w:sz w:val="20"/>
                <w:szCs w:val="20"/>
                <w:highlight w:val="yellow"/>
                <w:lang w:val="sq-AL" w:eastAsia="en-US"/>
              </w:rPr>
            </w:pPr>
            <w:r w:rsidRPr="003E7289">
              <w:rPr>
                <w:rFonts w:ascii="Arial" w:eastAsia="Myriad Pro" w:hAnsi="Arial" w:cs="Arial"/>
                <w:sz w:val="20"/>
                <w:szCs w:val="20"/>
                <w:lang w:val="sq-AL"/>
              </w:rPr>
              <w:lastRenderedPageBreak/>
              <w:t>Aktivitete bazë të kufizuara (&lt;500 ha të vlerësuara, duhet verifikuar).</w:t>
            </w:r>
          </w:p>
        </w:tc>
        <w:tc>
          <w:tcPr>
            <w:tcW w:w="1092" w:type="pct"/>
            <w:gridSpan w:val="7"/>
            <w:vAlign w:val="center"/>
          </w:tcPr>
          <w:p w14:paraId="214F4D69" w14:textId="7B580610" w:rsidR="006624D5" w:rsidRPr="003E7289" w:rsidRDefault="006624D5" w:rsidP="006624D5">
            <w:pPr>
              <w:spacing w:before="0" w:line="240" w:lineRule="auto"/>
              <w:jc w:val="both"/>
              <w:rPr>
                <w:rFonts w:ascii="Arial" w:eastAsia="Aptos" w:hAnsi="Arial" w:cs="Arial"/>
                <w:b/>
                <w:bCs/>
                <w:sz w:val="20"/>
                <w:szCs w:val="20"/>
                <w:highlight w:val="yellow"/>
                <w:lang w:val="sq-AL" w:eastAsia="en-US"/>
              </w:rPr>
            </w:pPr>
            <w:r w:rsidRPr="003E7289">
              <w:rPr>
                <w:rFonts w:ascii="Arial" w:eastAsia="Myriad Pro" w:hAnsi="Arial" w:cs="Arial"/>
                <w:sz w:val="20"/>
                <w:szCs w:val="20"/>
                <w:lang w:val="sq-AL"/>
              </w:rPr>
              <w:t>1,500 ha tokë e rehabilituar dhe menaxhuar në mënyrë aktive në mënyrë të qëndrueshme.</w:t>
            </w:r>
          </w:p>
        </w:tc>
        <w:tc>
          <w:tcPr>
            <w:tcW w:w="587" w:type="pct"/>
            <w:gridSpan w:val="2"/>
            <w:vAlign w:val="center"/>
          </w:tcPr>
          <w:p w14:paraId="7A598B16" w14:textId="0922FA4F" w:rsidR="006624D5" w:rsidRPr="003E7289" w:rsidRDefault="006624D5" w:rsidP="006624D5">
            <w:pPr>
              <w:spacing w:before="0" w:line="240" w:lineRule="auto"/>
              <w:jc w:val="both"/>
              <w:rPr>
                <w:rFonts w:ascii="Arial" w:eastAsia="Aptos" w:hAnsi="Arial" w:cs="Arial"/>
                <w:b/>
                <w:bCs/>
                <w:sz w:val="20"/>
                <w:szCs w:val="20"/>
                <w:highlight w:val="yellow"/>
                <w:lang w:val="sq-AL" w:eastAsia="en-US"/>
              </w:rPr>
            </w:pPr>
            <w:r w:rsidRPr="003E7289">
              <w:rPr>
                <w:rFonts w:ascii="Arial" w:eastAsia="Myriad Pro" w:hAnsi="Arial" w:cs="Arial"/>
                <w:sz w:val="20"/>
                <w:szCs w:val="20"/>
                <w:lang w:val="sq-AL"/>
              </w:rPr>
              <w:t>5,000 ha të menaxhuara dhe rehabilituara në mënyrë të qëndrueshme; prova të qarta të erozionit të reduktuar.</w:t>
            </w:r>
          </w:p>
        </w:tc>
        <w:tc>
          <w:tcPr>
            <w:tcW w:w="1732" w:type="pct"/>
            <w:gridSpan w:val="6"/>
            <w:vAlign w:val="center"/>
          </w:tcPr>
          <w:p w14:paraId="5839B1F1" w14:textId="1AC19032" w:rsidR="006624D5" w:rsidRPr="003E7289" w:rsidRDefault="006624D5" w:rsidP="006624D5">
            <w:pPr>
              <w:spacing w:before="0" w:line="240" w:lineRule="auto"/>
              <w:jc w:val="both"/>
              <w:rPr>
                <w:rFonts w:ascii="Arial" w:eastAsia="Aptos" w:hAnsi="Arial" w:cs="Arial"/>
                <w:sz w:val="20"/>
                <w:szCs w:val="20"/>
                <w:highlight w:val="yellow"/>
                <w:lang w:val="sq-AL" w:eastAsia="en-US"/>
              </w:rPr>
            </w:pPr>
            <w:r w:rsidRPr="003E7289">
              <w:rPr>
                <w:rFonts w:ascii="Arial" w:eastAsia="Myriad Pro" w:hAnsi="Arial" w:cs="Arial"/>
                <w:sz w:val="20"/>
                <w:szCs w:val="20"/>
                <w:lang w:val="sq-AL"/>
              </w:rPr>
              <w:t>20,000 ha të rehabilituara, mbulim kombëtar i menaxhimit gjithëpërfshirës të erozionit.</w:t>
            </w:r>
          </w:p>
        </w:tc>
      </w:tr>
      <w:tr w:rsidR="00A402D1" w:rsidRPr="003E7289" w14:paraId="2DE923BB" w14:textId="77777777" w:rsidTr="0039004D">
        <w:trPr>
          <w:trHeight w:val="962"/>
        </w:trPr>
        <w:tc>
          <w:tcPr>
            <w:tcW w:w="1008" w:type="pct"/>
            <w:gridSpan w:val="3"/>
            <w:vAlign w:val="center"/>
          </w:tcPr>
          <w:p w14:paraId="2FDB5BB9" w14:textId="4E5550D9" w:rsidR="006624D5" w:rsidRPr="003E7289" w:rsidRDefault="006624D5" w:rsidP="006624D5">
            <w:pPr>
              <w:autoSpaceDE w:val="0"/>
              <w:autoSpaceDN w:val="0"/>
              <w:adjustRightInd w:val="0"/>
              <w:spacing w:before="0" w:line="240" w:lineRule="auto"/>
              <w:jc w:val="center"/>
              <w:rPr>
                <w:rFonts w:ascii="Arial" w:eastAsia="Aptos" w:hAnsi="Arial" w:cs="Arial"/>
                <w:b/>
                <w:bCs/>
                <w:sz w:val="20"/>
                <w:szCs w:val="20"/>
                <w:lang w:val="sq-AL" w:eastAsia="en-US"/>
              </w:rPr>
            </w:pPr>
            <w:r w:rsidRPr="003E7289">
              <w:rPr>
                <w:rFonts w:ascii="Arial" w:eastAsia="Myriad Pro" w:hAnsi="Arial" w:cs="Arial"/>
                <w:b/>
                <w:bCs/>
                <w:sz w:val="20"/>
                <w:szCs w:val="20"/>
                <w:lang w:val="sq-AL"/>
              </w:rPr>
              <w:lastRenderedPageBreak/>
              <w:t>Humbja e tokës (ton/ha.vit)</w:t>
            </w:r>
          </w:p>
        </w:tc>
        <w:tc>
          <w:tcPr>
            <w:tcW w:w="581" w:type="pct"/>
            <w:gridSpan w:val="3"/>
            <w:vAlign w:val="center"/>
          </w:tcPr>
          <w:p w14:paraId="0D5A8307" w14:textId="635C9142" w:rsidR="006624D5" w:rsidRPr="003E7289" w:rsidRDefault="006624D5" w:rsidP="006624D5">
            <w:pPr>
              <w:spacing w:before="0" w:line="240" w:lineRule="auto"/>
              <w:jc w:val="both"/>
              <w:rPr>
                <w:rFonts w:ascii="Arial" w:eastAsia="Aptos" w:hAnsi="Arial" w:cs="Arial"/>
                <w:b/>
                <w:bCs/>
                <w:sz w:val="20"/>
                <w:szCs w:val="20"/>
                <w:highlight w:val="yellow"/>
                <w:lang w:val="sq-AL" w:eastAsia="en-US"/>
              </w:rPr>
            </w:pPr>
            <w:r w:rsidRPr="003E7289">
              <w:rPr>
                <w:rFonts w:ascii="Arial" w:hAnsi="Arial" w:cs="Arial"/>
                <w:sz w:val="21"/>
                <w:szCs w:val="21"/>
                <w:lang w:val="sq-AL"/>
              </w:rPr>
              <w:t>1.0 ton/ha në vit, aktivitete bazë të kufizuara, të përcaktuara nga kërkimi shkencor</w:t>
            </w:r>
          </w:p>
        </w:tc>
        <w:tc>
          <w:tcPr>
            <w:tcW w:w="1092" w:type="pct"/>
            <w:gridSpan w:val="7"/>
            <w:vAlign w:val="center"/>
          </w:tcPr>
          <w:p w14:paraId="64616D92" w14:textId="5F794017" w:rsidR="006624D5" w:rsidRPr="003E7289" w:rsidRDefault="006624D5" w:rsidP="006624D5">
            <w:pPr>
              <w:spacing w:before="0" w:line="240" w:lineRule="auto"/>
              <w:jc w:val="both"/>
              <w:rPr>
                <w:rFonts w:ascii="Arial" w:eastAsia="Aptos" w:hAnsi="Arial" w:cs="Arial"/>
                <w:b/>
                <w:bCs/>
                <w:sz w:val="20"/>
                <w:szCs w:val="20"/>
                <w:highlight w:val="yellow"/>
                <w:lang w:val="sq-AL" w:eastAsia="en-US"/>
              </w:rPr>
            </w:pPr>
            <w:r w:rsidRPr="003E7289">
              <w:rPr>
                <w:rFonts w:ascii="Arial" w:hAnsi="Arial" w:cs="Arial"/>
                <w:sz w:val="21"/>
                <w:szCs w:val="21"/>
                <w:lang w:val="sq-AL"/>
              </w:rPr>
              <w:t>&lt; 0.9 ton/ha në vit, që pasqyron një reduktim prej 10%, të parashikuar nga zbatimi i praktikave të qëndrueshme të menaxhimit të tokës dhe kontrollit të erozionit. P.sh., demonstrimi i teknikave të ruajtjes si plugimi konturor dhe kulturat mbuluese në zonat me rrezik të lartë.</w:t>
            </w:r>
          </w:p>
        </w:tc>
        <w:tc>
          <w:tcPr>
            <w:tcW w:w="587" w:type="pct"/>
            <w:gridSpan w:val="2"/>
            <w:vAlign w:val="center"/>
          </w:tcPr>
          <w:p w14:paraId="08B56591" w14:textId="1A89747D" w:rsidR="006624D5" w:rsidRPr="003E7289" w:rsidRDefault="006624D5" w:rsidP="006624D5">
            <w:pPr>
              <w:spacing w:before="0" w:line="240" w:lineRule="auto"/>
              <w:jc w:val="both"/>
              <w:rPr>
                <w:rFonts w:ascii="Arial" w:eastAsia="Aptos" w:hAnsi="Arial" w:cs="Arial"/>
                <w:b/>
                <w:bCs/>
                <w:sz w:val="20"/>
                <w:szCs w:val="20"/>
                <w:highlight w:val="yellow"/>
                <w:lang w:val="sq-AL" w:eastAsia="en-US"/>
              </w:rPr>
            </w:pPr>
            <w:r w:rsidRPr="003E7289">
              <w:rPr>
                <w:rFonts w:ascii="Arial" w:hAnsi="Arial" w:cs="Arial"/>
                <w:sz w:val="21"/>
                <w:szCs w:val="21"/>
                <w:lang w:val="sq-AL"/>
              </w:rPr>
              <w:t>&lt; 0.75 ton/ha në vit, që përfaqëson një reduktim prej 25%, duke reflektuar përvetësimin më të gjerë; përshpejtimi i ripyllëzimit duke bërë përparim drejt objektivit kombëtar prej 47% të mbulesës pyjore</w:t>
            </w:r>
          </w:p>
        </w:tc>
        <w:tc>
          <w:tcPr>
            <w:tcW w:w="1732" w:type="pct"/>
            <w:gridSpan w:val="6"/>
            <w:vAlign w:val="center"/>
          </w:tcPr>
          <w:p w14:paraId="320611E4" w14:textId="7C8F1F5B" w:rsidR="006624D5" w:rsidRPr="003E7289" w:rsidRDefault="006624D5" w:rsidP="006624D5">
            <w:pPr>
              <w:spacing w:before="0" w:line="240" w:lineRule="auto"/>
              <w:jc w:val="both"/>
              <w:rPr>
                <w:rFonts w:ascii="Arial" w:eastAsia="Aptos" w:hAnsi="Arial" w:cs="Arial"/>
                <w:b/>
                <w:bCs/>
                <w:sz w:val="20"/>
                <w:szCs w:val="20"/>
                <w:highlight w:val="yellow"/>
                <w:lang w:val="sq-AL" w:eastAsia="en-US"/>
              </w:rPr>
            </w:pPr>
            <w:r w:rsidRPr="003E7289">
              <w:rPr>
                <w:rFonts w:ascii="Arial" w:hAnsi="Arial" w:cs="Arial"/>
                <w:sz w:val="21"/>
                <w:szCs w:val="21"/>
                <w:lang w:val="sq-AL"/>
              </w:rPr>
              <w:t>&lt; 0.5 ton/ha në vit me qëllim reduktimin e humbjes së tokës; duke reflektuar ndikimin e menaxhimit të erozionit dhe rritjen e mbulesës pyjore; p.sh. me 20,000 ha tokë të rehabilituar plotësisht</w:t>
            </w:r>
          </w:p>
        </w:tc>
      </w:tr>
      <w:tr w:rsidR="00691972" w:rsidRPr="003E7289" w14:paraId="7D00641C" w14:textId="77777777" w:rsidTr="0039004D">
        <w:trPr>
          <w:trHeight w:val="195"/>
        </w:trPr>
        <w:tc>
          <w:tcPr>
            <w:tcW w:w="327" w:type="pct"/>
            <w:vMerge w:val="restart"/>
            <w:shd w:val="clear" w:color="auto" w:fill="C6E7F6"/>
            <w:vAlign w:val="center"/>
          </w:tcPr>
          <w:p w14:paraId="640C96D8" w14:textId="4EAF9314"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Nr.</w:t>
            </w:r>
          </w:p>
        </w:tc>
        <w:tc>
          <w:tcPr>
            <w:tcW w:w="681" w:type="pct"/>
            <w:gridSpan w:val="2"/>
            <w:vMerge w:val="restart"/>
            <w:shd w:val="clear" w:color="auto" w:fill="C6E7F6"/>
            <w:vAlign w:val="center"/>
          </w:tcPr>
          <w:p w14:paraId="5203DB79" w14:textId="5E393FAD" w:rsidR="000D1635" w:rsidRPr="003E7289" w:rsidRDefault="000D1635" w:rsidP="000D1635">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Veprimi</w:t>
            </w:r>
          </w:p>
        </w:tc>
        <w:tc>
          <w:tcPr>
            <w:tcW w:w="581" w:type="pct"/>
            <w:gridSpan w:val="3"/>
            <w:vMerge w:val="restart"/>
            <w:shd w:val="clear" w:color="auto" w:fill="C6E7F6"/>
            <w:vAlign w:val="center"/>
          </w:tcPr>
          <w:p w14:paraId="79078639" w14:textId="7DC540AD"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Afati I fundit</w:t>
            </w:r>
          </w:p>
        </w:tc>
        <w:tc>
          <w:tcPr>
            <w:tcW w:w="1092" w:type="pct"/>
            <w:gridSpan w:val="7"/>
            <w:shd w:val="clear" w:color="auto" w:fill="C6E7F6"/>
            <w:vAlign w:val="center"/>
          </w:tcPr>
          <w:p w14:paraId="30B52DAC" w14:textId="609CB0BD"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Buxheti</w:t>
            </w:r>
          </w:p>
        </w:tc>
        <w:tc>
          <w:tcPr>
            <w:tcW w:w="587" w:type="pct"/>
            <w:gridSpan w:val="2"/>
            <w:vMerge w:val="restart"/>
            <w:shd w:val="clear" w:color="auto" w:fill="C6E7F6"/>
            <w:vAlign w:val="center"/>
          </w:tcPr>
          <w:p w14:paraId="31A5E7CB" w14:textId="72B21CB5"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Burimi i financimit</w:t>
            </w:r>
          </w:p>
        </w:tc>
        <w:tc>
          <w:tcPr>
            <w:tcW w:w="731" w:type="pct"/>
            <w:gridSpan w:val="2"/>
            <w:vMerge w:val="restart"/>
            <w:shd w:val="clear" w:color="auto" w:fill="C6E7F6"/>
            <w:vAlign w:val="center"/>
          </w:tcPr>
          <w:p w14:paraId="44BA1516" w14:textId="5B64A476"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Institucionet përgjegjëse dhe partnere</w:t>
            </w:r>
          </w:p>
        </w:tc>
        <w:tc>
          <w:tcPr>
            <w:tcW w:w="548" w:type="pct"/>
            <w:gridSpan w:val="3"/>
            <w:vMerge w:val="restart"/>
            <w:shd w:val="clear" w:color="auto" w:fill="C6E7F6"/>
            <w:vAlign w:val="center"/>
          </w:tcPr>
          <w:p w14:paraId="31C7CBA1" w14:textId="68A1FC42"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Rezultati i pritur</w:t>
            </w:r>
          </w:p>
        </w:tc>
        <w:tc>
          <w:tcPr>
            <w:tcW w:w="453" w:type="pct"/>
            <w:vMerge w:val="restart"/>
            <w:shd w:val="clear" w:color="auto" w:fill="C6E7F6"/>
            <w:vAlign w:val="center"/>
          </w:tcPr>
          <w:p w14:paraId="58DBA2C6" w14:textId="1A9704F6"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Dokumenti strategjik referues</w:t>
            </w:r>
          </w:p>
        </w:tc>
      </w:tr>
      <w:tr w:rsidR="00691972" w:rsidRPr="003E7289" w14:paraId="2BE9A662" w14:textId="77777777" w:rsidTr="0039004D">
        <w:trPr>
          <w:trHeight w:val="195"/>
        </w:trPr>
        <w:tc>
          <w:tcPr>
            <w:tcW w:w="327" w:type="pct"/>
            <w:vMerge/>
            <w:vAlign w:val="center"/>
          </w:tcPr>
          <w:p w14:paraId="130D92BE" w14:textId="77777777" w:rsidR="00B152BF" w:rsidRPr="003E7289" w:rsidRDefault="00B152BF" w:rsidP="00B152BF">
            <w:pPr>
              <w:spacing w:before="0" w:line="240" w:lineRule="auto"/>
              <w:jc w:val="center"/>
              <w:rPr>
                <w:rFonts w:ascii="Arial" w:eastAsia="Aptos" w:hAnsi="Arial" w:cs="Arial"/>
                <w:sz w:val="20"/>
                <w:szCs w:val="20"/>
                <w:lang w:val="sq-AL" w:eastAsia="en-US"/>
              </w:rPr>
            </w:pPr>
          </w:p>
        </w:tc>
        <w:tc>
          <w:tcPr>
            <w:tcW w:w="681" w:type="pct"/>
            <w:gridSpan w:val="2"/>
            <w:vMerge/>
            <w:vAlign w:val="center"/>
          </w:tcPr>
          <w:p w14:paraId="0AC32D36"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581" w:type="pct"/>
            <w:gridSpan w:val="3"/>
            <w:vMerge/>
            <w:vAlign w:val="center"/>
          </w:tcPr>
          <w:p w14:paraId="7CAA2E34" w14:textId="77777777" w:rsidR="00B152BF" w:rsidRPr="003E7289" w:rsidRDefault="00B152BF" w:rsidP="00B152BF">
            <w:pPr>
              <w:spacing w:before="0" w:line="240" w:lineRule="auto"/>
              <w:jc w:val="center"/>
              <w:rPr>
                <w:rFonts w:ascii="Arial" w:eastAsia="Aptos" w:hAnsi="Arial" w:cs="Arial"/>
                <w:b/>
                <w:bCs/>
                <w:sz w:val="20"/>
                <w:szCs w:val="20"/>
                <w:highlight w:val="yellow"/>
                <w:lang w:val="sq-AL" w:eastAsia="en-US"/>
              </w:rPr>
            </w:pPr>
          </w:p>
        </w:tc>
        <w:tc>
          <w:tcPr>
            <w:tcW w:w="368" w:type="pct"/>
            <w:gridSpan w:val="2"/>
            <w:shd w:val="clear" w:color="auto" w:fill="C6E7F6"/>
            <w:vAlign w:val="center"/>
          </w:tcPr>
          <w:p w14:paraId="27BB8CEF"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2026</w:t>
            </w:r>
          </w:p>
        </w:tc>
        <w:tc>
          <w:tcPr>
            <w:tcW w:w="373" w:type="pct"/>
            <w:gridSpan w:val="3"/>
            <w:shd w:val="clear" w:color="auto" w:fill="C6E7F6"/>
            <w:vAlign w:val="center"/>
          </w:tcPr>
          <w:p w14:paraId="611A7308"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2027</w:t>
            </w:r>
          </w:p>
        </w:tc>
        <w:tc>
          <w:tcPr>
            <w:tcW w:w="351" w:type="pct"/>
            <w:gridSpan w:val="2"/>
            <w:shd w:val="clear" w:color="auto" w:fill="C6E7F6"/>
            <w:vAlign w:val="center"/>
          </w:tcPr>
          <w:p w14:paraId="4EBBDB50"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2028</w:t>
            </w:r>
          </w:p>
        </w:tc>
        <w:tc>
          <w:tcPr>
            <w:tcW w:w="587" w:type="pct"/>
            <w:gridSpan w:val="2"/>
            <w:vMerge/>
            <w:vAlign w:val="center"/>
          </w:tcPr>
          <w:p w14:paraId="17D96B00" w14:textId="77777777" w:rsidR="00B152BF" w:rsidRPr="003E7289" w:rsidRDefault="00B152BF" w:rsidP="00B152BF">
            <w:pPr>
              <w:spacing w:before="0" w:line="240" w:lineRule="auto"/>
              <w:jc w:val="center"/>
              <w:rPr>
                <w:rFonts w:ascii="Arial" w:eastAsia="Aptos" w:hAnsi="Arial" w:cs="Arial"/>
                <w:b/>
                <w:bCs/>
                <w:sz w:val="20"/>
                <w:szCs w:val="20"/>
                <w:highlight w:val="yellow"/>
                <w:lang w:val="sq-AL" w:eastAsia="en-US"/>
              </w:rPr>
            </w:pPr>
          </w:p>
        </w:tc>
        <w:tc>
          <w:tcPr>
            <w:tcW w:w="731" w:type="pct"/>
            <w:gridSpan w:val="2"/>
            <w:vMerge/>
            <w:vAlign w:val="center"/>
          </w:tcPr>
          <w:p w14:paraId="0AEA97CD" w14:textId="77777777" w:rsidR="00B152BF" w:rsidRPr="003E7289" w:rsidRDefault="00B152BF" w:rsidP="00B152BF">
            <w:pPr>
              <w:spacing w:before="0" w:line="240" w:lineRule="auto"/>
              <w:jc w:val="center"/>
              <w:rPr>
                <w:rFonts w:ascii="Arial" w:eastAsia="Aptos" w:hAnsi="Arial" w:cs="Arial"/>
                <w:b/>
                <w:bCs/>
                <w:sz w:val="20"/>
                <w:szCs w:val="20"/>
                <w:highlight w:val="yellow"/>
                <w:lang w:val="sq-AL" w:eastAsia="en-US"/>
              </w:rPr>
            </w:pPr>
          </w:p>
        </w:tc>
        <w:tc>
          <w:tcPr>
            <w:tcW w:w="548" w:type="pct"/>
            <w:gridSpan w:val="3"/>
            <w:vMerge/>
            <w:vAlign w:val="center"/>
          </w:tcPr>
          <w:p w14:paraId="64CE3ACF" w14:textId="77777777" w:rsidR="00B152BF" w:rsidRPr="003E7289" w:rsidRDefault="00B152BF" w:rsidP="00B152BF">
            <w:pPr>
              <w:spacing w:before="0" w:line="240" w:lineRule="auto"/>
              <w:jc w:val="center"/>
              <w:rPr>
                <w:rFonts w:ascii="Arial" w:eastAsia="Aptos" w:hAnsi="Arial" w:cs="Arial"/>
                <w:b/>
                <w:bCs/>
                <w:sz w:val="20"/>
                <w:szCs w:val="20"/>
                <w:highlight w:val="yellow"/>
                <w:lang w:val="sq-AL" w:eastAsia="en-US"/>
              </w:rPr>
            </w:pPr>
          </w:p>
        </w:tc>
        <w:tc>
          <w:tcPr>
            <w:tcW w:w="453" w:type="pct"/>
            <w:vMerge/>
            <w:vAlign w:val="center"/>
          </w:tcPr>
          <w:p w14:paraId="56B2FEE6" w14:textId="77777777" w:rsidR="00B152BF" w:rsidRPr="003E7289" w:rsidRDefault="00B152BF" w:rsidP="00B152BF">
            <w:pPr>
              <w:spacing w:before="0" w:line="240" w:lineRule="auto"/>
              <w:jc w:val="center"/>
              <w:rPr>
                <w:rFonts w:ascii="Arial" w:eastAsia="Aptos" w:hAnsi="Arial" w:cs="Arial"/>
                <w:b/>
                <w:bCs/>
                <w:sz w:val="20"/>
                <w:szCs w:val="20"/>
                <w:highlight w:val="yellow"/>
                <w:lang w:val="sq-AL" w:eastAsia="en-US"/>
              </w:rPr>
            </w:pPr>
          </w:p>
        </w:tc>
      </w:tr>
      <w:tr w:rsidR="00691972" w:rsidRPr="003E7289" w14:paraId="5EDFF813" w14:textId="77777777" w:rsidTr="0039004D">
        <w:tc>
          <w:tcPr>
            <w:tcW w:w="327" w:type="pct"/>
            <w:vAlign w:val="center"/>
          </w:tcPr>
          <w:p w14:paraId="3DA0B580" w14:textId="4D886210" w:rsidR="00CC340D" w:rsidRPr="003E7289" w:rsidRDefault="00CC340D" w:rsidP="00CC340D">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III.3</w:t>
            </w:r>
            <w:r w:rsidR="00E0225B" w:rsidRPr="003E7289">
              <w:rPr>
                <w:rFonts w:ascii="Arial" w:eastAsia="Aptos" w:hAnsi="Arial" w:cs="Arial"/>
                <w:b/>
                <w:bCs/>
                <w:sz w:val="20"/>
                <w:szCs w:val="20"/>
                <w:lang w:val="sq-AL"/>
              </w:rPr>
              <w:t>1</w:t>
            </w:r>
            <w:r w:rsidRPr="003E7289">
              <w:rPr>
                <w:rFonts w:ascii="Arial" w:eastAsia="Aptos" w:hAnsi="Arial" w:cs="Arial"/>
                <w:b/>
                <w:bCs/>
                <w:sz w:val="20"/>
                <w:szCs w:val="20"/>
                <w:lang w:val="sq-AL"/>
              </w:rPr>
              <w:t>.1</w:t>
            </w:r>
          </w:p>
        </w:tc>
        <w:tc>
          <w:tcPr>
            <w:tcW w:w="681" w:type="pct"/>
            <w:gridSpan w:val="2"/>
            <w:vAlign w:val="center"/>
          </w:tcPr>
          <w:p w14:paraId="595FB64E" w14:textId="1544A7AD" w:rsidR="00CC340D" w:rsidRPr="003E7289" w:rsidRDefault="006624D5" w:rsidP="006624D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Zhvillimi dhe zbatimi i programe</w:t>
            </w:r>
            <w:r w:rsidRPr="003E7289">
              <w:rPr>
                <w:rFonts w:ascii="Arial" w:eastAsia="Aptos" w:hAnsi="Arial" w:cs="Arial"/>
                <w:b/>
                <w:bCs/>
                <w:sz w:val="20"/>
                <w:szCs w:val="20"/>
                <w:lang w:val="sq-AL"/>
              </w:rPr>
              <w:lastRenderedPageBreak/>
              <w:t>ve pilot për kontrollin e erozionit në zonat prioritare të prekura nga erozioni</w:t>
            </w:r>
          </w:p>
        </w:tc>
        <w:tc>
          <w:tcPr>
            <w:tcW w:w="581" w:type="pct"/>
            <w:gridSpan w:val="3"/>
            <w:vAlign w:val="center"/>
          </w:tcPr>
          <w:p w14:paraId="47E1C120" w14:textId="567316E2"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2027</w:t>
            </w:r>
          </w:p>
        </w:tc>
        <w:tc>
          <w:tcPr>
            <w:tcW w:w="368" w:type="pct"/>
            <w:gridSpan w:val="2"/>
            <w:vAlign w:val="center"/>
          </w:tcPr>
          <w:p w14:paraId="3ABACCF4" w14:textId="58FC5C0E"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15000€</w:t>
            </w:r>
          </w:p>
        </w:tc>
        <w:tc>
          <w:tcPr>
            <w:tcW w:w="373" w:type="pct"/>
            <w:gridSpan w:val="3"/>
            <w:vAlign w:val="center"/>
          </w:tcPr>
          <w:p w14:paraId="2B558ECC"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351" w:type="pct"/>
            <w:gridSpan w:val="2"/>
            <w:vAlign w:val="center"/>
          </w:tcPr>
          <w:p w14:paraId="0C540001"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587" w:type="pct"/>
            <w:gridSpan w:val="2"/>
            <w:vAlign w:val="center"/>
          </w:tcPr>
          <w:p w14:paraId="0D90DC51" w14:textId="3EF88441" w:rsidR="00CC340D" w:rsidRPr="003E7289" w:rsidRDefault="006624D5" w:rsidP="006624D5">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Programi IPA III i BE-së, Buxheti Kombëtar</w:t>
            </w:r>
          </w:p>
        </w:tc>
        <w:tc>
          <w:tcPr>
            <w:tcW w:w="731" w:type="pct"/>
            <w:gridSpan w:val="2"/>
            <w:vAlign w:val="center"/>
          </w:tcPr>
          <w:p w14:paraId="7A38171B" w14:textId="17AF79CF" w:rsidR="00CC340D" w:rsidRPr="003E7289" w:rsidRDefault="006624D5" w:rsidP="006624D5">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eastAsia="en-US"/>
              </w:rPr>
              <w:t>MBZHR, Agjencia e Pyjeve të Kosovës, komunat dhe komunitetet lokale</w:t>
            </w:r>
          </w:p>
        </w:tc>
        <w:tc>
          <w:tcPr>
            <w:tcW w:w="548" w:type="pct"/>
            <w:gridSpan w:val="3"/>
            <w:vAlign w:val="center"/>
          </w:tcPr>
          <w:p w14:paraId="54DB5913" w14:textId="67BD2EF1" w:rsidR="00CC340D" w:rsidRPr="003E7289" w:rsidRDefault="006624D5" w:rsidP="006624D5">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 xml:space="preserve">Të paktën 2,000 ha të rehabilituara në </w:t>
            </w:r>
            <w:r w:rsidRPr="003E7289">
              <w:rPr>
                <w:rFonts w:ascii="Arial" w:eastAsia="Aptos" w:hAnsi="Arial" w:cs="Arial"/>
                <w:sz w:val="20"/>
                <w:szCs w:val="20"/>
                <w:lang w:val="sq-AL"/>
              </w:rPr>
              <w:lastRenderedPageBreak/>
              <w:t>zonat fillestare target përmes praktikave të qëndrueshme të menaxhimit të tokës</w:t>
            </w:r>
          </w:p>
        </w:tc>
        <w:tc>
          <w:tcPr>
            <w:tcW w:w="453" w:type="pct"/>
            <w:vAlign w:val="center"/>
          </w:tcPr>
          <w:p w14:paraId="0960BA83" w14:textId="0D4DBC29" w:rsidR="00CC340D" w:rsidRPr="003E7289" w:rsidRDefault="00CC340D" w:rsidP="00CC340D">
            <w:pPr>
              <w:spacing w:before="0" w:line="240" w:lineRule="auto"/>
              <w:jc w:val="center"/>
              <w:rPr>
                <w:rFonts w:ascii="Arial" w:eastAsia="Aptos" w:hAnsi="Arial" w:cs="Arial"/>
                <w:sz w:val="20"/>
                <w:szCs w:val="20"/>
                <w:lang w:val="sq-AL" w:eastAsia="en-US"/>
              </w:rPr>
            </w:pPr>
          </w:p>
        </w:tc>
      </w:tr>
      <w:tr w:rsidR="00691972" w:rsidRPr="003E7289" w14:paraId="42058FE5" w14:textId="77777777" w:rsidTr="0039004D">
        <w:tc>
          <w:tcPr>
            <w:tcW w:w="327" w:type="pct"/>
            <w:vAlign w:val="center"/>
          </w:tcPr>
          <w:p w14:paraId="513CCB7D" w14:textId="0426CDF7" w:rsidR="00CC340D" w:rsidRPr="003E7289" w:rsidRDefault="00CC340D" w:rsidP="00CC340D">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III.3</w:t>
            </w:r>
            <w:r w:rsidR="00E0225B" w:rsidRPr="003E7289">
              <w:rPr>
                <w:rFonts w:ascii="Arial" w:eastAsia="Aptos" w:hAnsi="Arial" w:cs="Arial"/>
                <w:b/>
                <w:bCs/>
                <w:sz w:val="20"/>
                <w:szCs w:val="20"/>
                <w:lang w:val="sq-AL"/>
              </w:rPr>
              <w:t>1</w:t>
            </w:r>
            <w:r w:rsidRPr="003E7289">
              <w:rPr>
                <w:rFonts w:ascii="Arial" w:eastAsia="Aptos" w:hAnsi="Arial" w:cs="Arial"/>
                <w:b/>
                <w:bCs/>
                <w:sz w:val="20"/>
                <w:szCs w:val="20"/>
                <w:lang w:val="sq-AL"/>
              </w:rPr>
              <w:t>.2</w:t>
            </w:r>
          </w:p>
        </w:tc>
        <w:tc>
          <w:tcPr>
            <w:tcW w:w="681" w:type="pct"/>
            <w:gridSpan w:val="2"/>
            <w:vAlign w:val="center"/>
          </w:tcPr>
          <w:p w14:paraId="24576B67" w14:textId="462D903A" w:rsidR="00CC340D" w:rsidRPr="003E7289" w:rsidRDefault="006624D5" w:rsidP="006624D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 xml:space="preserve">Shkallëzimi i rehabilitimit të tokave të degraduara bujqësore dhe pyjore përmes menaxhimit </w:t>
            </w:r>
            <w:r w:rsidRPr="003E7289">
              <w:rPr>
                <w:rFonts w:ascii="Arial" w:eastAsia="Aptos" w:hAnsi="Arial" w:cs="Arial"/>
                <w:b/>
                <w:bCs/>
                <w:sz w:val="20"/>
                <w:szCs w:val="20"/>
                <w:lang w:val="sq-AL"/>
              </w:rPr>
              <w:lastRenderedPageBreak/>
              <w:t>të integruar të peizazhit</w:t>
            </w:r>
          </w:p>
        </w:tc>
        <w:tc>
          <w:tcPr>
            <w:tcW w:w="581" w:type="pct"/>
            <w:gridSpan w:val="3"/>
            <w:vAlign w:val="center"/>
          </w:tcPr>
          <w:p w14:paraId="48C024F6" w14:textId="4CC3971C"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2029</w:t>
            </w:r>
          </w:p>
        </w:tc>
        <w:tc>
          <w:tcPr>
            <w:tcW w:w="368" w:type="pct"/>
            <w:gridSpan w:val="2"/>
            <w:vAlign w:val="center"/>
          </w:tcPr>
          <w:p w14:paraId="0E56C358"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373" w:type="pct"/>
            <w:gridSpan w:val="3"/>
            <w:vAlign w:val="center"/>
          </w:tcPr>
          <w:p w14:paraId="3190AF82" w14:textId="6C0C88FA"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21000€</w:t>
            </w:r>
          </w:p>
        </w:tc>
        <w:tc>
          <w:tcPr>
            <w:tcW w:w="351" w:type="pct"/>
            <w:gridSpan w:val="2"/>
            <w:vAlign w:val="center"/>
          </w:tcPr>
          <w:p w14:paraId="16A9CBF8"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587" w:type="pct"/>
            <w:gridSpan w:val="2"/>
            <w:vAlign w:val="center"/>
          </w:tcPr>
          <w:p w14:paraId="0B02B659" w14:textId="209DFDCD" w:rsidR="00CC340D" w:rsidRPr="003E7289" w:rsidRDefault="006624D5" w:rsidP="006624D5">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eastAsia="en-US"/>
              </w:rPr>
              <w:t>IPARD III, Masa e Asistencës Teknike, Donatorë</w:t>
            </w:r>
          </w:p>
        </w:tc>
        <w:tc>
          <w:tcPr>
            <w:tcW w:w="731" w:type="pct"/>
            <w:gridSpan w:val="2"/>
            <w:vAlign w:val="center"/>
          </w:tcPr>
          <w:p w14:paraId="1C9F90DF" w14:textId="2551938A" w:rsidR="00CC340D" w:rsidRPr="003E7289" w:rsidRDefault="006624D5" w:rsidP="006624D5">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eastAsia="en-US"/>
              </w:rPr>
              <w:t>MBZHR, Agjencia e Pyjeve të Kosovës, komunat dhe komunitetet lokale</w:t>
            </w:r>
          </w:p>
        </w:tc>
        <w:tc>
          <w:tcPr>
            <w:tcW w:w="548" w:type="pct"/>
            <w:gridSpan w:val="3"/>
            <w:vAlign w:val="center"/>
          </w:tcPr>
          <w:p w14:paraId="3085850B" w14:textId="1E243FCA" w:rsidR="00CC340D" w:rsidRPr="003E7289" w:rsidRDefault="006624D5" w:rsidP="006624D5">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5,000 ha të rehabilituara me dëshmi për uljen e erozionit dhe përmirësimin e produktivitetit të tokës</w:t>
            </w:r>
          </w:p>
        </w:tc>
        <w:tc>
          <w:tcPr>
            <w:tcW w:w="453" w:type="pct"/>
            <w:vAlign w:val="center"/>
          </w:tcPr>
          <w:p w14:paraId="021A323A" w14:textId="1CBD1371" w:rsidR="00CC340D" w:rsidRPr="003E7289" w:rsidRDefault="00CC340D" w:rsidP="00CC340D">
            <w:pPr>
              <w:spacing w:before="0" w:line="240" w:lineRule="auto"/>
              <w:jc w:val="center"/>
              <w:rPr>
                <w:rFonts w:ascii="Arial" w:eastAsia="Aptos" w:hAnsi="Arial" w:cs="Arial"/>
                <w:sz w:val="20"/>
                <w:szCs w:val="20"/>
                <w:lang w:val="sq-AL" w:eastAsia="en-US"/>
              </w:rPr>
            </w:pPr>
          </w:p>
        </w:tc>
      </w:tr>
      <w:tr w:rsidR="00691972" w:rsidRPr="003E7289" w14:paraId="4D5A60E5" w14:textId="77777777" w:rsidTr="0039004D">
        <w:tc>
          <w:tcPr>
            <w:tcW w:w="327" w:type="pct"/>
            <w:vAlign w:val="center"/>
          </w:tcPr>
          <w:p w14:paraId="1861466B" w14:textId="5FB84183" w:rsidR="00CC340D" w:rsidRPr="003E7289" w:rsidRDefault="00CC340D" w:rsidP="00CC340D">
            <w:pPr>
              <w:spacing w:before="0" w:line="240" w:lineRule="auto"/>
              <w:jc w:val="center"/>
              <w:rPr>
                <w:rFonts w:ascii="Arial" w:eastAsia="Aptos" w:hAnsi="Arial" w:cs="Arial"/>
                <w:b/>
                <w:bCs/>
                <w:sz w:val="20"/>
                <w:szCs w:val="20"/>
                <w:lang w:val="sq-AL"/>
              </w:rPr>
            </w:pPr>
            <w:r w:rsidRPr="003E7289">
              <w:rPr>
                <w:rFonts w:ascii="Arial" w:eastAsia="Aptos" w:hAnsi="Arial" w:cs="Arial"/>
                <w:b/>
                <w:bCs/>
                <w:sz w:val="20"/>
                <w:szCs w:val="20"/>
                <w:lang w:val="sq-AL"/>
              </w:rPr>
              <w:lastRenderedPageBreak/>
              <w:t>III.3</w:t>
            </w:r>
            <w:r w:rsidR="00E0225B" w:rsidRPr="003E7289">
              <w:rPr>
                <w:rFonts w:ascii="Arial" w:eastAsia="Aptos" w:hAnsi="Arial" w:cs="Arial"/>
                <w:b/>
                <w:bCs/>
                <w:sz w:val="20"/>
                <w:szCs w:val="20"/>
                <w:lang w:val="sq-AL"/>
              </w:rPr>
              <w:t>1</w:t>
            </w:r>
            <w:r w:rsidRPr="003E7289">
              <w:rPr>
                <w:rFonts w:ascii="Arial" w:eastAsia="Aptos" w:hAnsi="Arial" w:cs="Arial"/>
                <w:b/>
                <w:bCs/>
                <w:sz w:val="20"/>
                <w:szCs w:val="20"/>
                <w:lang w:val="sq-AL"/>
              </w:rPr>
              <w:t>.3</w:t>
            </w:r>
          </w:p>
        </w:tc>
        <w:tc>
          <w:tcPr>
            <w:tcW w:w="681" w:type="pct"/>
            <w:gridSpan w:val="2"/>
            <w:vAlign w:val="center"/>
          </w:tcPr>
          <w:p w14:paraId="66D73A88" w14:textId="17AED5E8" w:rsidR="00CC340D" w:rsidRPr="003E7289" w:rsidRDefault="006624D5" w:rsidP="006624D5">
            <w:pPr>
              <w:spacing w:before="0" w:line="240" w:lineRule="auto"/>
              <w:jc w:val="center"/>
              <w:rPr>
                <w:rFonts w:ascii="Arial" w:eastAsia="Aptos" w:hAnsi="Arial" w:cs="Arial"/>
                <w:b/>
                <w:bCs/>
                <w:sz w:val="20"/>
                <w:szCs w:val="20"/>
                <w:lang w:val="sq-AL"/>
              </w:rPr>
            </w:pPr>
            <w:r w:rsidRPr="003E7289">
              <w:rPr>
                <w:rFonts w:ascii="Arial" w:eastAsia="Aptos" w:hAnsi="Arial" w:cs="Arial"/>
                <w:b/>
                <w:bCs/>
                <w:sz w:val="20"/>
                <w:szCs w:val="20"/>
                <w:lang w:val="sq-AL"/>
              </w:rPr>
              <w:t>Konsolidimi dhe zgjerimi i programeve të kontrollit të erozionit në nivel lokal përmes partneriteteve komunale</w:t>
            </w:r>
          </w:p>
        </w:tc>
        <w:tc>
          <w:tcPr>
            <w:tcW w:w="581" w:type="pct"/>
            <w:gridSpan w:val="3"/>
            <w:vAlign w:val="center"/>
          </w:tcPr>
          <w:p w14:paraId="69ED4E11" w14:textId="4E68390F" w:rsidR="00CC340D" w:rsidRPr="003E7289" w:rsidRDefault="00CC340D" w:rsidP="00CC340D">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2029</w:t>
            </w:r>
          </w:p>
        </w:tc>
        <w:tc>
          <w:tcPr>
            <w:tcW w:w="368" w:type="pct"/>
            <w:gridSpan w:val="2"/>
            <w:vAlign w:val="center"/>
          </w:tcPr>
          <w:p w14:paraId="4FD8DA23" w14:textId="77777777" w:rsidR="00CC340D" w:rsidRPr="003E7289" w:rsidRDefault="00CC340D" w:rsidP="00CC340D">
            <w:pPr>
              <w:spacing w:before="0" w:line="240" w:lineRule="auto"/>
              <w:jc w:val="center"/>
              <w:rPr>
                <w:rFonts w:ascii="Arial" w:eastAsia="Aptos" w:hAnsi="Arial" w:cs="Arial"/>
                <w:sz w:val="20"/>
                <w:szCs w:val="20"/>
                <w:lang w:val="sq-AL"/>
              </w:rPr>
            </w:pPr>
          </w:p>
        </w:tc>
        <w:tc>
          <w:tcPr>
            <w:tcW w:w="373" w:type="pct"/>
            <w:gridSpan w:val="3"/>
            <w:vAlign w:val="center"/>
          </w:tcPr>
          <w:p w14:paraId="4D354323" w14:textId="77777777" w:rsidR="00CC340D" w:rsidRPr="003E7289" w:rsidRDefault="00CC340D" w:rsidP="00CC340D">
            <w:pPr>
              <w:spacing w:before="0" w:line="240" w:lineRule="auto"/>
              <w:jc w:val="center"/>
              <w:rPr>
                <w:rFonts w:ascii="Arial" w:eastAsia="Aptos" w:hAnsi="Arial" w:cs="Arial"/>
                <w:sz w:val="20"/>
                <w:szCs w:val="20"/>
                <w:lang w:val="sq-AL"/>
              </w:rPr>
            </w:pPr>
          </w:p>
        </w:tc>
        <w:tc>
          <w:tcPr>
            <w:tcW w:w="351" w:type="pct"/>
            <w:gridSpan w:val="2"/>
            <w:vAlign w:val="center"/>
          </w:tcPr>
          <w:p w14:paraId="0F5D6810" w14:textId="6D3261C6" w:rsidR="00CC340D" w:rsidRPr="003E7289" w:rsidRDefault="00CC340D" w:rsidP="00CC340D">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24000€</w:t>
            </w:r>
          </w:p>
        </w:tc>
        <w:tc>
          <w:tcPr>
            <w:tcW w:w="587" w:type="pct"/>
            <w:gridSpan w:val="2"/>
            <w:vAlign w:val="center"/>
          </w:tcPr>
          <w:p w14:paraId="0D6DF932" w14:textId="71202D72" w:rsidR="00CC340D" w:rsidRPr="003E7289" w:rsidRDefault="006624D5" w:rsidP="006624D5">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IPARD III, Masa e Asistencës Teknike, Donatorë</w:t>
            </w:r>
          </w:p>
        </w:tc>
        <w:tc>
          <w:tcPr>
            <w:tcW w:w="731" w:type="pct"/>
            <w:gridSpan w:val="2"/>
            <w:vAlign w:val="center"/>
          </w:tcPr>
          <w:p w14:paraId="4EFD9C4D" w14:textId="583B8B68" w:rsidR="00CC340D" w:rsidRPr="003E7289" w:rsidRDefault="006624D5" w:rsidP="006624D5">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eastAsia="en-US"/>
              </w:rPr>
              <w:t>MBZHR, Agjencia e Pyjeve të Kosovës, komunat dhe komunitetet lokale</w:t>
            </w:r>
          </w:p>
        </w:tc>
        <w:tc>
          <w:tcPr>
            <w:tcW w:w="548" w:type="pct"/>
            <w:gridSpan w:val="3"/>
            <w:vAlign w:val="center"/>
          </w:tcPr>
          <w:p w14:paraId="72620518" w14:textId="1EAE6279" w:rsidR="00CC340D" w:rsidRPr="003E7289" w:rsidRDefault="006624D5" w:rsidP="006624D5">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Progres i grumbulluar drejt synimit për rehabilitimin e 20,000 ha</w:t>
            </w:r>
          </w:p>
        </w:tc>
        <w:tc>
          <w:tcPr>
            <w:tcW w:w="453" w:type="pct"/>
            <w:vAlign w:val="center"/>
          </w:tcPr>
          <w:p w14:paraId="356A62BB" w14:textId="77777777" w:rsidR="00CC340D" w:rsidRPr="003E7289" w:rsidRDefault="00CC340D" w:rsidP="00CC340D">
            <w:pPr>
              <w:spacing w:before="0" w:line="240" w:lineRule="auto"/>
              <w:jc w:val="center"/>
              <w:rPr>
                <w:rFonts w:ascii="Arial" w:eastAsia="Aptos" w:hAnsi="Arial" w:cs="Arial"/>
                <w:sz w:val="20"/>
                <w:szCs w:val="20"/>
                <w:lang w:val="sq-AL"/>
              </w:rPr>
            </w:pPr>
          </w:p>
        </w:tc>
      </w:tr>
      <w:tr w:rsidR="00C63DE6" w:rsidRPr="003E7289" w14:paraId="43DA8048" w14:textId="77777777" w:rsidTr="0039004D">
        <w:tc>
          <w:tcPr>
            <w:tcW w:w="1008" w:type="pct"/>
            <w:gridSpan w:val="3"/>
            <w:shd w:val="clear" w:color="auto" w:fill="C6E7F6"/>
            <w:vAlign w:val="center"/>
          </w:tcPr>
          <w:p w14:paraId="6A6E2034" w14:textId="3AB6350D" w:rsidR="00C63DE6" w:rsidRPr="003E7289" w:rsidRDefault="00C63DE6" w:rsidP="00C63DE6">
            <w:pPr>
              <w:spacing w:before="0" w:line="240" w:lineRule="auto"/>
              <w:rPr>
                <w:rFonts w:ascii="Arial" w:eastAsia="Aptos" w:hAnsi="Arial" w:cs="Arial"/>
                <w:sz w:val="20"/>
                <w:szCs w:val="20"/>
                <w:lang w:val="sq-AL" w:eastAsia="en-US"/>
              </w:rPr>
            </w:pPr>
            <w:r w:rsidRPr="003E7289">
              <w:rPr>
                <w:rFonts w:ascii="Arial" w:eastAsia="Aptos" w:hAnsi="Arial" w:cs="Arial"/>
                <w:b/>
                <w:bCs/>
                <w:sz w:val="20"/>
                <w:szCs w:val="20"/>
                <w:lang w:val="sq-AL"/>
              </w:rPr>
              <w:t>Buxheti total për Objektivin specifik III.3</w:t>
            </w:r>
            <w:r w:rsidR="00E0225B" w:rsidRPr="003E7289">
              <w:rPr>
                <w:rFonts w:ascii="Arial" w:eastAsia="Aptos" w:hAnsi="Arial" w:cs="Arial"/>
                <w:b/>
                <w:bCs/>
                <w:sz w:val="20"/>
                <w:szCs w:val="20"/>
                <w:lang w:val="sq-AL"/>
              </w:rPr>
              <w:t>1</w:t>
            </w:r>
            <w:r w:rsidRPr="003E7289">
              <w:rPr>
                <w:rFonts w:ascii="Arial" w:eastAsia="Aptos" w:hAnsi="Arial" w:cs="Arial"/>
                <w:b/>
                <w:bCs/>
                <w:sz w:val="20"/>
                <w:szCs w:val="20"/>
                <w:lang w:val="sq-AL"/>
              </w:rPr>
              <w:t>:</w:t>
            </w:r>
          </w:p>
        </w:tc>
        <w:tc>
          <w:tcPr>
            <w:tcW w:w="3992" w:type="pct"/>
            <w:gridSpan w:val="18"/>
            <w:vAlign w:val="center"/>
          </w:tcPr>
          <w:p w14:paraId="1DD65DD5" w14:textId="6AE14BC9" w:rsidR="00C63DE6" w:rsidRPr="003E7289" w:rsidRDefault="00C63DE6" w:rsidP="00C63DE6">
            <w:pPr>
              <w:spacing w:before="0" w:line="240" w:lineRule="auto"/>
              <w:jc w:val="center"/>
              <w:rPr>
                <w:rFonts w:ascii="Arial" w:eastAsia="Aptos" w:hAnsi="Arial" w:cs="Arial"/>
                <w:sz w:val="20"/>
                <w:szCs w:val="20"/>
                <w:highlight w:val="yellow"/>
                <w:lang w:val="sq-AL" w:eastAsia="en-US"/>
              </w:rPr>
            </w:pPr>
            <w:r w:rsidRPr="003E7289">
              <w:rPr>
                <w:rFonts w:ascii="Arial" w:eastAsia="Aptos" w:hAnsi="Arial" w:cs="Arial"/>
                <w:sz w:val="20"/>
                <w:szCs w:val="20"/>
                <w:lang w:val="sq-AL"/>
              </w:rPr>
              <w:t>60.000 €</w:t>
            </w:r>
          </w:p>
        </w:tc>
      </w:tr>
      <w:tr w:rsidR="00C63DE6" w:rsidRPr="003E7289" w14:paraId="5B437CFA" w14:textId="77777777" w:rsidTr="0039004D">
        <w:tc>
          <w:tcPr>
            <w:tcW w:w="1008" w:type="pct"/>
            <w:gridSpan w:val="3"/>
            <w:shd w:val="clear" w:color="auto" w:fill="C6E7F6"/>
          </w:tcPr>
          <w:p w14:paraId="30782412" w14:textId="3B06D6F4" w:rsidR="00C63DE6" w:rsidRPr="003E7289" w:rsidRDefault="00C63DE6" w:rsidP="00C63DE6">
            <w:pPr>
              <w:spacing w:before="0" w:line="240" w:lineRule="auto"/>
              <w:rPr>
                <w:rFonts w:ascii="Arial" w:eastAsia="Aptos" w:hAnsi="Arial" w:cs="Arial"/>
                <w:sz w:val="20"/>
                <w:szCs w:val="20"/>
                <w:lang w:val="sq-AL" w:eastAsia="en-US"/>
              </w:rPr>
            </w:pPr>
            <w:r w:rsidRPr="003E7289">
              <w:rPr>
                <w:rFonts w:ascii="Arial" w:eastAsia="Aptos" w:hAnsi="Arial" w:cs="Arial"/>
                <w:b/>
                <w:bCs/>
                <w:sz w:val="20"/>
                <w:szCs w:val="20"/>
                <w:lang w:val="sq-AL"/>
              </w:rPr>
              <w:t>Nga kjo, kapital:</w:t>
            </w:r>
          </w:p>
        </w:tc>
        <w:tc>
          <w:tcPr>
            <w:tcW w:w="3992" w:type="pct"/>
            <w:gridSpan w:val="18"/>
            <w:vAlign w:val="center"/>
          </w:tcPr>
          <w:p w14:paraId="0C0C9F2F" w14:textId="70EB7C80" w:rsidR="00C63DE6" w:rsidRPr="003E7289" w:rsidRDefault="00C63DE6" w:rsidP="00C63DE6">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36.000 €</w:t>
            </w:r>
          </w:p>
        </w:tc>
      </w:tr>
      <w:tr w:rsidR="00C63DE6" w:rsidRPr="003E7289" w14:paraId="75BCCEFB" w14:textId="77777777" w:rsidTr="0039004D">
        <w:tc>
          <w:tcPr>
            <w:tcW w:w="1008" w:type="pct"/>
            <w:gridSpan w:val="3"/>
            <w:shd w:val="clear" w:color="auto" w:fill="C6E7F6"/>
          </w:tcPr>
          <w:p w14:paraId="471E77C9" w14:textId="60B4C225" w:rsidR="00C63DE6" w:rsidRPr="003E7289" w:rsidRDefault="00C63DE6" w:rsidP="00C63DE6">
            <w:pPr>
              <w:spacing w:before="0" w:line="240" w:lineRule="auto"/>
              <w:rPr>
                <w:rFonts w:ascii="Arial" w:eastAsia="Aptos" w:hAnsi="Arial" w:cs="Arial"/>
                <w:sz w:val="20"/>
                <w:szCs w:val="20"/>
                <w:lang w:val="sq-AL" w:eastAsia="en-US"/>
              </w:rPr>
            </w:pPr>
            <w:r w:rsidRPr="003E7289">
              <w:rPr>
                <w:rFonts w:ascii="Arial" w:eastAsia="Aptos" w:hAnsi="Arial" w:cs="Arial"/>
                <w:b/>
                <w:bCs/>
                <w:sz w:val="20"/>
                <w:szCs w:val="20"/>
                <w:lang w:val="sq-AL"/>
              </w:rPr>
              <w:t>Nga kjo, shpenzi</w:t>
            </w:r>
            <w:r w:rsidRPr="003E7289">
              <w:rPr>
                <w:rFonts w:ascii="Arial" w:eastAsia="Aptos" w:hAnsi="Arial" w:cs="Arial"/>
                <w:b/>
                <w:bCs/>
                <w:sz w:val="20"/>
                <w:szCs w:val="20"/>
                <w:lang w:val="sq-AL"/>
              </w:rPr>
              <w:lastRenderedPageBreak/>
              <w:t>me korrente:</w:t>
            </w:r>
          </w:p>
        </w:tc>
        <w:tc>
          <w:tcPr>
            <w:tcW w:w="3992" w:type="pct"/>
            <w:gridSpan w:val="18"/>
            <w:vAlign w:val="center"/>
          </w:tcPr>
          <w:p w14:paraId="76E6223F" w14:textId="51570631" w:rsidR="00C63DE6" w:rsidRPr="003E7289" w:rsidRDefault="00C63DE6" w:rsidP="00C63DE6">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24.000 €</w:t>
            </w:r>
          </w:p>
        </w:tc>
      </w:tr>
      <w:tr w:rsidR="00B152BF" w:rsidRPr="003E7289" w14:paraId="3345BF5B" w14:textId="77777777" w:rsidTr="0039004D">
        <w:trPr>
          <w:trHeight w:val="344"/>
        </w:trPr>
        <w:tc>
          <w:tcPr>
            <w:tcW w:w="327" w:type="pct"/>
            <w:shd w:val="clear" w:color="auto" w:fill="84CCEC"/>
            <w:vAlign w:val="center"/>
          </w:tcPr>
          <w:p w14:paraId="675D7C60" w14:textId="7B1E143A"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III.3</w:t>
            </w:r>
            <w:r w:rsidR="00E0225B" w:rsidRPr="003E7289">
              <w:rPr>
                <w:rFonts w:ascii="Arial" w:eastAsia="Aptos" w:hAnsi="Arial" w:cs="Arial"/>
                <w:b/>
                <w:bCs/>
                <w:sz w:val="20"/>
                <w:szCs w:val="20"/>
                <w:lang w:val="sq-AL"/>
              </w:rPr>
              <w:t>2</w:t>
            </w:r>
          </w:p>
        </w:tc>
        <w:tc>
          <w:tcPr>
            <w:tcW w:w="4673" w:type="pct"/>
            <w:gridSpan w:val="20"/>
            <w:shd w:val="clear" w:color="auto" w:fill="84CCEC"/>
            <w:vAlign w:val="center"/>
          </w:tcPr>
          <w:p w14:paraId="08795F32" w14:textId="1D7C75BC" w:rsidR="00B152BF" w:rsidRPr="003E7289" w:rsidRDefault="006624D5" w:rsidP="00B152BF">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Zgjerimi dhe përmirësimi i sipërfaqeve pyjore për të zvogëluar erozionin dhe rrezikun nga rrëshqitjet e dheut (ripyllëzimi, pyllëzimi i ri)</w:t>
            </w:r>
          </w:p>
        </w:tc>
      </w:tr>
      <w:tr w:rsidR="00702B19" w:rsidRPr="003E7289" w14:paraId="1A32425B" w14:textId="77777777" w:rsidTr="0039004D">
        <w:tc>
          <w:tcPr>
            <w:tcW w:w="1012" w:type="pct"/>
            <w:gridSpan w:val="4"/>
            <w:vAlign w:val="center"/>
          </w:tcPr>
          <w:p w14:paraId="15CAD6C2" w14:textId="1B6213F6" w:rsidR="008D5D24" w:rsidRPr="003E7289" w:rsidRDefault="008D5D24" w:rsidP="008D5D24">
            <w:pPr>
              <w:spacing w:before="0" w:line="240" w:lineRule="auto"/>
              <w:jc w:val="center"/>
              <w:rPr>
                <w:rFonts w:ascii="Arial" w:eastAsia="Aptos" w:hAnsi="Arial" w:cs="Arial"/>
                <w:b/>
                <w:bCs/>
                <w:sz w:val="20"/>
                <w:szCs w:val="20"/>
                <w:lang w:val="sq-AL" w:eastAsia="en-US"/>
              </w:rPr>
            </w:pPr>
            <w:r w:rsidRPr="003E7289">
              <w:rPr>
                <w:rFonts w:ascii="Arial" w:eastAsia="Myriad Pro" w:hAnsi="Arial" w:cs="Arial"/>
                <w:b/>
                <w:bCs/>
                <w:sz w:val="20"/>
                <w:szCs w:val="20"/>
                <w:lang w:val="sq-AL"/>
              </w:rPr>
              <w:t>Mbulesa totale pyjore (% e sipërfaqes totale të tokës së Kosovës).</w:t>
            </w:r>
          </w:p>
        </w:tc>
        <w:tc>
          <w:tcPr>
            <w:tcW w:w="576" w:type="pct"/>
            <w:gridSpan w:val="2"/>
            <w:vAlign w:val="center"/>
          </w:tcPr>
          <w:p w14:paraId="219D9C02" w14:textId="6DD85CA7" w:rsidR="008D5D24" w:rsidRPr="003E7289" w:rsidRDefault="008D5D24" w:rsidP="008D5D24">
            <w:pPr>
              <w:spacing w:before="0" w:line="240" w:lineRule="auto"/>
              <w:rPr>
                <w:rFonts w:ascii="Arial" w:eastAsia="Aptos" w:hAnsi="Arial" w:cs="Arial"/>
                <w:b/>
                <w:bCs/>
                <w:sz w:val="20"/>
                <w:szCs w:val="20"/>
                <w:lang w:val="sq-AL" w:eastAsia="en-US"/>
              </w:rPr>
            </w:pPr>
            <w:r w:rsidRPr="003E7289">
              <w:rPr>
                <w:rFonts w:ascii="Arial" w:eastAsia="Myriad Pro" w:hAnsi="Arial" w:cs="Arial"/>
                <w:sz w:val="20"/>
                <w:szCs w:val="20"/>
                <w:lang w:val="sq-AL"/>
              </w:rPr>
              <w:t>44.7% mbulesë pyjore (481,000 ha).</w:t>
            </w:r>
          </w:p>
        </w:tc>
        <w:tc>
          <w:tcPr>
            <w:tcW w:w="1092" w:type="pct"/>
            <w:gridSpan w:val="7"/>
            <w:vAlign w:val="center"/>
          </w:tcPr>
          <w:p w14:paraId="20677139" w14:textId="77777777" w:rsidR="008D5D24" w:rsidRPr="003E7289" w:rsidRDefault="008D5D24" w:rsidP="008D5D24">
            <w:pPr>
              <w:widowControl w:val="0"/>
              <w:autoSpaceDE w:val="0"/>
              <w:autoSpaceDN w:val="0"/>
              <w:spacing w:before="0" w:line="240" w:lineRule="auto"/>
              <w:jc w:val="center"/>
              <w:rPr>
                <w:rFonts w:ascii="Arial" w:eastAsia="Myriad Pro" w:hAnsi="Arial" w:cs="Arial"/>
                <w:sz w:val="20"/>
                <w:szCs w:val="20"/>
                <w:lang w:val="sq-AL"/>
              </w:rPr>
            </w:pPr>
            <w:r w:rsidRPr="003E7289">
              <w:rPr>
                <w:rFonts w:ascii="Arial" w:eastAsia="Myriad Pro" w:hAnsi="Arial" w:cs="Arial"/>
                <w:sz w:val="20"/>
                <w:szCs w:val="20"/>
                <w:lang w:val="sq-AL"/>
              </w:rPr>
              <w:t>Të paktën 45.5% mbulesë pyjore; mbjellje aktive dhe ruajtje e filluar; për të parandaluar erozionin, rrëshqitjet e dheut, përmbytjet, erërat, ortekët dhe fatkeqësitë e tjera natyrore - Zbatimi i zgjidhjeve të bazuara në natyrë.</w:t>
            </w:r>
          </w:p>
          <w:p w14:paraId="3B6F699B" w14:textId="77777777" w:rsidR="008D5D24" w:rsidRPr="003E7289" w:rsidRDefault="008D5D24" w:rsidP="008D5D24">
            <w:pPr>
              <w:widowControl w:val="0"/>
              <w:autoSpaceDE w:val="0"/>
              <w:autoSpaceDN w:val="0"/>
              <w:spacing w:before="0" w:line="240" w:lineRule="auto"/>
              <w:jc w:val="center"/>
              <w:rPr>
                <w:rFonts w:ascii="Arial" w:eastAsia="Myriad Pro" w:hAnsi="Arial" w:cs="Arial"/>
                <w:sz w:val="20"/>
                <w:szCs w:val="20"/>
                <w:lang w:val="sq-AL"/>
              </w:rPr>
            </w:pPr>
          </w:p>
          <w:p w14:paraId="3676AFCD" w14:textId="560BB038" w:rsidR="008D5D24" w:rsidRPr="003E7289" w:rsidRDefault="008D5D24" w:rsidP="008D5D24">
            <w:pPr>
              <w:spacing w:before="0" w:line="240" w:lineRule="auto"/>
              <w:rPr>
                <w:rFonts w:ascii="Arial" w:eastAsia="Aptos" w:hAnsi="Arial" w:cs="Arial"/>
                <w:b/>
                <w:bCs/>
                <w:sz w:val="20"/>
                <w:szCs w:val="20"/>
                <w:lang w:val="sq-AL" w:eastAsia="en-US"/>
              </w:rPr>
            </w:pPr>
          </w:p>
        </w:tc>
        <w:tc>
          <w:tcPr>
            <w:tcW w:w="587" w:type="pct"/>
            <w:gridSpan w:val="2"/>
            <w:vAlign w:val="center"/>
          </w:tcPr>
          <w:p w14:paraId="0243125C" w14:textId="11753763" w:rsidR="008D5D24" w:rsidRPr="003E7289" w:rsidRDefault="008D5D24" w:rsidP="008D5D24">
            <w:pPr>
              <w:spacing w:before="0" w:line="240" w:lineRule="auto"/>
              <w:rPr>
                <w:rFonts w:ascii="Arial" w:eastAsia="Aptos" w:hAnsi="Arial" w:cs="Arial"/>
                <w:b/>
                <w:bCs/>
                <w:sz w:val="20"/>
                <w:szCs w:val="20"/>
                <w:lang w:val="sq-AL" w:eastAsia="en-US"/>
              </w:rPr>
            </w:pPr>
            <w:r w:rsidRPr="003E7289">
              <w:rPr>
                <w:rFonts w:ascii="Arial" w:eastAsia="Myriad Pro" w:hAnsi="Arial" w:cs="Arial"/>
                <w:sz w:val="20"/>
                <w:szCs w:val="20"/>
                <w:lang w:val="sq-AL"/>
              </w:rPr>
              <w:t>47% mbulesë pyjore e arritur; pyllëzim i konsiderueshëm i përfunduar; arritja e një rritjeje neto prej 3% në sipërfaqen pyjore, në përputhje me Strategjinë e Zhvillimit të Pylltarisë 2022-2030, me theks në Zgjidhjet e Bazuara në Natyrë për të parandaluar erozionin dhe rrëshqitjet e dheut.</w:t>
            </w:r>
          </w:p>
        </w:tc>
        <w:tc>
          <w:tcPr>
            <w:tcW w:w="1732" w:type="pct"/>
            <w:gridSpan w:val="6"/>
            <w:vAlign w:val="center"/>
          </w:tcPr>
          <w:p w14:paraId="62240074" w14:textId="58DA9DD7" w:rsidR="008D5D24" w:rsidRPr="003E7289" w:rsidRDefault="008D5D24" w:rsidP="008D5D24">
            <w:pPr>
              <w:spacing w:before="0" w:line="240" w:lineRule="auto"/>
              <w:rPr>
                <w:rFonts w:ascii="Arial" w:eastAsia="Aptos" w:hAnsi="Arial" w:cs="Arial"/>
                <w:sz w:val="20"/>
                <w:szCs w:val="20"/>
                <w:lang w:val="sq-AL" w:eastAsia="en-US"/>
              </w:rPr>
            </w:pPr>
            <w:r w:rsidRPr="003E7289">
              <w:rPr>
                <w:rFonts w:ascii="Arial" w:eastAsia="Myriad Pro" w:hAnsi="Arial" w:cs="Arial"/>
                <w:sz w:val="20"/>
                <w:szCs w:val="20"/>
                <w:lang w:val="sq-AL"/>
              </w:rPr>
              <w:t>48% mbulesë pyjore e mirëmbajtur në mënyrë të qëndrueshme; pyje të menaxhuara në mënyrë të qëndrueshme me shërbime gjithëpërfshirëse të ekosistemit; me fokus në shëndetin dhe qëndrueshmërinë e pyjeve ekzistuese.</w:t>
            </w:r>
          </w:p>
        </w:tc>
      </w:tr>
      <w:tr w:rsidR="00691972" w:rsidRPr="003E7289" w14:paraId="4CF48878" w14:textId="77777777" w:rsidTr="0039004D">
        <w:trPr>
          <w:trHeight w:val="120"/>
        </w:trPr>
        <w:tc>
          <w:tcPr>
            <w:tcW w:w="327" w:type="pct"/>
            <w:vMerge w:val="restart"/>
            <w:shd w:val="clear" w:color="auto" w:fill="C6E7F6"/>
            <w:vAlign w:val="center"/>
          </w:tcPr>
          <w:p w14:paraId="152849DE" w14:textId="52AB0134" w:rsidR="000D1635" w:rsidRPr="003E7289" w:rsidRDefault="000D1635" w:rsidP="000D1635">
            <w:pPr>
              <w:spacing w:before="0" w:line="240" w:lineRule="auto"/>
              <w:jc w:val="center"/>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t>Nr.</w:t>
            </w:r>
          </w:p>
        </w:tc>
        <w:tc>
          <w:tcPr>
            <w:tcW w:w="686" w:type="pct"/>
            <w:gridSpan w:val="3"/>
            <w:vMerge w:val="restart"/>
            <w:shd w:val="clear" w:color="auto" w:fill="C6E7F6"/>
            <w:vAlign w:val="center"/>
          </w:tcPr>
          <w:p w14:paraId="45A694F4" w14:textId="6BC734A9" w:rsidR="000D1635" w:rsidRPr="003E7289" w:rsidRDefault="000D1635" w:rsidP="000D1635">
            <w:pPr>
              <w:spacing w:before="0" w:line="240" w:lineRule="auto"/>
              <w:jc w:val="center"/>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t>Veprimi</w:t>
            </w:r>
          </w:p>
        </w:tc>
        <w:tc>
          <w:tcPr>
            <w:tcW w:w="576" w:type="pct"/>
            <w:gridSpan w:val="2"/>
            <w:vMerge w:val="restart"/>
            <w:shd w:val="clear" w:color="auto" w:fill="C6E7F6"/>
            <w:vAlign w:val="center"/>
          </w:tcPr>
          <w:p w14:paraId="22AD1D2C" w14:textId="220BBE57"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Afati I fundit</w:t>
            </w:r>
          </w:p>
        </w:tc>
        <w:tc>
          <w:tcPr>
            <w:tcW w:w="1092" w:type="pct"/>
            <w:gridSpan w:val="7"/>
            <w:shd w:val="clear" w:color="auto" w:fill="C6E7F6"/>
            <w:vAlign w:val="center"/>
          </w:tcPr>
          <w:p w14:paraId="6644F43A" w14:textId="6DB97104"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Buxheti</w:t>
            </w:r>
          </w:p>
        </w:tc>
        <w:tc>
          <w:tcPr>
            <w:tcW w:w="587" w:type="pct"/>
            <w:gridSpan w:val="2"/>
            <w:vMerge w:val="restart"/>
            <w:shd w:val="clear" w:color="auto" w:fill="C6E7F6"/>
            <w:vAlign w:val="center"/>
          </w:tcPr>
          <w:p w14:paraId="7E5A4DB4" w14:textId="4D7ADEC0"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Burimi i financimit</w:t>
            </w:r>
          </w:p>
        </w:tc>
        <w:tc>
          <w:tcPr>
            <w:tcW w:w="731" w:type="pct"/>
            <w:gridSpan w:val="2"/>
            <w:vMerge w:val="restart"/>
            <w:shd w:val="clear" w:color="auto" w:fill="C6E7F6"/>
            <w:vAlign w:val="center"/>
          </w:tcPr>
          <w:p w14:paraId="6963DD29" w14:textId="57765E48"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Institucionet përgjegjëse dhe partnere</w:t>
            </w:r>
          </w:p>
        </w:tc>
        <w:tc>
          <w:tcPr>
            <w:tcW w:w="548" w:type="pct"/>
            <w:gridSpan w:val="3"/>
            <w:vMerge w:val="restart"/>
            <w:shd w:val="clear" w:color="auto" w:fill="C6E7F6"/>
            <w:vAlign w:val="center"/>
          </w:tcPr>
          <w:p w14:paraId="372867F4" w14:textId="26A189B0"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Rezultati i pritur</w:t>
            </w:r>
          </w:p>
        </w:tc>
        <w:tc>
          <w:tcPr>
            <w:tcW w:w="453" w:type="pct"/>
            <w:vMerge w:val="restart"/>
            <w:shd w:val="clear" w:color="auto" w:fill="C6E7F6"/>
            <w:vAlign w:val="center"/>
          </w:tcPr>
          <w:p w14:paraId="2428D15C" w14:textId="18C2EB01"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Dokumenti strategjik referues</w:t>
            </w:r>
          </w:p>
        </w:tc>
      </w:tr>
      <w:tr w:rsidR="00691972" w:rsidRPr="003E7289" w14:paraId="44D0A939" w14:textId="77777777" w:rsidTr="0039004D">
        <w:trPr>
          <w:trHeight w:val="120"/>
        </w:trPr>
        <w:tc>
          <w:tcPr>
            <w:tcW w:w="327" w:type="pct"/>
            <w:vMerge/>
            <w:vAlign w:val="center"/>
          </w:tcPr>
          <w:p w14:paraId="5C243976" w14:textId="77777777" w:rsidR="00B152BF" w:rsidRPr="003E7289" w:rsidRDefault="00B152BF" w:rsidP="00B152BF">
            <w:pPr>
              <w:spacing w:before="0" w:line="240" w:lineRule="auto"/>
              <w:rPr>
                <w:rFonts w:ascii="Arial" w:eastAsia="Aptos" w:hAnsi="Arial" w:cs="Arial"/>
                <w:b/>
                <w:bCs/>
                <w:i/>
                <w:iCs/>
                <w:sz w:val="20"/>
                <w:szCs w:val="20"/>
                <w:highlight w:val="green"/>
                <w:lang w:val="sq-AL" w:eastAsia="en-US"/>
              </w:rPr>
            </w:pPr>
          </w:p>
        </w:tc>
        <w:tc>
          <w:tcPr>
            <w:tcW w:w="686" w:type="pct"/>
            <w:gridSpan w:val="3"/>
            <w:vMerge/>
            <w:vAlign w:val="center"/>
          </w:tcPr>
          <w:p w14:paraId="74BD43D9" w14:textId="77777777" w:rsidR="00B152BF" w:rsidRPr="003E7289" w:rsidRDefault="00B152BF" w:rsidP="00B152BF">
            <w:pPr>
              <w:spacing w:before="0" w:line="240" w:lineRule="auto"/>
              <w:rPr>
                <w:rFonts w:ascii="Arial" w:eastAsia="Aptos" w:hAnsi="Arial" w:cs="Arial"/>
                <w:b/>
                <w:bCs/>
                <w:i/>
                <w:iCs/>
                <w:sz w:val="20"/>
                <w:szCs w:val="20"/>
                <w:highlight w:val="green"/>
                <w:lang w:val="sq-AL" w:eastAsia="en-US"/>
              </w:rPr>
            </w:pPr>
          </w:p>
        </w:tc>
        <w:tc>
          <w:tcPr>
            <w:tcW w:w="576" w:type="pct"/>
            <w:gridSpan w:val="2"/>
            <w:vMerge/>
          </w:tcPr>
          <w:p w14:paraId="1BE0CFD3"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368" w:type="pct"/>
            <w:gridSpan w:val="2"/>
            <w:shd w:val="clear" w:color="auto" w:fill="C6E7F6"/>
            <w:vAlign w:val="center"/>
          </w:tcPr>
          <w:p w14:paraId="1A918C06"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2026</w:t>
            </w:r>
          </w:p>
        </w:tc>
        <w:tc>
          <w:tcPr>
            <w:tcW w:w="355" w:type="pct"/>
            <w:gridSpan w:val="2"/>
            <w:shd w:val="clear" w:color="auto" w:fill="C6E7F6"/>
            <w:vAlign w:val="center"/>
          </w:tcPr>
          <w:p w14:paraId="5CB588C3"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2027</w:t>
            </w:r>
          </w:p>
        </w:tc>
        <w:tc>
          <w:tcPr>
            <w:tcW w:w="369" w:type="pct"/>
            <w:gridSpan w:val="3"/>
            <w:shd w:val="clear" w:color="auto" w:fill="C6E7F6"/>
            <w:vAlign w:val="center"/>
          </w:tcPr>
          <w:p w14:paraId="3B4C7EBA"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2028</w:t>
            </w:r>
          </w:p>
        </w:tc>
        <w:tc>
          <w:tcPr>
            <w:tcW w:w="587" w:type="pct"/>
            <w:gridSpan w:val="2"/>
            <w:vMerge/>
          </w:tcPr>
          <w:p w14:paraId="00A66FE7"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731" w:type="pct"/>
            <w:gridSpan w:val="2"/>
            <w:vMerge/>
          </w:tcPr>
          <w:p w14:paraId="0C1FAB97"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548" w:type="pct"/>
            <w:gridSpan w:val="3"/>
            <w:vMerge/>
          </w:tcPr>
          <w:p w14:paraId="36067BF3"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453" w:type="pct"/>
            <w:vMerge/>
          </w:tcPr>
          <w:p w14:paraId="31CDF22E"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r>
      <w:tr w:rsidR="00691972" w:rsidRPr="003E7289" w14:paraId="131CF4DC" w14:textId="77777777" w:rsidTr="0039004D">
        <w:trPr>
          <w:trHeight w:val="120"/>
        </w:trPr>
        <w:tc>
          <w:tcPr>
            <w:tcW w:w="327" w:type="pct"/>
            <w:vAlign w:val="center"/>
          </w:tcPr>
          <w:p w14:paraId="13F8D9BC" w14:textId="4BFAF379" w:rsidR="00CC340D" w:rsidRPr="003E7289" w:rsidRDefault="00CC340D" w:rsidP="00CC340D">
            <w:pPr>
              <w:spacing w:before="0" w:line="240" w:lineRule="auto"/>
              <w:jc w:val="center"/>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t>III.3</w:t>
            </w:r>
            <w:r w:rsidR="00E0225B" w:rsidRPr="003E7289">
              <w:rPr>
                <w:rFonts w:ascii="Arial" w:eastAsia="Aptos" w:hAnsi="Arial" w:cs="Arial"/>
                <w:b/>
                <w:bCs/>
                <w:sz w:val="20"/>
                <w:szCs w:val="20"/>
                <w:lang w:val="sq-AL"/>
              </w:rPr>
              <w:t>2</w:t>
            </w:r>
            <w:r w:rsidRPr="003E7289">
              <w:rPr>
                <w:rFonts w:ascii="Arial" w:eastAsia="Aptos" w:hAnsi="Arial" w:cs="Arial"/>
                <w:b/>
                <w:bCs/>
                <w:sz w:val="20"/>
                <w:szCs w:val="20"/>
                <w:lang w:val="sq-AL"/>
              </w:rPr>
              <w:t>.1</w:t>
            </w:r>
          </w:p>
        </w:tc>
        <w:tc>
          <w:tcPr>
            <w:tcW w:w="686" w:type="pct"/>
            <w:gridSpan w:val="3"/>
            <w:vAlign w:val="center"/>
          </w:tcPr>
          <w:p w14:paraId="4CC5B599" w14:textId="19981F36" w:rsidR="00CC340D" w:rsidRPr="003E7289" w:rsidRDefault="008D5D24" w:rsidP="008D5D24">
            <w:pPr>
              <w:spacing w:before="0" w:line="240" w:lineRule="auto"/>
              <w:jc w:val="center"/>
              <w:rPr>
                <w:rFonts w:ascii="Arial" w:eastAsia="Aptos" w:hAnsi="Arial" w:cs="Arial"/>
                <w:b/>
                <w:bCs/>
                <w:sz w:val="20"/>
                <w:szCs w:val="20"/>
                <w:highlight w:val="green"/>
                <w:lang w:val="sq-AL" w:eastAsia="en-US"/>
              </w:rPr>
            </w:pPr>
            <w:r w:rsidRPr="003E7289">
              <w:rPr>
                <w:rFonts w:ascii="Arial" w:eastAsia="Aptos" w:hAnsi="Arial" w:cs="Arial"/>
                <w:b/>
                <w:bCs/>
                <w:sz w:val="20"/>
                <w:szCs w:val="20"/>
                <w:lang w:val="sq-AL"/>
              </w:rPr>
              <w:t>Fushatë kombëtare për pyllëzi</w:t>
            </w:r>
            <w:r w:rsidRPr="003E7289">
              <w:rPr>
                <w:rFonts w:ascii="Arial" w:eastAsia="Aptos" w:hAnsi="Arial" w:cs="Arial"/>
                <w:b/>
                <w:bCs/>
                <w:sz w:val="20"/>
                <w:szCs w:val="20"/>
                <w:lang w:val="sq-AL"/>
              </w:rPr>
              <w:lastRenderedPageBreak/>
              <w:t>m në zonat e prekura nga erozioni dhe rrëshqitjet e dheut</w:t>
            </w:r>
          </w:p>
        </w:tc>
        <w:tc>
          <w:tcPr>
            <w:tcW w:w="576" w:type="pct"/>
            <w:gridSpan w:val="2"/>
            <w:vAlign w:val="center"/>
          </w:tcPr>
          <w:p w14:paraId="57D4802E" w14:textId="77777777"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2028</w:t>
            </w:r>
          </w:p>
        </w:tc>
        <w:tc>
          <w:tcPr>
            <w:tcW w:w="368" w:type="pct"/>
            <w:gridSpan w:val="2"/>
            <w:vAlign w:val="center"/>
          </w:tcPr>
          <w:p w14:paraId="0E463723" w14:textId="0A3824CC"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769.500€</w:t>
            </w:r>
          </w:p>
          <w:p w14:paraId="36BDE5B3" w14:textId="77777777" w:rsidR="00CC340D" w:rsidRPr="003E7289" w:rsidRDefault="00CC340D" w:rsidP="00CC340D">
            <w:pPr>
              <w:jc w:val="center"/>
              <w:rPr>
                <w:rFonts w:ascii="Arial" w:eastAsia="Aptos" w:hAnsi="Arial" w:cs="Arial"/>
                <w:sz w:val="20"/>
                <w:szCs w:val="20"/>
                <w:lang w:val="sq-AL" w:eastAsia="en-US"/>
              </w:rPr>
            </w:pPr>
          </w:p>
        </w:tc>
        <w:tc>
          <w:tcPr>
            <w:tcW w:w="355" w:type="pct"/>
            <w:gridSpan w:val="2"/>
            <w:vAlign w:val="center"/>
          </w:tcPr>
          <w:p w14:paraId="2E21CF68"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369" w:type="pct"/>
            <w:gridSpan w:val="3"/>
            <w:vAlign w:val="center"/>
          </w:tcPr>
          <w:p w14:paraId="621E9847"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587" w:type="pct"/>
            <w:gridSpan w:val="2"/>
            <w:vAlign w:val="center"/>
          </w:tcPr>
          <w:p w14:paraId="4AC4D148" w14:textId="72863AA4" w:rsidR="00CC340D"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Programi IPA III i BE-së, Buxheti Kombëtar</w:t>
            </w:r>
          </w:p>
        </w:tc>
        <w:tc>
          <w:tcPr>
            <w:tcW w:w="731" w:type="pct"/>
            <w:gridSpan w:val="2"/>
            <w:vAlign w:val="center"/>
          </w:tcPr>
          <w:p w14:paraId="7B9D89CD" w14:textId="78D50B6D" w:rsidR="00CC340D" w:rsidRPr="003E7289" w:rsidRDefault="008D5D24"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sz w:val="20"/>
                <w:szCs w:val="20"/>
                <w:lang w:val="sq-AL"/>
              </w:rPr>
              <w:t xml:space="preserve">MBZHR, Agjencia e Pyjeve të Kosovës, komunat dhe </w:t>
            </w:r>
            <w:r w:rsidRPr="003E7289">
              <w:rPr>
                <w:rFonts w:ascii="Arial" w:eastAsia="Aptos" w:hAnsi="Arial" w:cs="Arial"/>
                <w:sz w:val="20"/>
                <w:szCs w:val="20"/>
                <w:lang w:val="sq-AL"/>
              </w:rPr>
              <w:lastRenderedPageBreak/>
              <w:t>komunitetet lokale</w:t>
            </w:r>
          </w:p>
        </w:tc>
        <w:tc>
          <w:tcPr>
            <w:tcW w:w="548" w:type="pct"/>
            <w:gridSpan w:val="3"/>
            <w:vAlign w:val="center"/>
          </w:tcPr>
          <w:p w14:paraId="65BC64B9" w14:textId="715B3BC4" w:rsidR="00CC340D" w:rsidRPr="003E7289" w:rsidRDefault="008D5D24"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sz w:val="20"/>
                <w:szCs w:val="20"/>
                <w:lang w:val="sq-AL"/>
              </w:rPr>
              <w:lastRenderedPageBreak/>
              <w:t xml:space="preserve">Pyllëzimi i përfunduar në </w:t>
            </w:r>
            <w:r w:rsidRPr="003E7289">
              <w:rPr>
                <w:rFonts w:ascii="Arial" w:eastAsia="Aptos" w:hAnsi="Arial" w:cs="Arial"/>
                <w:sz w:val="20"/>
                <w:szCs w:val="20"/>
                <w:lang w:val="sq-AL"/>
              </w:rPr>
              <w:lastRenderedPageBreak/>
              <w:t>zonat target</w:t>
            </w:r>
          </w:p>
        </w:tc>
        <w:tc>
          <w:tcPr>
            <w:tcW w:w="453" w:type="pct"/>
            <w:vAlign w:val="center"/>
          </w:tcPr>
          <w:p w14:paraId="0770F2BD" w14:textId="755B5347" w:rsidR="00CC340D" w:rsidRPr="003E7289" w:rsidRDefault="00BE39C7"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color w:val="000000"/>
                <w:sz w:val="20"/>
                <w:szCs w:val="20"/>
                <w:lang w:val="sq-AL"/>
              </w:rPr>
              <w:lastRenderedPageBreak/>
              <w:t>Strategjia</w:t>
            </w:r>
            <w:r w:rsidR="008D5D24" w:rsidRPr="003E7289">
              <w:rPr>
                <w:rFonts w:ascii="Arial" w:eastAsia="Aptos" w:hAnsi="Arial" w:cs="Arial"/>
                <w:color w:val="000000"/>
                <w:sz w:val="20"/>
                <w:szCs w:val="20"/>
                <w:lang w:val="sq-AL"/>
              </w:rPr>
              <w:t xml:space="preserve"> për </w:t>
            </w:r>
            <w:r w:rsidR="008D5D24" w:rsidRPr="003E7289">
              <w:rPr>
                <w:rFonts w:ascii="Arial" w:eastAsia="Aptos" w:hAnsi="Arial" w:cs="Arial"/>
                <w:color w:val="000000"/>
                <w:sz w:val="20"/>
                <w:szCs w:val="20"/>
                <w:lang w:val="sq-AL"/>
              </w:rPr>
              <w:lastRenderedPageBreak/>
              <w:t>Zhvillimin e Bujqësisë dhe Rural 2022–2028</w:t>
            </w:r>
          </w:p>
        </w:tc>
      </w:tr>
      <w:tr w:rsidR="00691972" w:rsidRPr="003E7289" w14:paraId="4FE96E7D" w14:textId="77777777" w:rsidTr="0039004D">
        <w:trPr>
          <w:trHeight w:val="120"/>
        </w:trPr>
        <w:tc>
          <w:tcPr>
            <w:tcW w:w="327" w:type="pct"/>
            <w:vAlign w:val="center"/>
          </w:tcPr>
          <w:p w14:paraId="58EA583D" w14:textId="4B96C154" w:rsidR="00CC340D" w:rsidRPr="003E7289" w:rsidRDefault="00CC340D" w:rsidP="00CC340D">
            <w:pPr>
              <w:spacing w:before="0" w:line="240" w:lineRule="auto"/>
              <w:jc w:val="center"/>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lastRenderedPageBreak/>
              <w:t>III.3</w:t>
            </w:r>
            <w:r w:rsidR="00E0225B" w:rsidRPr="003E7289">
              <w:rPr>
                <w:rFonts w:ascii="Arial" w:eastAsia="Aptos" w:hAnsi="Arial" w:cs="Arial"/>
                <w:b/>
                <w:bCs/>
                <w:sz w:val="20"/>
                <w:szCs w:val="20"/>
                <w:lang w:val="sq-AL"/>
              </w:rPr>
              <w:t>2</w:t>
            </w:r>
            <w:r w:rsidRPr="003E7289">
              <w:rPr>
                <w:rFonts w:ascii="Arial" w:eastAsia="Aptos" w:hAnsi="Arial" w:cs="Arial"/>
                <w:b/>
                <w:bCs/>
                <w:sz w:val="20"/>
                <w:szCs w:val="20"/>
                <w:lang w:val="sq-AL"/>
              </w:rPr>
              <w:t>.2</w:t>
            </w:r>
          </w:p>
        </w:tc>
        <w:tc>
          <w:tcPr>
            <w:tcW w:w="686" w:type="pct"/>
            <w:gridSpan w:val="3"/>
            <w:vAlign w:val="center"/>
          </w:tcPr>
          <w:p w14:paraId="3147FE78" w14:textId="7C3CE557" w:rsidR="00CC340D" w:rsidRPr="003E7289" w:rsidRDefault="008D5D24" w:rsidP="008D5D24">
            <w:pPr>
              <w:spacing w:before="0" w:line="240" w:lineRule="auto"/>
              <w:jc w:val="center"/>
              <w:rPr>
                <w:rFonts w:ascii="Arial" w:eastAsia="Aptos" w:hAnsi="Arial" w:cs="Arial"/>
                <w:b/>
                <w:bCs/>
                <w:sz w:val="20"/>
                <w:szCs w:val="20"/>
                <w:highlight w:val="green"/>
                <w:lang w:val="sq-AL" w:eastAsia="en-US"/>
              </w:rPr>
            </w:pPr>
            <w:r w:rsidRPr="003E7289">
              <w:rPr>
                <w:rFonts w:ascii="Arial" w:eastAsia="Aptos" w:hAnsi="Arial" w:cs="Arial"/>
                <w:b/>
                <w:bCs/>
                <w:sz w:val="20"/>
                <w:szCs w:val="20"/>
                <w:lang w:val="sq-AL"/>
              </w:rPr>
              <w:t>Program për pyllëzim në tokat e degraduara</w:t>
            </w:r>
          </w:p>
        </w:tc>
        <w:tc>
          <w:tcPr>
            <w:tcW w:w="576" w:type="pct"/>
            <w:gridSpan w:val="2"/>
            <w:vAlign w:val="center"/>
          </w:tcPr>
          <w:p w14:paraId="31FA010F" w14:textId="77777777"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2030</w:t>
            </w:r>
          </w:p>
        </w:tc>
        <w:tc>
          <w:tcPr>
            <w:tcW w:w="368" w:type="pct"/>
            <w:gridSpan w:val="2"/>
            <w:vAlign w:val="center"/>
          </w:tcPr>
          <w:p w14:paraId="5F077084"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355" w:type="pct"/>
            <w:gridSpan w:val="2"/>
            <w:vAlign w:val="center"/>
          </w:tcPr>
          <w:p w14:paraId="3B747083" w14:textId="26E85E15"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513.000€</w:t>
            </w:r>
          </w:p>
        </w:tc>
        <w:tc>
          <w:tcPr>
            <w:tcW w:w="369" w:type="pct"/>
            <w:gridSpan w:val="3"/>
            <w:vAlign w:val="center"/>
          </w:tcPr>
          <w:p w14:paraId="7D0D3564"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587" w:type="pct"/>
            <w:gridSpan w:val="2"/>
            <w:vAlign w:val="center"/>
          </w:tcPr>
          <w:p w14:paraId="7EC63B6E" w14:textId="74D449D8" w:rsidR="00CC340D"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Programi IPA III i BE-së, Buxheti Kombëtar</w:t>
            </w:r>
          </w:p>
        </w:tc>
        <w:tc>
          <w:tcPr>
            <w:tcW w:w="731" w:type="pct"/>
            <w:gridSpan w:val="2"/>
            <w:vAlign w:val="center"/>
          </w:tcPr>
          <w:p w14:paraId="15E2DFC7" w14:textId="6A231DE8" w:rsidR="00CC340D" w:rsidRPr="003E7289" w:rsidRDefault="008D5D24"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sz w:val="20"/>
                <w:szCs w:val="20"/>
                <w:lang w:val="sq-AL"/>
              </w:rPr>
              <w:t>MBZHR, Agjencia e Pyjeve të Kosovës, komunat dhe komunitetet lokale</w:t>
            </w:r>
          </w:p>
        </w:tc>
        <w:tc>
          <w:tcPr>
            <w:tcW w:w="548" w:type="pct"/>
            <w:gridSpan w:val="3"/>
            <w:vAlign w:val="center"/>
          </w:tcPr>
          <w:p w14:paraId="3BAF8FAA" w14:textId="36D94C57" w:rsidR="00CC340D" w:rsidRPr="003E7289" w:rsidRDefault="008D5D24"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sz w:val="20"/>
                <w:szCs w:val="20"/>
                <w:lang w:val="sq-AL"/>
              </w:rPr>
              <w:t>Pyllëzimi i përfunduar në zonat target</w:t>
            </w:r>
          </w:p>
        </w:tc>
        <w:tc>
          <w:tcPr>
            <w:tcW w:w="453" w:type="pct"/>
            <w:vAlign w:val="center"/>
          </w:tcPr>
          <w:p w14:paraId="59273357" w14:textId="71839B24" w:rsidR="00CC340D" w:rsidRPr="003E7289" w:rsidRDefault="00BE39C7"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color w:val="000000"/>
                <w:sz w:val="20"/>
                <w:szCs w:val="20"/>
                <w:lang w:val="sq-AL"/>
              </w:rPr>
              <w:t>Strategjia</w:t>
            </w:r>
            <w:r w:rsidR="008D5D24" w:rsidRPr="003E7289">
              <w:rPr>
                <w:rFonts w:ascii="Arial" w:eastAsia="Aptos" w:hAnsi="Arial" w:cs="Arial"/>
                <w:color w:val="000000"/>
                <w:sz w:val="20"/>
                <w:szCs w:val="20"/>
                <w:lang w:val="sq-AL"/>
              </w:rPr>
              <w:t xml:space="preserve"> për Zhvillimin e Bujqësisë dhe Rural 20</w:t>
            </w:r>
            <w:r w:rsidR="008D5D24" w:rsidRPr="003E7289">
              <w:rPr>
                <w:rFonts w:ascii="Arial" w:eastAsia="Aptos" w:hAnsi="Arial" w:cs="Arial"/>
                <w:color w:val="000000"/>
                <w:sz w:val="20"/>
                <w:szCs w:val="20"/>
                <w:lang w:val="sq-AL"/>
              </w:rPr>
              <w:lastRenderedPageBreak/>
              <w:t>22–2028</w:t>
            </w:r>
          </w:p>
        </w:tc>
      </w:tr>
      <w:tr w:rsidR="00691972" w:rsidRPr="003E7289" w14:paraId="4E7732F6" w14:textId="77777777" w:rsidTr="0039004D">
        <w:trPr>
          <w:trHeight w:val="120"/>
        </w:trPr>
        <w:tc>
          <w:tcPr>
            <w:tcW w:w="327" w:type="pct"/>
            <w:vAlign w:val="center"/>
          </w:tcPr>
          <w:p w14:paraId="4940A21A" w14:textId="60E395EF" w:rsidR="00CC340D" w:rsidRPr="003E7289" w:rsidRDefault="00CC340D" w:rsidP="00CC340D">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III.3</w:t>
            </w:r>
            <w:r w:rsidR="00E0225B" w:rsidRPr="003E7289">
              <w:rPr>
                <w:rFonts w:ascii="Arial" w:eastAsia="Aptos" w:hAnsi="Arial" w:cs="Arial"/>
                <w:b/>
                <w:bCs/>
                <w:sz w:val="20"/>
                <w:szCs w:val="20"/>
                <w:lang w:val="sq-AL"/>
              </w:rPr>
              <w:t>2</w:t>
            </w:r>
            <w:r w:rsidRPr="003E7289">
              <w:rPr>
                <w:rFonts w:ascii="Arial" w:eastAsia="Aptos" w:hAnsi="Arial" w:cs="Arial"/>
                <w:b/>
                <w:bCs/>
                <w:sz w:val="20"/>
                <w:szCs w:val="20"/>
                <w:lang w:val="sq-AL"/>
              </w:rPr>
              <w:t>.3</w:t>
            </w:r>
          </w:p>
        </w:tc>
        <w:tc>
          <w:tcPr>
            <w:tcW w:w="686" w:type="pct"/>
            <w:gridSpan w:val="3"/>
            <w:vAlign w:val="center"/>
          </w:tcPr>
          <w:p w14:paraId="4F97A07A" w14:textId="626C66B2" w:rsidR="00CC340D" w:rsidRPr="003E7289" w:rsidRDefault="008D5D24" w:rsidP="008D5D24">
            <w:pPr>
              <w:spacing w:before="0" w:line="240" w:lineRule="auto"/>
              <w:jc w:val="center"/>
              <w:rPr>
                <w:rFonts w:ascii="Arial" w:eastAsia="Aptos" w:hAnsi="Arial" w:cs="Arial"/>
                <w:b/>
                <w:bCs/>
                <w:sz w:val="20"/>
                <w:szCs w:val="20"/>
                <w:highlight w:val="green"/>
                <w:lang w:val="sq-AL" w:eastAsia="en-US"/>
              </w:rPr>
            </w:pPr>
            <w:r w:rsidRPr="003E7289">
              <w:rPr>
                <w:rFonts w:ascii="Arial" w:eastAsia="Aptos" w:hAnsi="Arial" w:cs="Arial"/>
                <w:b/>
                <w:bCs/>
                <w:sz w:val="20"/>
                <w:szCs w:val="20"/>
                <w:lang w:val="sq-AL"/>
              </w:rPr>
              <w:t>Zbatimi i planeve për menaxhim të qëndrueshëm të pyjeve me integrim të shërbimeve të ekosistemit</w:t>
            </w:r>
          </w:p>
        </w:tc>
        <w:tc>
          <w:tcPr>
            <w:tcW w:w="576" w:type="pct"/>
            <w:gridSpan w:val="2"/>
            <w:vAlign w:val="center"/>
          </w:tcPr>
          <w:p w14:paraId="06F44AC8" w14:textId="77777777"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2035</w:t>
            </w:r>
          </w:p>
        </w:tc>
        <w:tc>
          <w:tcPr>
            <w:tcW w:w="368" w:type="pct"/>
            <w:gridSpan w:val="2"/>
            <w:vAlign w:val="center"/>
          </w:tcPr>
          <w:p w14:paraId="64E581B1"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355" w:type="pct"/>
            <w:gridSpan w:val="2"/>
            <w:vAlign w:val="center"/>
          </w:tcPr>
          <w:p w14:paraId="53AD557E"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369" w:type="pct"/>
            <w:gridSpan w:val="3"/>
            <w:vAlign w:val="center"/>
          </w:tcPr>
          <w:p w14:paraId="3BB595B8" w14:textId="3B6E1968"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427.500€</w:t>
            </w:r>
          </w:p>
        </w:tc>
        <w:tc>
          <w:tcPr>
            <w:tcW w:w="587" w:type="pct"/>
            <w:gridSpan w:val="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D5D24" w:rsidRPr="003E7289" w14:paraId="612EFF6D" w14:textId="77777777" w:rsidTr="008D5D24">
              <w:trPr>
                <w:tblCellSpacing w:w="15" w:type="dxa"/>
              </w:trPr>
              <w:tc>
                <w:tcPr>
                  <w:tcW w:w="0" w:type="auto"/>
                  <w:vAlign w:val="center"/>
                  <w:hideMark/>
                </w:tcPr>
                <w:p w14:paraId="5B763729" w14:textId="77777777" w:rsidR="008D5D24" w:rsidRPr="003E7289" w:rsidRDefault="008D5D24" w:rsidP="008D5D24">
                  <w:pPr>
                    <w:spacing w:before="0" w:after="0" w:line="240" w:lineRule="auto"/>
                    <w:jc w:val="center"/>
                    <w:rPr>
                      <w:rFonts w:ascii="Arial" w:eastAsia="Aptos" w:hAnsi="Arial" w:cs="Arial"/>
                      <w:sz w:val="20"/>
                      <w:szCs w:val="20"/>
                      <w:lang w:val="sq-AL" w:eastAsia="ja-JP"/>
                    </w:rPr>
                  </w:pPr>
                </w:p>
              </w:tc>
            </w:tr>
          </w:tbl>
          <w:p w14:paraId="6309E923" w14:textId="77777777" w:rsidR="008D5D24" w:rsidRPr="003E7289" w:rsidRDefault="008D5D24" w:rsidP="008D5D24">
            <w:pPr>
              <w:spacing w:before="0" w:line="240" w:lineRule="auto"/>
              <w:jc w:val="center"/>
              <w:rPr>
                <w:rFonts w:ascii="Arial" w:eastAsia="Aptos" w:hAnsi="Arial" w:cs="Arial"/>
                <w:vanish/>
                <w:sz w:val="20"/>
                <w:szCs w:val="20"/>
                <w:lang w:val="sq-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75"/>
            </w:tblGrid>
            <w:tr w:rsidR="008D5D24" w:rsidRPr="003E7289" w14:paraId="0FCECBAF" w14:textId="77777777" w:rsidTr="008D5D24">
              <w:trPr>
                <w:tblCellSpacing w:w="15" w:type="dxa"/>
              </w:trPr>
              <w:tc>
                <w:tcPr>
                  <w:tcW w:w="0" w:type="auto"/>
                  <w:vAlign w:val="center"/>
                  <w:hideMark/>
                </w:tcPr>
                <w:p w14:paraId="0E41DD2D" w14:textId="77777777" w:rsidR="008D5D24" w:rsidRPr="003E7289" w:rsidRDefault="008D5D24" w:rsidP="008D5D24">
                  <w:pPr>
                    <w:spacing w:before="0" w:after="0" w:line="240" w:lineRule="auto"/>
                    <w:jc w:val="center"/>
                    <w:rPr>
                      <w:rFonts w:ascii="Arial" w:eastAsia="Aptos" w:hAnsi="Arial" w:cs="Arial"/>
                      <w:sz w:val="20"/>
                      <w:szCs w:val="20"/>
                      <w:lang w:val="sq-AL" w:eastAsia="ja-JP"/>
                    </w:rPr>
                  </w:pPr>
                  <w:r w:rsidRPr="003E7289">
                    <w:rPr>
                      <w:rFonts w:ascii="Arial" w:eastAsia="Aptos" w:hAnsi="Arial" w:cs="Arial"/>
                      <w:sz w:val="20"/>
                      <w:szCs w:val="20"/>
                      <w:lang w:val="sq-AL" w:eastAsia="ja-JP"/>
                    </w:rPr>
                    <w:t>Buxheti Kombëtar, me asistencë teknike nga TAIEX dhe Donatorët</w:t>
                  </w:r>
                </w:p>
              </w:tc>
            </w:tr>
          </w:tbl>
          <w:p w14:paraId="403D909B" w14:textId="1EC7362E" w:rsidR="00CC340D" w:rsidRPr="003E7289" w:rsidRDefault="00CC340D" w:rsidP="00CC340D">
            <w:pPr>
              <w:spacing w:before="0" w:line="240" w:lineRule="auto"/>
              <w:jc w:val="center"/>
              <w:rPr>
                <w:rFonts w:ascii="Arial" w:eastAsia="Aptos" w:hAnsi="Arial" w:cs="Arial"/>
                <w:sz w:val="20"/>
                <w:szCs w:val="20"/>
                <w:lang w:val="sq-AL" w:eastAsia="en-US"/>
              </w:rPr>
            </w:pPr>
          </w:p>
        </w:tc>
        <w:tc>
          <w:tcPr>
            <w:tcW w:w="731" w:type="pct"/>
            <w:gridSpan w:val="2"/>
            <w:vAlign w:val="center"/>
          </w:tcPr>
          <w:p w14:paraId="14E15F35" w14:textId="2453E490" w:rsidR="00CC340D" w:rsidRPr="003E7289" w:rsidRDefault="008D5D24"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sz w:val="20"/>
                <w:szCs w:val="20"/>
                <w:lang w:val="sq-AL"/>
              </w:rPr>
              <w:t>MBZHR, Agjencia e Pyjeve të Kosovës, komunat dhe komunitetet lokale</w:t>
            </w:r>
          </w:p>
        </w:tc>
        <w:tc>
          <w:tcPr>
            <w:tcW w:w="548" w:type="pct"/>
            <w:gridSpan w:val="3"/>
            <w:vAlign w:val="center"/>
          </w:tcPr>
          <w:p w14:paraId="250E2004" w14:textId="2A8BA57B" w:rsidR="00CC340D"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Menaxhim i qëndrueshëm i aplikuar në 48% të sipërfaqes pyjore; sigurohet integrimi i shërbimeve të ekosistemit</w:t>
            </w:r>
          </w:p>
        </w:tc>
        <w:tc>
          <w:tcPr>
            <w:tcW w:w="453" w:type="pct"/>
            <w:vAlign w:val="center"/>
          </w:tcPr>
          <w:p w14:paraId="29EEEFED" w14:textId="15FBD45C" w:rsidR="00CC340D" w:rsidRPr="003E7289" w:rsidRDefault="00BE39C7"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color w:val="000000"/>
                <w:sz w:val="20"/>
                <w:szCs w:val="20"/>
                <w:lang w:val="sq-AL"/>
              </w:rPr>
              <w:t>Strategjia</w:t>
            </w:r>
            <w:r w:rsidR="008D5D24" w:rsidRPr="003E7289">
              <w:rPr>
                <w:rFonts w:ascii="Arial" w:eastAsia="Aptos" w:hAnsi="Arial" w:cs="Arial"/>
                <w:color w:val="000000"/>
                <w:sz w:val="20"/>
                <w:szCs w:val="20"/>
                <w:lang w:val="sq-AL"/>
              </w:rPr>
              <w:t xml:space="preserve"> për Zhvillimin e Bujqësisë dhe Rural 2022–2028</w:t>
            </w:r>
          </w:p>
        </w:tc>
      </w:tr>
      <w:tr w:rsidR="00A402D1" w:rsidRPr="003E7289" w14:paraId="6B9925C3" w14:textId="77777777" w:rsidTr="0039004D">
        <w:trPr>
          <w:trHeight w:val="120"/>
        </w:trPr>
        <w:tc>
          <w:tcPr>
            <w:tcW w:w="1012" w:type="pct"/>
            <w:gridSpan w:val="4"/>
            <w:shd w:val="clear" w:color="auto" w:fill="C6E7F6"/>
            <w:vAlign w:val="center"/>
          </w:tcPr>
          <w:p w14:paraId="4DEAD55E" w14:textId="790E7B6D" w:rsidR="00C63DE6" w:rsidRPr="003E7289" w:rsidRDefault="00C63DE6" w:rsidP="00C63DE6">
            <w:pPr>
              <w:spacing w:before="0" w:line="240" w:lineRule="auto"/>
              <w:rPr>
                <w:rFonts w:ascii="Arial" w:eastAsia="Aptos" w:hAnsi="Arial" w:cs="Arial"/>
                <w:i/>
                <w:iCs/>
                <w:sz w:val="20"/>
                <w:szCs w:val="20"/>
                <w:highlight w:val="green"/>
                <w:lang w:val="sq-AL" w:eastAsia="en-US"/>
              </w:rPr>
            </w:pPr>
            <w:r w:rsidRPr="003E7289">
              <w:rPr>
                <w:rFonts w:ascii="Arial" w:eastAsia="Aptos" w:hAnsi="Arial" w:cs="Arial"/>
                <w:b/>
                <w:bCs/>
                <w:sz w:val="20"/>
                <w:szCs w:val="20"/>
                <w:lang w:val="sq-AL"/>
              </w:rPr>
              <w:t>Buxheti total për Objektivin specifik III.3</w:t>
            </w:r>
            <w:r w:rsidR="00E0225B" w:rsidRPr="003E7289">
              <w:rPr>
                <w:rFonts w:ascii="Arial" w:eastAsia="Aptos" w:hAnsi="Arial" w:cs="Arial"/>
                <w:b/>
                <w:bCs/>
                <w:sz w:val="20"/>
                <w:szCs w:val="20"/>
                <w:lang w:val="sq-AL"/>
              </w:rPr>
              <w:t>2</w:t>
            </w:r>
            <w:r w:rsidRPr="003E7289">
              <w:rPr>
                <w:rFonts w:ascii="Arial" w:eastAsia="Aptos" w:hAnsi="Arial" w:cs="Arial"/>
                <w:b/>
                <w:bCs/>
                <w:sz w:val="20"/>
                <w:szCs w:val="20"/>
                <w:lang w:val="sq-AL"/>
              </w:rPr>
              <w:t>:</w:t>
            </w:r>
          </w:p>
        </w:tc>
        <w:tc>
          <w:tcPr>
            <w:tcW w:w="3988" w:type="pct"/>
            <w:gridSpan w:val="17"/>
            <w:vAlign w:val="center"/>
          </w:tcPr>
          <w:p w14:paraId="4508545C" w14:textId="77777777" w:rsidR="00C63DE6" w:rsidRPr="003E7289" w:rsidRDefault="00C63DE6" w:rsidP="00C63DE6">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1.710.000€</w:t>
            </w:r>
          </w:p>
        </w:tc>
      </w:tr>
      <w:tr w:rsidR="00A402D1" w:rsidRPr="003E7289" w14:paraId="551FD3AB" w14:textId="77777777" w:rsidTr="0039004D">
        <w:trPr>
          <w:trHeight w:val="120"/>
        </w:trPr>
        <w:tc>
          <w:tcPr>
            <w:tcW w:w="1012" w:type="pct"/>
            <w:gridSpan w:val="4"/>
            <w:shd w:val="clear" w:color="auto" w:fill="C6E7F6"/>
          </w:tcPr>
          <w:p w14:paraId="6D4A8999" w14:textId="2A16D78A" w:rsidR="00C63DE6" w:rsidRPr="003E7289" w:rsidRDefault="00C63DE6" w:rsidP="00C63DE6">
            <w:pPr>
              <w:spacing w:before="0" w:line="240" w:lineRule="auto"/>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t>Nga kjo, kapital:</w:t>
            </w:r>
          </w:p>
        </w:tc>
        <w:tc>
          <w:tcPr>
            <w:tcW w:w="3988" w:type="pct"/>
            <w:gridSpan w:val="17"/>
          </w:tcPr>
          <w:p w14:paraId="5F8D91D0" w14:textId="1D00BAB7" w:rsidR="00C63DE6" w:rsidRPr="003E7289" w:rsidRDefault="00C63DE6" w:rsidP="00C63DE6">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1.282.500€</w:t>
            </w:r>
          </w:p>
        </w:tc>
      </w:tr>
      <w:tr w:rsidR="00A402D1" w:rsidRPr="003E7289" w14:paraId="5A6C49A4" w14:textId="77777777" w:rsidTr="0039004D">
        <w:trPr>
          <w:trHeight w:val="120"/>
        </w:trPr>
        <w:tc>
          <w:tcPr>
            <w:tcW w:w="1012" w:type="pct"/>
            <w:gridSpan w:val="4"/>
            <w:shd w:val="clear" w:color="auto" w:fill="C6E7F6"/>
          </w:tcPr>
          <w:p w14:paraId="410831AB" w14:textId="3E1A69E9" w:rsidR="00C63DE6" w:rsidRPr="003E7289" w:rsidRDefault="00C63DE6" w:rsidP="00C63DE6">
            <w:pPr>
              <w:spacing w:before="0" w:line="240" w:lineRule="auto"/>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t>Nga kjo, shpenzime korrente:</w:t>
            </w:r>
          </w:p>
        </w:tc>
        <w:tc>
          <w:tcPr>
            <w:tcW w:w="3988" w:type="pct"/>
            <w:gridSpan w:val="17"/>
          </w:tcPr>
          <w:p w14:paraId="72665232" w14:textId="36A33E03" w:rsidR="00C63DE6" w:rsidRPr="003E7289" w:rsidRDefault="00C63DE6" w:rsidP="00C63DE6">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427.500€</w:t>
            </w:r>
          </w:p>
        </w:tc>
      </w:tr>
      <w:tr w:rsidR="00B152BF" w:rsidRPr="003E7289" w14:paraId="785F68E1" w14:textId="77777777" w:rsidTr="0039004D">
        <w:trPr>
          <w:trHeight w:val="449"/>
        </w:trPr>
        <w:tc>
          <w:tcPr>
            <w:tcW w:w="327" w:type="pct"/>
            <w:shd w:val="clear" w:color="auto" w:fill="84CCEC"/>
            <w:vAlign w:val="center"/>
          </w:tcPr>
          <w:p w14:paraId="0751EDA0" w14:textId="3BA1F2AB"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III.</w:t>
            </w:r>
            <w:r w:rsidRPr="003E7289">
              <w:rPr>
                <w:rFonts w:ascii="Arial" w:eastAsia="Aptos" w:hAnsi="Arial" w:cs="Arial"/>
                <w:b/>
                <w:bCs/>
                <w:sz w:val="20"/>
                <w:szCs w:val="20"/>
                <w:lang w:val="sq-AL"/>
              </w:rPr>
              <w:lastRenderedPageBreak/>
              <w:t>3</w:t>
            </w:r>
            <w:r w:rsidR="00E0225B" w:rsidRPr="003E7289">
              <w:rPr>
                <w:rFonts w:ascii="Arial" w:eastAsia="Aptos" w:hAnsi="Arial" w:cs="Arial"/>
                <w:b/>
                <w:bCs/>
                <w:sz w:val="20"/>
                <w:szCs w:val="20"/>
                <w:lang w:val="sq-AL"/>
              </w:rPr>
              <w:t>3</w:t>
            </w:r>
          </w:p>
        </w:tc>
        <w:tc>
          <w:tcPr>
            <w:tcW w:w="4673" w:type="pct"/>
            <w:gridSpan w:val="20"/>
            <w:shd w:val="clear" w:color="auto" w:fill="84CCEC"/>
            <w:vAlign w:val="center"/>
          </w:tcPr>
          <w:p w14:paraId="6D15CCD1" w14:textId="3ACDC937" w:rsidR="00B152BF" w:rsidRPr="003E7289" w:rsidRDefault="006624D5"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Forcimi i menaxhimit të qëndrueshëm të pyjeve dhe ruajtjes së biodiversitetit (plane të menaxhimit përshtatës)</w:t>
            </w:r>
          </w:p>
        </w:tc>
      </w:tr>
      <w:tr w:rsidR="00702B19" w:rsidRPr="003E7289" w14:paraId="12B1E307" w14:textId="77777777" w:rsidTr="0039004D">
        <w:trPr>
          <w:trHeight w:val="120"/>
        </w:trPr>
        <w:tc>
          <w:tcPr>
            <w:tcW w:w="1012" w:type="pct"/>
            <w:gridSpan w:val="4"/>
            <w:vAlign w:val="center"/>
          </w:tcPr>
          <w:p w14:paraId="7F4782C9" w14:textId="49FD8FED" w:rsidR="008D5D24" w:rsidRPr="003E7289" w:rsidRDefault="008D5D24" w:rsidP="008D5D24">
            <w:pPr>
              <w:spacing w:before="0" w:line="240" w:lineRule="auto"/>
              <w:jc w:val="center"/>
              <w:rPr>
                <w:rFonts w:ascii="Arial" w:eastAsia="Aptos" w:hAnsi="Arial" w:cs="Arial"/>
                <w:b/>
                <w:bCs/>
                <w:sz w:val="20"/>
                <w:szCs w:val="20"/>
                <w:lang w:val="sq-AL" w:eastAsia="en-US"/>
              </w:rPr>
            </w:pPr>
            <w:r w:rsidRPr="003E7289">
              <w:rPr>
                <w:rFonts w:ascii="Arial" w:eastAsia="Myriad Pro" w:hAnsi="Arial" w:cs="Arial"/>
                <w:b/>
                <w:bCs/>
                <w:sz w:val="20"/>
                <w:szCs w:val="20"/>
                <w:lang w:val="sq-AL"/>
              </w:rPr>
              <w:lastRenderedPageBreak/>
              <w:t>Përqindja e tokës pyjore publike dhe private sipas planeve formale dhe adaptive të menaxhimit të pyjeve.</w:t>
            </w:r>
          </w:p>
        </w:tc>
        <w:tc>
          <w:tcPr>
            <w:tcW w:w="576" w:type="pct"/>
            <w:gridSpan w:val="2"/>
            <w:vAlign w:val="center"/>
          </w:tcPr>
          <w:p w14:paraId="75714D61" w14:textId="2410C62F" w:rsidR="008D5D24" w:rsidRPr="003E7289" w:rsidRDefault="008D5D24" w:rsidP="008D5D24">
            <w:pPr>
              <w:spacing w:before="0" w:line="240" w:lineRule="auto"/>
              <w:jc w:val="both"/>
              <w:rPr>
                <w:rFonts w:ascii="Arial" w:eastAsia="Aptos" w:hAnsi="Arial" w:cs="Arial"/>
                <w:b/>
                <w:bCs/>
                <w:sz w:val="20"/>
                <w:szCs w:val="20"/>
                <w:lang w:val="sq-AL" w:eastAsia="en-US"/>
              </w:rPr>
            </w:pPr>
            <w:r w:rsidRPr="003E7289">
              <w:rPr>
                <w:rFonts w:ascii="Arial" w:eastAsia="Myriad Pro" w:hAnsi="Arial" w:cs="Arial"/>
                <w:sz w:val="20"/>
                <w:szCs w:val="20"/>
                <w:lang w:val="sq-AL"/>
              </w:rPr>
              <w:t>Përafërsisht 82% e pyjeve publike të menaxhuara; pyjet private minimale (baza për t'u konfirmuar).</w:t>
            </w:r>
          </w:p>
        </w:tc>
        <w:tc>
          <w:tcPr>
            <w:tcW w:w="1092" w:type="pct"/>
            <w:gridSpan w:val="7"/>
            <w:vAlign w:val="center"/>
          </w:tcPr>
          <w:p w14:paraId="16B285E4" w14:textId="4D290B67" w:rsidR="008D5D24" w:rsidRPr="003E7289" w:rsidRDefault="008D5D24" w:rsidP="008D5D24">
            <w:pPr>
              <w:spacing w:before="0" w:line="240" w:lineRule="auto"/>
              <w:jc w:val="both"/>
              <w:rPr>
                <w:rFonts w:ascii="Arial" w:eastAsia="Aptos" w:hAnsi="Arial" w:cs="Arial"/>
                <w:sz w:val="20"/>
                <w:szCs w:val="20"/>
                <w:lang w:val="sq-AL" w:eastAsia="en-US"/>
              </w:rPr>
            </w:pPr>
            <w:r w:rsidRPr="003E7289">
              <w:rPr>
                <w:rFonts w:ascii="Arial" w:eastAsia="Myriad Pro" w:hAnsi="Arial" w:cs="Arial"/>
                <w:sz w:val="20"/>
                <w:szCs w:val="20"/>
                <w:lang w:val="sq-AL"/>
              </w:rPr>
              <w:t>90% e pyjeve publike të menaxhuara; planet e pilotuara të menaxhimit të pyjeve private.</w:t>
            </w:r>
          </w:p>
        </w:tc>
        <w:tc>
          <w:tcPr>
            <w:tcW w:w="587" w:type="pct"/>
            <w:gridSpan w:val="2"/>
            <w:vAlign w:val="center"/>
          </w:tcPr>
          <w:p w14:paraId="59C734D9" w14:textId="3F0D37D4" w:rsidR="008D5D24" w:rsidRPr="003E7289" w:rsidRDefault="008D5D24" w:rsidP="008D5D24">
            <w:pPr>
              <w:widowControl w:val="0"/>
              <w:autoSpaceDE w:val="0"/>
              <w:autoSpaceDN w:val="0"/>
              <w:spacing w:line="240" w:lineRule="auto"/>
              <w:rPr>
                <w:rFonts w:ascii="Arial" w:eastAsia="Myriad Pro" w:hAnsi="Arial" w:cs="Arial"/>
                <w:sz w:val="20"/>
                <w:szCs w:val="20"/>
                <w:lang w:val="sq-AL"/>
              </w:rPr>
            </w:pPr>
            <w:r w:rsidRPr="003E7289">
              <w:rPr>
                <w:rFonts w:ascii="Arial" w:eastAsia="Myriad Pro" w:hAnsi="Arial" w:cs="Arial"/>
                <w:sz w:val="20"/>
                <w:szCs w:val="20"/>
                <w:lang w:val="sq-AL"/>
              </w:rPr>
              <w:t>100% pyje publike dhe të paktën 25% pyje private sipas planeve të menaxhimit të qëndrueshëm.</w:t>
            </w:r>
          </w:p>
        </w:tc>
        <w:tc>
          <w:tcPr>
            <w:tcW w:w="1732" w:type="pct"/>
            <w:gridSpan w:val="6"/>
            <w:vAlign w:val="center"/>
          </w:tcPr>
          <w:p w14:paraId="4A434B70" w14:textId="66B54E03" w:rsidR="008D5D24" w:rsidRPr="003E7289" w:rsidRDefault="008D5D24" w:rsidP="008D5D24">
            <w:pPr>
              <w:spacing w:before="0" w:line="240" w:lineRule="auto"/>
              <w:jc w:val="both"/>
              <w:rPr>
                <w:rFonts w:ascii="Arial" w:eastAsia="Aptos" w:hAnsi="Arial" w:cs="Arial"/>
                <w:b/>
                <w:bCs/>
                <w:sz w:val="20"/>
                <w:szCs w:val="20"/>
                <w:lang w:val="sq-AL" w:eastAsia="en-US"/>
              </w:rPr>
            </w:pPr>
            <w:r w:rsidRPr="003E7289">
              <w:rPr>
                <w:rFonts w:ascii="Arial" w:eastAsia="Myriad Pro" w:hAnsi="Arial" w:cs="Arial"/>
                <w:sz w:val="20"/>
                <w:szCs w:val="20"/>
                <w:lang w:val="sq-AL"/>
              </w:rPr>
              <w:t>Të gjitha pyjet publike dhe shumica e pyjeve private të menaxhuara në mënyrë të qëndrueshme dhe biodiversiteti i mbrojtur në mënyrë aktive.</w:t>
            </w:r>
          </w:p>
        </w:tc>
      </w:tr>
      <w:tr w:rsidR="00691972" w:rsidRPr="003E7289" w14:paraId="1F1A951B" w14:textId="77777777" w:rsidTr="0039004D">
        <w:trPr>
          <w:trHeight w:val="120"/>
        </w:trPr>
        <w:tc>
          <w:tcPr>
            <w:tcW w:w="327" w:type="pct"/>
            <w:vMerge w:val="restart"/>
            <w:shd w:val="clear" w:color="auto" w:fill="C6E7F6"/>
            <w:vAlign w:val="center"/>
          </w:tcPr>
          <w:p w14:paraId="4D5F4721" w14:textId="6FF5B931"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Nr.</w:t>
            </w:r>
          </w:p>
        </w:tc>
        <w:tc>
          <w:tcPr>
            <w:tcW w:w="686" w:type="pct"/>
            <w:gridSpan w:val="3"/>
            <w:vMerge w:val="restart"/>
            <w:shd w:val="clear" w:color="auto" w:fill="C6E7F6"/>
            <w:vAlign w:val="center"/>
          </w:tcPr>
          <w:p w14:paraId="5B3890AF" w14:textId="4D12E78F"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Veprimi</w:t>
            </w:r>
          </w:p>
        </w:tc>
        <w:tc>
          <w:tcPr>
            <w:tcW w:w="576" w:type="pct"/>
            <w:gridSpan w:val="2"/>
            <w:vMerge w:val="restart"/>
            <w:shd w:val="clear" w:color="auto" w:fill="C6E7F6"/>
            <w:vAlign w:val="center"/>
          </w:tcPr>
          <w:p w14:paraId="24135F4B" w14:textId="5E2C6552"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Afati I fundit</w:t>
            </w:r>
          </w:p>
        </w:tc>
        <w:tc>
          <w:tcPr>
            <w:tcW w:w="1092" w:type="pct"/>
            <w:gridSpan w:val="7"/>
            <w:shd w:val="clear" w:color="auto" w:fill="C6E7F6"/>
            <w:vAlign w:val="center"/>
          </w:tcPr>
          <w:p w14:paraId="163B924C" w14:textId="43F5B2DB"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Buxheti</w:t>
            </w:r>
          </w:p>
        </w:tc>
        <w:tc>
          <w:tcPr>
            <w:tcW w:w="587" w:type="pct"/>
            <w:gridSpan w:val="2"/>
            <w:vMerge w:val="restart"/>
            <w:shd w:val="clear" w:color="auto" w:fill="C6E7F6"/>
            <w:vAlign w:val="center"/>
          </w:tcPr>
          <w:p w14:paraId="06681D1E" w14:textId="4E76B219"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Burimi i financimit</w:t>
            </w:r>
          </w:p>
        </w:tc>
        <w:tc>
          <w:tcPr>
            <w:tcW w:w="751" w:type="pct"/>
            <w:gridSpan w:val="3"/>
            <w:vMerge w:val="restart"/>
            <w:shd w:val="clear" w:color="auto" w:fill="C6E7F6"/>
            <w:vAlign w:val="center"/>
          </w:tcPr>
          <w:p w14:paraId="6331C184" w14:textId="74AD6383"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Institucionet përgjegjëse dhe partnere</w:t>
            </w:r>
          </w:p>
        </w:tc>
        <w:tc>
          <w:tcPr>
            <w:tcW w:w="529" w:type="pct"/>
            <w:gridSpan w:val="2"/>
            <w:vMerge w:val="restart"/>
            <w:shd w:val="clear" w:color="auto" w:fill="C6E7F6"/>
            <w:vAlign w:val="center"/>
          </w:tcPr>
          <w:p w14:paraId="06D9D8F2" w14:textId="4659B5C5"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Rezultati i pritur</w:t>
            </w:r>
          </w:p>
        </w:tc>
        <w:tc>
          <w:tcPr>
            <w:tcW w:w="453" w:type="pct"/>
            <w:vMerge w:val="restart"/>
            <w:shd w:val="clear" w:color="auto" w:fill="C6E7F6"/>
            <w:vAlign w:val="center"/>
          </w:tcPr>
          <w:p w14:paraId="6E647648" w14:textId="463DA0DC"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Dokumenti strategjik referues</w:t>
            </w:r>
          </w:p>
        </w:tc>
      </w:tr>
      <w:tr w:rsidR="00691972" w:rsidRPr="003E7289" w14:paraId="62A44F07" w14:textId="77777777" w:rsidTr="0039004D">
        <w:trPr>
          <w:trHeight w:val="120"/>
        </w:trPr>
        <w:tc>
          <w:tcPr>
            <w:tcW w:w="327" w:type="pct"/>
            <w:vMerge/>
            <w:vAlign w:val="center"/>
          </w:tcPr>
          <w:p w14:paraId="59D6E47B"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686" w:type="pct"/>
            <w:gridSpan w:val="3"/>
            <w:vMerge/>
          </w:tcPr>
          <w:p w14:paraId="24081AF3"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576" w:type="pct"/>
            <w:gridSpan w:val="2"/>
            <w:vMerge/>
          </w:tcPr>
          <w:p w14:paraId="65FEB511"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368" w:type="pct"/>
            <w:gridSpan w:val="2"/>
            <w:shd w:val="clear" w:color="auto" w:fill="C6E7F6"/>
            <w:vAlign w:val="center"/>
          </w:tcPr>
          <w:p w14:paraId="77753061"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2026</w:t>
            </w:r>
          </w:p>
        </w:tc>
        <w:tc>
          <w:tcPr>
            <w:tcW w:w="355" w:type="pct"/>
            <w:gridSpan w:val="2"/>
            <w:shd w:val="clear" w:color="auto" w:fill="C6E7F6"/>
            <w:vAlign w:val="center"/>
          </w:tcPr>
          <w:p w14:paraId="65CDE5F5"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2027</w:t>
            </w:r>
          </w:p>
        </w:tc>
        <w:tc>
          <w:tcPr>
            <w:tcW w:w="369" w:type="pct"/>
            <w:gridSpan w:val="3"/>
            <w:shd w:val="clear" w:color="auto" w:fill="C6E7F6"/>
            <w:vAlign w:val="center"/>
          </w:tcPr>
          <w:p w14:paraId="26FBD76D"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2028</w:t>
            </w:r>
          </w:p>
        </w:tc>
        <w:tc>
          <w:tcPr>
            <w:tcW w:w="587" w:type="pct"/>
            <w:gridSpan w:val="2"/>
            <w:vMerge/>
          </w:tcPr>
          <w:p w14:paraId="268427E6"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751" w:type="pct"/>
            <w:gridSpan w:val="3"/>
            <w:vMerge/>
          </w:tcPr>
          <w:p w14:paraId="36FB57FB"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529" w:type="pct"/>
            <w:gridSpan w:val="2"/>
            <w:vMerge/>
          </w:tcPr>
          <w:p w14:paraId="636AFF37"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453" w:type="pct"/>
            <w:vMerge/>
          </w:tcPr>
          <w:p w14:paraId="1ACDC251"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r>
      <w:tr w:rsidR="00691972" w:rsidRPr="003E7289" w14:paraId="672808CE" w14:textId="77777777" w:rsidTr="0039004D">
        <w:trPr>
          <w:trHeight w:val="119"/>
        </w:trPr>
        <w:tc>
          <w:tcPr>
            <w:tcW w:w="327" w:type="pct"/>
            <w:vAlign w:val="center"/>
          </w:tcPr>
          <w:p w14:paraId="5478A2D2" w14:textId="4EE75D84" w:rsidR="00CC340D" w:rsidRPr="003E7289" w:rsidRDefault="00CC340D" w:rsidP="00CC340D">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III.3</w:t>
            </w:r>
            <w:r w:rsidR="00E0225B" w:rsidRPr="003E7289">
              <w:rPr>
                <w:rFonts w:ascii="Arial" w:eastAsia="Aptos" w:hAnsi="Arial" w:cs="Arial"/>
                <w:b/>
                <w:bCs/>
                <w:sz w:val="20"/>
                <w:szCs w:val="20"/>
                <w:lang w:val="sq-AL"/>
              </w:rPr>
              <w:t>3</w:t>
            </w:r>
            <w:r w:rsidRPr="003E7289">
              <w:rPr>
                <w:rFonts w:ascii="Arial" w:eastAsia="Aptos" w:hAnsi="Arial" w:cs="Arial"/>
                <w:b/>
                <w:bCs/>
                <w:sz w:val="20"/>
                <w:szCs w:val="20"/>
                <w:lang w:val="sq-AL"/>
              </w:rPr>
              <w:t>.1</w:t>
            </w:r>
          </w:p>
        </w:tc>
        <w:tc>
          <w:tcPr>
            <w:tcW w:w="686" w:type="pct"/>
            <w:gridSpan w:val="3"/>
            <w:vAlign w:val="center"/>
          </w:tcPr>
          <w:p w14:paraId="330B45FB" w14:textId="15B66DEB" w:rsidR="00CC340D" w:rsidRPr="003E7289" w:rsidRDefault="008D5D24"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Zhvillimi dhe zbatimi i planeve të menaxhimit adaptiv të pyjeve publike</w:t>
            </w:r>
          </w:p>
        </w:tc>
        <w:tc>
          <w:tcPr>
            <w:tcW w:w="576" w:type="pct"/>
            <w:gridSpan w:val="2"/>
            <w:vAlign w:val="center"/>
          </w:tcPr>
          <w:p w14:paraId="5288730B" w14:textId="77777777"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2029</w:t>
            </w:r>
          </w:p>
        </w:tc>
        <w:tc>
          <w:tcPr>
            <w:tcW w:w="368" w:type="pct"/>
            <w:gridSpan w:val="2"/>
            <w:vAlign w:val="center"/>
          </w:tcPr>
          <w:p w14:paraId="57B24410" w14:textId="2D18B150"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375.000€</w:t>
            </w:r>
          </w:p>
        </w:tc>
        <w:tc>
          <w:tcPr>
            <w:tcW w:w="355" w:type="pct"/>
            <w:gridSpan w:val="2"/>
            <w:vAlign w:val="center"/>
          </w:tcPr>
          <w:p w14:paraId="6CE9F632"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369" w:type="pct"/>
            <w:gridSpan w:val="3"/>
            <w:vAlign w:val="center"/>
          </w:tcPr>
          <w:p w14:paraId="6696DAF1"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587" w:type="pct"/>
            <w:gridSpan w:val="2"/>
            <w:vAlign w:val="center"/>
          </w:tcPr>
          <w:p w14:paraId="445A3647" w14:textId="6AEB8F36" w:rsidR="00CC340D"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Programi IPA III i BE-së, Buxheti Kombëtar, Donatorët</w:t>
            </w:r>
          </w:p>
        </w:tc>
        <w:tc>
          <w:tcPr>
            <w:tcW w:w="751" w:type="pct"/>
            <w:gridSpan w:val="3"/>
            <w:vAlign w:val="center"/>
          </w:tcPr>
          <w:p w14:paraId="53E11CC1" w14:textId="1CF62706" w:rsidR="00CC340D"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MBZHR, Agjencia e Pyjeve të Kosovës, komunat dhe komunitetet lokale</w:t>
            </w:r>
          </w:p>
        </w:tc>
        <w:tc>
          <w:tcPr>
            <w:tcW w:w="529" w:type="pct"/>
            <w:gridSpan w:val="2"/>
            <w:vAlign w:val="center"/>
          </w:tcPr>
          <w:p w14:paraId="7E190594" w14:textId="68B25931" w:rsidR="00CC340D" w:rsidRPr="003E7289" w:rsidRDefault="008D5D24"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sz w:val="20"/>
                <w:szCs w:val="20"/>
                <w:lang w:val="sq-AL"/>
              </w:rPr>
              <w:t>Hartimi dhe zbatimi i planeve të menaxhimit adaptiv të pyjeve</w:t>
            </w:r>
          </w:p>
        </w:tc>
        <w:tc>
          <w:tcPr>
            <w:tcW w:w="453" w:type="pct"/>
            <w:vAlign w:val="center"/>
          </w:tcPr>
          <w:p w14:paraId="20F80D6E" w14:textId="1CFB712A" w:rsidR="00CC340D" w:rsidRPr="003E7289" w:rsidRDefault="00BE39C7"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color w:val="000000"/>
                <w:sz w:val="20"/>
                <w:szCs w:val="20"/>
                <w:lang w:val="sq-AL"/>
              </w:rPr>
              <w:t>Strategjia</w:t>
            </w:r>
            <w:r w:rsidR="008D5D24" w:rsidRPr="003E7289">
              <w:rPr>
                <w:rFonts w:ascii="Arial" w:eastAsia="Aptos" w:hAnsi="Arial" w:cs="Arial"/>
                <w:color w:val="000000"/>
                <w:sz w:val="20"/>
                <w:szCs w:val="20"/>
                <w:lang w:val="sq-AL"/>
              </w:rPr>
              <w:t xml:space="preserve"> për Zhvillimin e Bujqësisë dhe Rural 2022–2028</w:t>
            </w:r>
          </w:p>
        </w:tc>
      </w:tr>
      <w:tr w:rsidR="00691972" w:rsidRPr="003E7289" w14:paraId="41D995DE" w14:textId="77777777" w:rsidTr="0039004D">
        <w:trPr>
          <w:trHeight w:val="120"/>
        </w:trPr>
        <w:tc>
          <w:tcPr>
            <w:tcW w:w="327" w:type="pct"/>
            <w:vAlign w:val="center"/>
          </w:tcPr>
          <w:p w14:paraId="72B386BA" w14:textId="7531146C" w:rsidR="00CC340D" w:rsidRPr="003E7289" w:rsidRDefault="00CC340D" w:rsidP="00202B84">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III.3</w:t>
            </w:r>
            <w:r w:rsidR="00E0225B" w:rsidRPr="003E7289">
              <w:rPr>
                <w:rFonts w:ascii="Arial" w:eastAsia="Aptos" w:hAnsi="Arial" w:cs="Arial"/>
                <w:b/>
                <w:bCs/>
                <w:sz w:val="20"/>
                <w:szCs w:val="20"/>
                <w:lang w:val="sq-AL"/>
              </w:rPr>
              <w:t>3</w:t>
            </w:r>
            <w:r w:rsidRPr="003E7289">
              <w:rPr>
                <w:rFonts w:ascii="Arial" w:eastAsia="Aptos" w:hAnsi="Arial" w:cs="Arial"/>
                <w:b/>
                <w:bCs/>
                <w:sz w:val="20"/>
                <w:szCs w:val="20"/>
                <w:lang w:val="sq-AL"/>
              </w:rPr>
              <w:t>.2</w:t>
            </w:r>
          </w:p>
        </w:tc>
        <w:tc>
          <w:tcPr>
            <w:tcW w:w="686" w:type="pct"/>
            <w:gridSpan w:val="3"/>
            <w:vAlign w:val="center"/>
          </w:tcPr>
          <w:p w14:paraId="6C448E25" w14:textId="289A0B9E" w:rsidR="00CC340D" w:rsidRPr="003E7289" w:rsidRDefault="008D5D24"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Fuqizimi i monitorimit të pyjeve, zbatimit të ligjit dhe sistemeve për mbrojtjen e biodiv</w:t>
            </w:r>
            <w:r w:rsidRPr="003E7289">
              <w:rPr>
                <w:rFonts w:ascii="Arial" w:eastAsia="Aptos" w:hAnsi="Arial" w:cs="Arial"/>
                <w:b/>
                <w:bCs/>
                <w:sz w:val="20"/>
                <w:szCs w:val="20"/>
                <w:lang w:val="sq-AL"/>
              </w:rPr>
              <w:lastRenderedPageBreak/>
              <w:t>ersitetit</w:t>
            </w:r>
          </w:p>
        </w:tc>
        <w:tc>
          <w:tcPr>
            <w:tcW w:w="576" w:type="pct"/>
            <w:gridSpan w:val="2"/>
            <w:vAlign w:val="center"/>
          </w:tcPr>
          <w:p w14:paraId="1D0E15F5" w14:textId="77777777"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2035</w:t>
            </w:r>
          </w:p>
        </w:tc>
        <w:tc>
          <w:tcPr>
            <w:tcW w:w="368" w:type="pct"/>
            <w:gridSpan w:val="2"/>
            <w:vAlign w:val="center"/>
          </w:tcPr>
          <w:p w14:paraId="406D1CDD"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355" w:type="pct"/>
            <w:gridSpan w:val="2"/>
            <w:vAlign w:val="center"/>
          </w:tcPr>
          <w:p w14:paraId="34F9215A" w14:textId="04AEA91B"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150.000€</w:t>
            </w:r>
          </w:p>
        </w:tc>
        <w:tc>
          <w:tcPr>
            <w:tcW w:w="369" w:type="pct"/>
            <w:gridSpan w:val="3"/>
            <w:vAlign w:val="center"/>
          </w:tcPr>
          <w:p w14:paraId="54815615" w14:textId="5CA46F00" w:rsidR="00CC340D" w:rsidRPr="003E7289" w:rsidRDefault="00CC340D" w:rsidP="00CC340D">
            <w:pPr>
              <w:spacing w:before="0" w:line="240" w:lineRule="auto"/>
              <w:jc w:val="center"/>
              <w:rPr>
                <w:rFonts w:ascii="Arial" w:eastAsia="Aptos" w:hAnsi="Arial" w:cs="Arial"/>
                <w:sz w:val="20"/>
                <w:szCs w:val="20"/>
                <w:lang w:val="sq-AL" w:eastAsia="en-US"/>
              </w:rPr>
            </w:pPr>
          </w:p>
        </w:tc>
        <w:tc>
          <w:tcPr>
            <w:tcW w:w="587" w:type="pct"/>
            <w:gridSpan w:val="2"/>
            <w:vAlign w:val="center"/>
          </w:tcPr>
          <w:p w14:paraId="00D03C0C" w14:textId="051BDF76" w:rsidR="00CC340D"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Programi IPA III i BE-së, Buxheti Kombëtar, Donatorët</w:t>
            </w:r>
          </w:p>
        </w:tc>
        <w:tc>
          <w:tcPr>
            <w:tcW w:w="751" w:type="pct"/>
            <w:gridSpan w:val="3"/>
            <w:vAlign w:val="center"/>
          </w:tcPr>
          <w:p w14:paraId="4F9C58B9" w14:textId="6067999E" w:rsidR="00CC340D" w:rsidRPr="003E7289" w:rsidRDefault="008D5D24"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sz w:val="20"/>
                <w:szCs w:val="20"/>
                <w:lang w:val="sq-AL"/>
              </w:rPr>
              <w:t>MBZHR, Agjencia e Pyjeve të Kosovës, komunat dhe komunitetet lokale</w:t>
            </w:r>
          </w:p>
        </w:tc>
        <w:tc>
          <w:tcPr>
            <w:tcW w:w="529" w:type="pct"/>
            <w:gridSpan w:val="2"/>
            <w:vAlign w:val="center"/>
          </w:tcPr>
          <w:p w14:paraId="3C048C2C" w14:textId="1D945E29" w:rsidR="00CC340D"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 xml:space="preserve">Sistemet efektive të zbatimit të ligjit dhe monitorimit të biodiversitetit </w:t>
            </w:r>
            <w:r w:rsidRPr="003E7289">
              <w:rPr>
                <w:rFonts w:ascii="Arial" w:eastAsia="Aptos" w:hAnsi="Arial" w:cs="Arial"/>
                <w:sz w:val="20"/>
                <w:szCs w:val="20"/>
                <w:lang w:val="sq-AL"/>
              </w:rPr>
              <w:lastRenderedPageBreak/>
              <w:t>funksionale në të gjitha zonat pyjore të menaxhuara</w:t>
            </w:r>
          </w:p>
        </w:tc>
        <w:tc>
          <w:tcPr>
            <w:tcW w:w="453" w:type="pct"/>
            <w:vAlign w:val="center"/>
          </w:tcPr>
          <w:p w14:paraId="1582468F" w14:textId="76E96DF7" w:rsidR="00CC340D" w:rsidRPr="003E7289" w:rsidRDefault="00BE39C7"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color w:val="000000"/>
                <w:sz w:val="20"/>
                <w:szCs w:val="20"/>
                <w:lang w:val="sq-AL"/>
              </w:rPr>
              <w:lastRenderedPageBreak/>
              <w:t>Strategjia</w:t>
            </w:r>
            <w:r w:rsidR="008D5D24" w:rsidRPr="003E7289">
              <w:rPr>
                <w:rFonts w:ascii="Arial" w:eastAsia="Aptos" w:hAnsi="Arial" w:cs="Arial"/>
                <w:color w:val="000000"/>
                <w:sz w:val="20"/>
                <w:szCs w:val="20"/>
                <w:lang w:val="sq-AL"/>
              </w:rPr>
              <w:t xml:space="preserve"> për Zhvillimin e Bujqësisë </w:t>
            </w:r>
            <w:r w:rsidR="008D5D24" w:rsidRPr="003E7289">
              <w:rPr>
                <w:rFonts w:ascii="Arial" w:eastAsia="Aptos" w:hAnsi="Arial" w:cs="Arial"/>
                <w:color w:val="000000"/>
                <w:sz w:val="20"/>
                <w:szCs w:val="20"/>
                <w:lang w:val="sq-AL"/>
              </w:rPr>
              <w:lastRenderedPageBreak/>
              <w:t>dhe Rural 2022–2028</w:t>
            </w:r>
          </w:p>
        </w:tc>
      </w:tr>
      <w:tr w:rsidR="00A402D1" w:rsidRPr="003E7289" w14:paraId="05F4222C" w14:textId="77777777" w:rsidTr="0039004D">
        <w:trPr>
          <w:trHeight w:val="120"/>
        </w:trPr>
        <w:tc>
          <w:tcPr>
            <w:tcW w:w="1012" w:type="pct"/>
            <w:gridSpan w:val="4"/>
            <w:shd w:val="clear" w:color="auto" w:fill="C6E7F6"/>
            <w:vAlign w:val="center"/>
          </w:tcPr>
          <w:p w14:paraId="53574F26" w14:textId="742C8AF2" w:rsidR="00C63DE6" w:rsidRPr="003E7289" w:rsidRDefault="00C63DE6" w:rsidP="00C63DE6">
            <w:pPr>
              <w:spacing w:before="0" w:line="240" w:lineRule="auto"/>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Buxheti total për Objektivin specifik III.3</w:t>
            </w:r>
            <w:r w:rsidR="00E0225B" w:rsidRPr="003E7289">
              <w:rPr>
                <w:rFonts w:ascii="Arial" w:eastAsia="Aptos" w:hAnsi="Arial" w:cs="Arial"/>
                <w:b/>
                <w:bCs/>
                <w:sz w:val="20"/>
                <w:szCs w:val="20"/>
                <w:lang w:val="sq-AL"/>
              </w:rPr>
              <w:t>3</w:t>
            </w:r>
            <w:r w:rsidRPr="003E7289">
              <w:rPr>
                <w:rFonts w:ascii="Arial" w:eastAsia="Aptos" w:hAnsi="Arial" w:cs="Arial"/>
                <w:b/>
                <w:bCs/>
                <w:sz w:val="20"/>
                <w:szCs w:val="20"/>
                <w:lang w:val="sq-AL"/>
              </w:rPr>
              <w:t>:</w:t>
            </w:r>
          </w:p>
        </w:tc>
        <w:tc>
          <w:tcPr>
            <w:tcW w:w="3988" w:type="pct"/>
            <w:gridSpan w:val="17"/>
            <w:vAlign w:val="center"/>
          </w:tcPr>
          <w:p w14:paraId="5784350D" w14:textId="2B433562" w:rsidR="00C63DE6" w:rsidRPr="003E7289" w:rsidRDefault="00C63DE6" w:rsidP="00C63DE6">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525.000€</w:t>
            </w:r>
          </w:p>
        </w:tc>
      </w:tr>
      <w:tr w:rsidR="00A402D1" w:rsidRPr="003E7289" w14:paraId="1734272E" w14:textId="77777777" w:rsidTr="0039004D">
        <w:trPr>
          <w:trHeight w:val="120"/>
        </w:trPr>
        <w:tc>
          <w:tcPr>
            <w:tcW w:w="1012" w:type="pct"/>
            <w:gridSpan w:val="4"/>
            <w:shd w:val="clear" w:color="auto" w:fill="C6E7F6"/>
          </w:tcPr>
          <w:p w14:paraId="01CF9B6D" w14:textId="3FB0235B" w:rsidR="00C63DE6" w:rsidRPr="003E7289" w:rsidRDefault="00C63DE6" w:rsidP="00C63DE6">
            <w:pPr>
              <w:spacing w:before="0" w:line="240" w:lineRule="auto"/>
              <w:rPr>
                <w:rFonts w:ascii="Arial" w:eastAsia="Aptos" w:hAnsi="Arial" w:cs="Arial"/>
                <w:b/>
                <w:bCs/>
                <w:sz w:val="20"/>
                <w:szCs w:val="20"/>
                <w:lang w:val="sq-AL" w:eastAsia="en-US"/>
              </w:rPr>
            </w:pPr>
            <w:r w:rsidRPr="003E7289">
              <w:rPr>
                <w:rFonts w:ascii="Arial" w:eastAsia="Aptos" w:hAnsi="Arial" w:cs="Arial"/>
                <w:b/>
                <w:bCs/>
                <w:sz w:val="20"/>
                <w:szCs w:val="20"/>
                <w:lang w:val="sq-AL"/>
              </w:rPr>
              <w:t>Nga kjo, kapital:</w:t>
            </w:r>
          </w:p>
        </w:tc>
        <w:tc>
          <w:tcPr>
            <w:tcW w:w="3988" w:type="pct"/>
            <w:gridSpan w:val="17"/>
          </w:tcPr>
          <w:p w14:paraId="148A42DF" w14:textId="67EB668C" w:rsidR="00C63DE6" w:rsidRPr="003E7289" w:rsidRDefault="00C63DE6" w:rsidP="00C63DE6">
            <w:pPr>
              <w:spacing w:before="0" w:line="240" w:lineRule="auto"/>
              <w:jc w:val="center"/>
              <w:rPr>
                <w:rFonts w:ascii="Arial" w:eastAsia="Aptos" w:hAnsi="Arial" w:cs="Arial"/>
                <w:b/>
                <w:bCs/>
                <w:sz w:val="20"/>
                <w:szCs w:val="20"/>
                <w:lang w:val="sq-AL" w:eastAsia="en-US"/>
              </w:rPr>
            </w:pPr>
            <w:r w:rsidRPr="003E7289">
              <w:rPr>
                <w:rFonts w:ascii="Arial" w:eastAsia="Aptos" w:hAnsi="Arial" w:cs="Arial"/>
                <w:sz w:val="20"/>
                <w:szCs w:val="20"/>
                <w:lang w:val="sq-AL"/>
              </w:rPr>
              <w:t>375.000€</w:t>
            </w:r>
          </w:p>
        </w:tc>
      </w:tr>
      <w:tr w:rsidR="00A402D1" w:rsidRPr="003E7289" w14:paraId="4D38C238" w14:textId="77777777" w:rsidTr="0039004D">
        <w:trPr>
          <w:trHeight w:val="120"/>
        </w:trPr>
        <w:tc>
          <w:tcPr>
            <w:tcW w:w="1012" w:type="pct"/>
            <w:gridSpan w:val="4"/>
            <w:shd w:val="clear" w:color="auto" w:fill="C6E7F6"/>
          </w:tcPr>
          <w:p w14:paraId="46CFC2BD" w14:textId="09C1E70F" w:rsidR="00C63DE6" w:rsidRPr="003E7289" w:rsidRDefault="00C63DE6" w:rsidP="00C63DE6">
            <w:pPr>
              <w:spacing w:before="0" w:line="240" w:lineRule="auto"/>
              <w:rPr>
                <w:rFonts w:ascii="Arial" w:eastAsia="Aptos" w:hAnsi="Arial" w:cs="Arial"/>
                <w:b/>
                <w:bCs/>
                <w:sz w:val="20"/>
                <w:szCs w:val="20"/>
                <w:lang w:val="sq-AL" w:eastAsia="en-US"/>
              </w:rPr>
            </w:pPr>
            <w:r w:rsidRPr="003E7289">
              <w:rPr>
                <w:rFonts w:ascii="Arial" w:eastAsia="Aptos" w:hAnsi="Arial" w:cs="Arial"/>
                <w:b/>
                <w:bCs/>
                <w:sz w:val="20"/>
                <w:szCs w:val="20"/>
                <w:lang w:val="sq-AL"/>
              </w:rPr>
              <w:t>Nga kjo, shpenzime korrente:</w:t>
            </w:r>
          </w:p>
        </w:tc>
        <w:tc>
          <w:tcPr>
            <w:tcW w:w="3988" w:type="pct"/>
            <w:gridSpan w:val="17"/>
          </w:tcPr>
          <w:p w14:paraId="2B6E9AE3" w14:textId="708026FE" w:rsidR="00C63DE6" w:rsidRPr="003E7289" w:rsidRDefault="00C63DE6" w:rsidP="00C63DE6">
            <w:pPr>
              <w:spacing w:before="0" w:line="240" w:lineRule="auto"/>
              <w:jc w:val="center"/>
              <w:rPr>
                <w:rFonts w:ascii="Arial" w:eastAsia="Aptos" w:hAnsi="Arial" w:cs="Arial"/>
                <w:b/>
                <w:bCs/>
                <w:sz w:val="20"/>
                <w:szCs w:val="20"/>
                <w:lang w:val="sq-AL" w:eastAsia="en-US"/>
              </w:rPr>
            </w:pPr>
            <w:r w:rsidRPr="003E7289">
              <w:rPr>
                <w:rFonts w:ascii="Arial" w:eastAsia="Aptos" w:hAnsi="Arial" w:cs="Arial"/>
                <w:sz w:val="20"/>
                <w:szCs w:val="20"/>
                <w:lang w:val="sq-AL"/>
              </w:rPr>
              <w:t>150.000€</w:t>
            </w:r>
          </w:p>
        </w:tc>
      </w:tr>
      <w:tr w:rsidR="00B152BF" w:rsidRPr="003E7289" w14:paraId="27455701" w14:textId="77777777" w:rsidTr="0039004D">
        <w:trPr>
          <w:trHeight w:val="120"/>
        </w:trPr>
        <w:tc>
          <w:tcPr>
            <w:tcW w:w="327" w:type="pct"/>
            <w:shd w:val="clear" w:color="auto" w:fill="84CCEC"/>
            <w:vAlign w:val="center"/>
          </w:tcPr>
          <w:p w14:paraId="157FAA53" w14:textId="6BDB6D9B"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III.3</w:t>
            </w:r>
            <w:r w:rsidR="00E0225B" w:rsidRPr="003E7289">
              <w:rPr>
                <w:rFonts w:ascii="Arial" w:eastAsia="Aptos" w:hAnsi="Arial" w:cs="Arial"/>
                <w:b/>
                <w:bCs/>
                <w:sz w:val="20"/>
                <w:szCs w:val="20"/>
                <w:lang w:val="sq-AL"/>
              </w:rPr>
              <w:t>4</w:t>
            </w:r>
          </w:p>
        </w:tc>
        <w:tc>
          <w:tcPr>
            <w:tcW w:w="4673" w:type="pct"/>
            <w:gridSpan w:val="20"/>
            <w:shd w:val="clear" w:color="auto" w:fill="84CCEC"/>
            <w:vAlign w:val="center"/>
          </w:tcPr>
          <w:p w14:paraId="5DB5ECAB" w14:textId="122B087C" w:rsidR="00B152BF" w:rsidRPr="003E7289" w:rsidRDefault="006624D5"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Ulja e rrezikut dhe ndikimit të zjarreve pyjore (parandalim, përgatitje, reagim)</w:t>
            </w:r>
          </w:p>
        </w:tc>
      </w:tr>
      <w:tr w:rsidR="00702B19" w:rsidRPr="003E7289" w14:paraId="54FA3162" w14:textId="77777777" w:rsidTr="0039004D">
        <w:trPr>
          <w:trHeight w:val="120"/>
        </w:trPr>
        <w:tc>
          <w:tcPr>
            <w:tcW w:w="1012" w:type="pct"/>
            <w:gridSpan w:val="4"/>
            <w:vAlign w:val="center"/>
          </w:tcPr>
          <w:p w14:paraId="2A279702" w14:textId="777155CC" w:rsidR="008D5D24" w:rsidRPr="003E7289" w:rsidRDefault="008D5D24" w:rsidP="008D5D24">
            <w:pPr>
              <w:spacing w:before="0" w:line="240" w:lineRule="auto"/>
              <w:jc w:val="center"/>
              <w:rPr>
                <w:rFonts w:ascii="Arial" w:eastAsia="Aptos" w:hAnsi="Arial" w:cs="Arial"/>
                <w:b/>
                <w:bCs/>
                <w:sz w:val="20"/>
                <w:szCs w:val="20"/>
                <w:lang w:val="sq-AL" w:eastAsia="en-US"/>
              </w:rPr>
            </w:pPr>
            <w:r w:rsidRPr="003E7289">
              <w:rPr>
                <w:rFonts w:ascii="Arial" w:eastAsia="Myriad Pro" w:hAnsi="Arial" w:cs="Arial"/>
                <w:b/>
                <w:bCs/>
                <w:sz w:val="20"/>
                <w:szCs w:val="20"/>
                <w:lang w:val="sq-AL"/>
              </w:rPr>
              <w:t>Sipërfaqja vjetore pyjore e prekur nga zjarret (hektarë/vit).</w:t>
            </w:r>
          </w:p>
        </w:tc>
        <w:tc>
          <w:tcPr>
            <w:tcW w:w="576" w:type="pct"/>
            <w:gridSpan w:val="2"/>
            <w:vAlign w:val="center"/>
          </w:tcPr>
          <w:p w14:paraId="4BD8F2CE" w14:textId="50F94082" w:rsidR="008D5D24" w:rsidRPr="003E7289" w:rsidRDefault="008D5D24" w:rsidP="008D5D24">
            <w:pPr>
              <w:spacing w:before="0" w:line="240" w:lineRule="auto"/>
              <w:jc w:val="both"/>
              <w:rPr>
                <w:rFonts w:ascii="Arial" w:eastAsia="Aptos" w:hAnsi="Arial" w:cs="Arial"/>
                <w:b/>
                <w:bCs/>
                <w:sz w:val="20"/>
                <w:szCs w:val="20"/>
                <w:lang w:val="sq-AL" w:eastAsia="en-US"/>
              </w:rPr>
            </w:pPr>
            <w:r w:rsidRPr="003E7289">
              <w:rPr>
                <w:rFonts w:ascii="Arial" w:eastAsia="Myriad Pro" w:hAnsi="Arial" w:cs="Arial"/>
                <w:sz w:val="20"/>
                <w:szCs w:val="20"/>
                <w:lang w:val="sq-AL"/>
              </w:rPr>
              <w:t>3,470 hektarë të djegur në vitin 2024 (3,224 ha në pronësi shtet</w:t>
            </w:r>
            <w:r w:rsidRPr="003E7289">
              <w:rPr>
                <w:rFonts w:ascii="Arial" w:eastAsia="Myriad Pro" w:hAnsi="Arial" w:cs="Arial"/>
                <w:sz w:val="20"/>
                <w:szCs w:val="20"/>
                <w:lang w:val="sq-AL"/>
              </w:rPr>
              <w:lastRenderedPageBreak/>
              <w:t>ërore, 246 ha private)</w:t>
            </w:r>
          </w:p>
        </w:tc>
        <w:tc>
          <w:tcPr>
            <w:tcW w:w="1092" w:type="pct"/>
            <w:gridSpan w:val="7"/>
            <w:vAlign w:val="center"/>
          </w:tcPr>
          <w:p w14:paraId="18A7B2A3" w14:textId="77777777" w:rsidR="008D5D24" w:rsidRPr="003E7289" w:rsidRDefault="008D5D24" w:rsidP="00702B19">
            <w:pPr>
              <w:widowControl w:val="0"/>
              <w:autoSpaceDE w:val="0"/>
              <w:autoSpaceDN w:val="0"/>
              <w:spacing w:before="0" w:line="240" w:lineRule="auto"/>
              <w:jc w:val="center"/>
              <w:rPr>
                <w:rFonts w:ascii="Arial" w:eastAsia="Myriad Pro" w:hAnsi="Arial" w:cs="Arial"/>
                <w:sz w:val="20"/>
                <w:szCs w:val="20"/>
                <w:lang w:val="sq-AL"/>
              </w:rPr>
            </w:pPr>
            <w:r w:rsidRPr="003E7289">
              <w:rPr>
                <w:rFonts w:ascii="Arial" w:eastAsia="Myriad Pro" w:hAnsi="Arial" w:cs="Arial"/>
                <w:sz w:val="20"/>
                <w:szCs w:val="20"/>
                <w:lang w:val="sq-AL"/>
              </w:rPr>
              <w:lastRenderedPageBreak/>
              <w:t>Ndikimet e zjarreve në pyje janë zvogëluar në nën 2,000 ha në vit.</w:t>
            </w:r>
          </w:p>
          <w:p w14:paraId="5CE7A2D3" w14:textId="148E0454" w:rsidR="008D5D24" w:rsidRPr="003E7289" w:rsidRDefault="008D5D24" w:rsidP="00702B19">
            <w:pPr>
              <w:spacing w:before="0" w:line="240" w:lineRule="auto"/>
              <w:rPr>
                <w:rFonts w:ascii="Arial" w:eastAsia="Aptos" w:hAnsi="Arial" w:cs="Arial"/>
                <w:b/>
                <w:bCs/>
                <w:sz w:val="20"/>
                <w:szCs w:val="20"/>
                <w:lang w:val="sq-AL" w:eastAsia="en-US"/>
              </w:rPr>
            </w:pPr>
            <w:r w:rsidRPr="003E7289">
              <w:rPr>
                <w:rFonts w:ascii="Arial" w:eastAsia="Myriad Pro" w:hAnsi="Arial" w:cs="Arial"/>
                <w:sz w:val="20"/>
                <w:szCs w:val="20"/>
                <w:lang w:val="sq-AL"/>
              </w:rPr>
              <w:t xml:space="preserve">Kapacitetet njerëzore, buxhetore dhe teknike të Agjencisë së Menaxhimit të Emergjencave, </w:t>
            </w:r>
            <w:r w:rsidR="0089523F" w:rsidRPr="003E7289">
              <w:rPr>
                <w:rFonts w:ascii="Arial" w:eastAsia="Myriad Pro" w:hAnsi="Arial" w:cs="Arial"/>
                <w:sz w:val="20"/>
                <w:szCs w:val="20"/>
                <w:lang w:val="sq-AL"/>
              </w:rPr>
              <w:t>Njësive Profesionale të Zjarrfikjes dhe Shpëtimit</w:t>
            </w:r>
            <w:r w:rsidR="00EC7B05" w:rsidRPr="003E7289">
              <w:rPr>
                <w:rFonts w:ascii="Arial" w:eastAsia="Myriad Pro" w:hAnsi="Arial" w:cs="Arial"/>
                <w:sz w:val="20"/>
                <w:szCs w:val="20"/>
                <w:lang w:val="sq-AL"/>
              </w:rPr>
              <w:t xml:space="preserve"> </w:t>
            </w:r>
            <w:r w:rsidR="00702B19" w:rsidRPr="003E7289">
              <w:rPr>
                <w:rFonts w:ascii="Arial" w:eastAsia="Myriad Pro" w:hAnsi="Arial" w:cs="Arial"/>
                <w:sz w:val="20"/>
                <w:szCs w:val="20"/>
                <w:lang w:val="sq-AL"/>
              </w:rPr>
              <w:t>, si</w:t>
            </w:r>
            <w:r w:rsidR="00702B19" w:rsidRPr="003E7289">
              <w:rPr>
                <w:rFonts w:ascii="Arial" w:eastAsia="Myriad Pro" w:hAnsi="Arial" w:cs="Arial"/>
                <w:color w:val="FF0000"/>
                <w:sz w:val="20"/>
                <w:szCs w:val="20"/>
                <w:lang w:val="sq-AL"/>
              </w:rPr>
              <w:t xml:space="preserve"> </w:t>
            </w:r>
            <w:r w:rsidRPr="003E7289">
              <w:rPr>
                <w:rFonts w:ascii="Arial" w:eastAsia="Myriad Pro" w:hAnsi="Arial" w:cs="Arial"/>
                <w:sz w:val="20"/>
                <w:szCs w:val="20"/>
                <w:lang w:val="sq-AL"/>
              </w:rPr>
              <w:t xml:space="preserve">dhe </w:t>
            </w:r>
            <w:r w:rsidRPr="003E7289">
              <w:rPr>
                <w:rFonts w:ascii="Arial" w:eastAsia="Myriad Pro" w:hAnsi="Arial" w:cs="Arial"/>
                <w:sz w:val="20"/>
                <w:szCs w:val="20"/>
                <w:lang w:val="sq-AL"/>
              </w:rPr>
              <w:lastRenderedPageBreak/>
              <w:t xml:space="preserve">Agjencisë Pyjore janë rritur për të minimizuar zonat e prekura nga zjarri. Të paktën 10 kolektorë uji janë ndërtuar në pyje për të ndihmuar në </w:t>
            </w:r>
            <w:r w:rsidR="0089523F" w:rsidRPr="003E7289">
              <w:rPr>
                <w:rFonts w:ascii="Arial" w:eastAsia="Myriad Pro" w:hAnsi="Arial" w:cs="Arial"/>
                <w:sz w:val="20"/>
                <w:szCs w:val="20"/>
                <w:lang w:val="sq-AL"/>
              </w:rPr>
              <w:t xml:space="preserve">fikjen </w:t>
            </w:r>
            <w:r w:rsidRPr="003E7289">
              <w:rPr>
                <w:rFonts w:ascii="Arial" w:eastAsia="Myriad Pro" w:hAnsi="Arial" w:cs="Arial"/>
                <w:sz w:val="20"/>
                <w:szCs w:val="20"/>
                <w:lang w:val="sq-AL"/>
              </w:rPr>
              <w:t>e shpejtë të zjarreve dhe për të mbështetur biodiversitetin.</w:t>
            </w:r>
          </w:p>
        </w:tc>
        <w:tc>
          <w:tcPr>
            <w:tcW w:w="587" w:type="pct"/>
            <w:gridSpan w:val="2"/>
            <w:vAlign w:val="center"/>
          </w:tcPr>
          <w:p w14:paraId="3D5E5843" w14:textId="16332133" w:rsidR="008D5D24" w:rsidRPr="003E7289" w:rsidRDefault="008D5D24" w:rsidP="00702B19">
            <w:pPr>
              <w:spacing w:before="0" w:line="240" w:lineRule="auto"/>
              <w:rPr>
                <w:rFonts w:ascii="Arial" w:eastAsia="Aptos" w:hAnsi="Arial" w:cs="Arial"/>
                <w:b/>
                <w:bCs/>
                <w:sz w:val="20"/>
                <w:szCs w:val="20"/>
                <w:lang w:val="sq-AL" w:eastAsia="en-US"/>
              </w:rPr>
            </w:pPr>
            <w:r w:rsidRPr="003E7289">
              <w:rPr>
                <w:rFonts w:ascii="Arial" w:eastAsia="Myriad Pro" w:hAnsi="Arial" w:cs="Arial"/>
                <w:sz w:val="20"/>
                <w:szCs w:val="20"/>
                <w:lang w:val="sq-AL"/>
              </w:rPr>
              <w:lastRenderedPageBreak/>
              <w:t>Ndikimet e zjarreve në pyje janë zvogëluar në nën 1,000 ha në vit për shkak të monitorimit dhe reagimit të shtuar; përmirësim i mëtejshëm i kapaciteteve institucionale, një total prej 30 kolektorësh uji janë ndërtuar në pyje.</w:t>
            </w:r>
          </w:p>
        </w:tc>
        <w:tc>
          <w:tcPr>
            <w:tcW w:w="1732" w:type="pct"/>
            <w:gridSpan w:val="6"/>
            <w:vAlign w:val="center"/>
          </w:tcPr>
          <w:p w14:paraId="4302D909" w14:textId="77777777" w:rsidR="008D5D24" w:rsidRPr="003E7289" w:rsidRDefault="008D5D24" w:rsidP="008D5D24">
            <w:pPr>
              <w:widowControl w:val="0"/>
              <w:autoSpaceDE w:val="0"/>
              <w:autoSpaceDN w:val="0"/>
              <w:spacing w:before="0" w:line="240" w:lineRule="auto"/>
              <w:jc w:val="center"/>
              <w:rPr>
                <w:rFonts w:ascii="Arial" w:eastAsia="Myriad Pro" w:hAnsi="Arial" w:cs="Arial"/>
                <w:sz w:val="20"/>
                <w:szCs w:val="20"/>
                <w:lang w:val="sq-AL"/>
              </w:rPr>
            </w:pPr>
            <w:r w:rsidRPr="003E7289">
              <w:rPr>
                <w:rFonts w:ascii="Arial" w:eastAsia="Myriad Pro" w:hAnsi="Arial" w:cs="Arial"/>
                <w:sz w:val="20"/>
                <w:szCs w:val="20"/>
                <w:lang w:val="sq-AL"/>
              </w:rPr>
              <w:t>Dëmi nga zjarret në pyje është vazhdimisht nën 500 ha/vit; peizazhe pyjore rezistente të krijuara.</w:t>
            </w:r>
          </w:p>
          <w:p w14:paraId="676CD37C" w14:textId="5F4D07A8" w:rsidR="008D5D24" w:rsidRPr="003E7289" w:rsidRDefault="008D5D24" w:rsidP="008D5D24">
            <w:pPr>
              <w:spacing w:before="0" w:line="240" w:lineRule="auto"/>
              <w:jc w:val="both"/>
              <w:rPr>
                <w:rFonts w:ascii="Arial" w:eastAsia="Aptos" w:hAnsi="Arial" w:cs="Arial"/>
                <w:sz w:val="20"/>
                <w:szCs w:val="20"/>
                <w:lang w:val="sq-AL" w:eastAsia="en-US"/>
              </w:rPr>
            </w:pPr>
            <w:r w:rsidRPr="003E7289">
              <w:rPr>
                <w:rFonts w:ascii="Arial" w:eastAsia="Myriad Pro" w:hAnsi="Arial" w:cs="Arial"/>
                <w:sz w:val="20"/>
                <w:szCs w:val="20"/>
                <w:lang w:val="sq-AL"/>
              </w:rPr>
              <w:t>Një sistem menaxhimi zjarresh plotësisht i pajisur dhe efikas është në vend. Një total prej 60 kolektorësh uji janë ndërtuar, duke kontribuar në një ulje të konsiderueshme të dëmeve nga zjarret në pyje dhe duke rritur qëndrueshmërinë e ekosistemit.</w:t>
            </w:r>
          </w:p>
        </w:tc>
      </w:tr>
      <w:tr w:rsidR="00691972" w:rsidRPr="003E7289" w14:paraId="7754EEFD" w14:textId="77777777" w:rsidTr="0039004D">
        <w:trPr>
          <w:trHeight w:val="368"/>
        </w:trPr>
        <w:tc>
          <w:tcPr>
            <w:tcW w:w="327" w:type="pct"/>
            <w:vMerge w:val="restart"/>
            <w:shd w:val="clear" w:color="auto" w:fill="C6E7F6"/>
            <w:vAlign w:val="center"/>
          </w:tcPr>
          <w:p w14:paraId="1D4567AD" w14:textId="01346DAE" w:rsidR="000D1635" w:rsidRPr="003E7289" w:rsidRDefault="000D1635" w:rsidP="000D1635">
            <w:pPr>
              <w:spacing w:before="0" w:line="240" w:lineRule="auto"/>
              <w:jc w:val="center"/>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lastRenderedPageBreak/>
              <w:t>Nr.</w:t>
            </w:r>
          </w:p>
        </w:tc>
        <w:tc>
          <w:tcPr>
            <w:tcW w:w="686" w:type="pct"/>
            <w:gridSpan w:val="3"/>
            <w:vMerge w:val="restart"/>
            <w:shd w:val="clear" w:color="auto" w:fill="C6E7F6"/>
            <w:vAlign w:val="center"/>
          </w:tcPr>
          <w:p w14:paraId="0AA720FB" w14:textId="3101EE9B" w:rsidR="000D1635" w:rsidRPr="003E7289" w:rsidRDefault="000D1635" w:rsidP="000D1635">
            <w:pPr>
              <w:spacing w:before="0" w:line="240" w:lineRule="auto"/>
              <w:jc w:val="center"/>
              <w:rPr>
                <w:rFonts w:ascii="Arial" w:eastAsia="Aptos" w:hAnsi="Arial" w:cs="Arial"/>
                <w:b/>
                <w:bCs/>
                <w:i/>
                <w:iCs/>
                <w:sz w:val="20"/>
                <w:szCs w:val="20"/>
                <w:highlight w:val="green"/>
                <w:lang w:val="sq-AL" w:eastAsia="en-US"/>
              </w:rPr>
            </w:pPr>
            <w:r w:rsidRPr="003E7289">
              <w:rPr>
                <w:rFonts w:ascii="Arial" w:eastAsia="Aptos" w:hAnsi="Arial" w:cs="Arial"/>
                <w:b/>
                <w:bCs/>
                <w:sz w:val="20"/>
                <w:szCs w:val="20"/>
                <w:lang w:val="sq-AL"/>
              </w:rPr>
              <w:t>Veprimi</w:t>
            </w:r>
          </w:p>
        </w:tc>
        <w:tc>
          <w:tcPr>
            <w:tcW w:w="576" w:type="pct"/>
            <w:gridSpan w:val="2"/>
            <w:vMerge w:val="restart"/>
            <w:shd w:val="clear" w:color="auto" w:fill="C6E7F6"/>
            <w:vAlign w:val="center"/>
          </w:tcPr>
          <w:p w14:paraId="48A8FB73" w14:textId="4AAD6D7F"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Afati I fundit</w:t>
            </w:r>
          </w:p>
        </w:tc>
        <w:tc>
          <w:tcPr>
            <w:tcW w:w="1092" w:type="pct"/>
            <w:gridSpan w:val="7"/>
            <w:shd w:val="clear" w:color="auto" w:fill="C6E7F6"/>
            <w:vAlign w:val="center"/>
          </w:tcPr>
          <w:p w14:paraId="15C34272" w14:textId="2DCB31C6"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Buxheti</w:t>
            </w:r>
          </w:p>
        </w:tc>
        <w:tc>
          <w:tcPr>
            <w:tcW w:w="587" w:type="pct"/>
            <w:gridSpan w:val="2"/>
            <w:vMerge w:val="restart"/>
            <w:shd w:val="clear" w:color="auto" w:fill="C6E7F6"/>
            <w:vAlign w:val="center"/>
          </w:tcPr>
          <w:p w14:paraId="7ED8D6D1" w14:textId="4C344DBA"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Burimi i financimit</w:t>
            </w:r>
          </w:p>
        </w:tc>
        <w:tc>
          <w:tcPr>
            <w:tcW w:w="751" w:type="pct"/>
            <w:gridSpan w:val="3"/>
            <w:vMerge w:val="restart"/>
            <w:shd w:val="clear" w:color="auto" w:fill="C6E7F6"/>
            <w:vAlign w:val="center"/>
          </w:tcPr>
          <w:p w14:paraId="5FB61419" w14:textId="68F0FBB2"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Institucionet përgjegjëse dhe partnere</w:t>
            </w:r>
          </w:p>
        </w:tc>
        <w:tc>
          <w:tcPr>
            <w:tcW w:w="529" w:type="pct"/>
            <w:gridSpan w:val="2"/>
            <w:vMerge w:val="restart"/>
            <w:shd w:val="clear" w:color="auto" w:fill="C6E7F6"/>
            <w:vAlign w:val="center"/>
          </w:tcPr>
          <w:p w14:paraId="672DECCE" w14:textId="6B1A5991"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Rezultati i pritur</w:t>
            </w:r>
          </w:p>
        </w:tc>
        <w:tc>
          <w:tcPr>
            <w:tcW w:w="453" w:type="pct"/>
            <w:vMerge w:val="restart"/>
            <w:shd w:val="clear" w:color="auto" w:fill="C6E7F6"/>
            <w:vAlign w:val="center"/>
          </w:tcPr>
          <w:p w14:paraId="67E27FFD" w14:textId="0D4C24D7"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Dokumenti strategjik referues</w:t>
            </w:r>
          </w:p>
        </w:tc>
      </w:tr>
      <w:tr w:rsidR="00691972" w:rsidRPr="003E7289" w14:paraId="3EE6F442" w14:textId="77777777" w:rsidTr="0039004D">
        <w:trPr>
          <w:trHeight w:val="367"/>
        </w:trPr>
        <w:tc>
          <w:tcPr>
            <w:tcW w:w="327" w:type="pct"/>
            <w:vMerge/>
            <w:vAlign w:val="center"/>
          </w:tcPr>
          <w:p w14:paraId="10615733"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686" w:type="pct"/>
            <w:gridSpan w:val="3"/>
            <w:vMerge/>
            <w:vAlign w:val="center"/>
          </w:tcPr>
          <w:p w14:paraId="015AF99A"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576" w:type="pct"/>
            <w:gridSpan w:val="2"/>
            <w:vMerge/>
            <w:vAlign w:val="center"/>
          </w:tcPr>
          <w:p w14:paraId="1A2633A8"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368" w:type="pct"/>
            <w:gridSpan w:val="2"/>
            <w:shd w:val="clear" w:color="auto" w:fill="C6E7F6"/>
            <w:vAlign w:val="center"/>
          </w:tcPr>
          <w:p w14:paraId="46987C0A"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2026</w:t>
            </w:r>
          </w:p>
        </w:tc>
        <w:tc>
          <w:tcPr>
            <w:tcW w:w="355" w:type="pct"/>
            <w:gridSpan w:val="2"/>
            <w:shd w:val="clear" w:color="auto" w:fill="C6E7F6"/>
            <w:vAlign w:val="center"/>
          </w:tcPr>
          <w:p w14:paraId="62DB5FF6"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2027</w:t>
            </w:r>
          </w:p>
        </w:tc>
        <w:tc>
          <w:tcPr>
            <w:tcW w:w="369" w:type="pct"/>
            <w:gridSpan w:val="3"/>
            <w:shd w:val="clear" w:color="auto" w:fill="C6E7F6"/>
            <w:vAlign w:val="center"/>
          </w:tcPr>
          <w:p w14:paraId="14FD5E1A"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2028</w:t>
            </w:r>
          </w:p>
        </w:tc>
        <w:tc>
          <w:tcPr>
            <w:tcW w:w="587" w:type="pct"/>
            <w:gridSpan w:val="2"/>
            <w:vMerge/>
            <w:vAlign w:val="center"/>
          </w:tcPr>
          <w:p w14:paraId="570FB6FA"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751" w:type="pct"/>
            <w:gridSpan w:val="3"/>
            <w:vMerge/>
            <w:vAlign w:val="center"/>
          </w:tcPr>
          <w:p w14:paraId="10EB831E"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529" w:type="pct"/>
            <w:gridSpan w:val="2"/>
            <w:vMerge/>
            <w:vAlign w:val="center"/>
          </w:tcPr>
          <w:p w14:paraId="3611D7C3"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c>
          <w:tcPr>
            <w:tcW w:w="453" w:type="pct"/>
            <w:vMerge/>
            <w:vAlign w:val="center"/>
          </w:tcPr>
          <w:p w14:paraId="658F20B7" w14:textId="77777777" w:rsidR="00B152BF" w:rsidRPr="003E7289" w:rsidRDefault="00B152BF" w:rsidP="00B152BF">
            <w:pPr>
              <w:spacing w:before="0" w:line="240" w:lineRule="auto"/>
              <w:jc w:val="center"/>
              <w:rPr>
                <w:rFonts w:ascii="Arial" w:eastAsia="Aptos" w:hAnsi="Arial" w:cs="Arial"/>
                <w:b/>
                <w:bCs/>
                <w:sz w:val="20"/>
                <w:szCs w:val="20"/>
                <w:lang w:val="sq-AL" w:eastAsia="en-US"/>
              </w:rPr>
            </w:pPr>
          </w:p>
        </w:tc>
      </w:tr>
      <w:tr w:rsidR="00691972" w:rsidRPr="003E7289" w14:paraId="158CA84B" w14:textId="77777777" w:rsidTr="0039004D">
        <w:trPr>
          <w:trHeight w:val="367"/>
        </w:trPr>
        <w:tc>
          <w:tcPr>
            <w:tcW w:w="327" w:type="pct"/>
            <w:vAlign w:val="center"/>
          </w:tcPr>
          <w:p w14:paraId="3D355168" w14:textId="5C08D1B6" w:rsidR="00CC340D" w:rsidRPr="003E7289" w:rsidRDefault="00CC340D" w:rsidP="00CC340D">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III.3</w:t>
            </w:r>
            <w:r w:rsidR="00E0225B" w:rsidRPr="003E7289">
              <w:rPr>
                <w:rFonts w:ascii="Arial" w:eastAsia="Aptos" w:hAnsi="Arial" w:cs="Arial"/>
                <w:b/>
                <w:bCs/>
                <w:sz w:val="20"/>
                <w:szCs w:val="20"/>
                <w:lang w:val="sq-AL"/>
              </w:rPr>
              <w:t>4</w:t>
            </w:r>
            <w:r w:rsidRPr="003E7289">
              <w:rPr>
                <w:rFonts w:ascii="Arial" w:eastAsia="Aptos" w:hAnsi="Arial" w:cs="Arial"/>
                <w:b/>
                <w:bCs/>
                <w:sz w:val="20"/>
                <w:szCs w:val="20"/>
                <w:lang w:val="sq-AL"/>
              </w:rPr>
              <w:t>.1</w:t>
            </w:r>
          </w:p>
        </w:tc>
        <w:tc>
          <w:tcPr>
            <w:tcW w:w="686" w:type="pct"/>
            <w:gridSpan w:val="3"/>
            <w:vAlign w:val="center"/>
          </w:tcPr>
          <w:p w14:paraId="4180DCEC" w14:textId="5BB774FB" w:rsidR="00CC340D" w:rsidRPr="003E7289" w:rsidRDefault="008D5D24"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 xml:space="preserve">Krijimi i sistemeve të të paralajmërimit </w:t>
            </w:r>
            <w:r w:rsidR="0089523F" w:rsidRPr="003E7289">
              <w:rPr>
                <w:rFonts w:ascii="Arial" w:eastAsia="Aptos" w:hAnsi="Arial" w:cs="Arial"/>
                <w:b/>
                <w:bCs/>
                <w:sz w:val="20"/>
                <w:szCs w:val="20"/>
                <w:lang w:val="sq-AL"/>
              </w:rPr>
              <w:t xml:space="preserve">të hershëm </w:t>
            </w:r>
            <w:r w:rsidRPr="003E7289">
              <w:rPr>
                <w:rFonts w:ascii="Arial" w:eastAsia="Aptos" w:hAnsi="Arial" w:cs="Arial"/>
                <w:b/>
                <w:bCs/>
                <w:sz w:val="20"/>
                <w:szCs w:val="20"/>
                <w:lang w:val="sq-AL"/>
              </w:rPr>
              <w:t>dhe monitorimit të zjarreve në pyje</w:t>
            </w:r>
          </w:p>
        </w:tc>
        <w:tc>
          <w:tcPr>
            <w:tcW w:w="576" w:type="pct"/>
            <w:gridSpan w:val="2"/>
            <w:vAlign w:val="center"/>
          </w:tcPr>
          <w:p w14:paraId="07A810EC" w14:textId="77777777"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2029</w:t>
            </w:r>
          </w:p>
        </w:tc>
        <w:tc>
          <w:tcPr>
            <w:tcW w:w="368" w:type="pct"/>
            <w:gridSpan w:val="2"/>
            <w:vAlign w:val="center"/>
          </w:tcPr>
          <w:p w14:paraId="559DD046" w14:textId="70CA6504"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384.000€</w:t>
            </w:r>
          </w:p>
        </w:tc>
        <w:tc>
          <w:tcPr>
            <w:tcW w:w="355" w:type="pct"/>
            <w:gridSpan w:val="2"/>
            <w:vAlign w:val="center"/>
          </w:tcPr>
          <w:p w14:paraId="224C0385"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369" w:type="pct"/>
            <w:gridSpan w:val="3"/>
            <w:vAlign w:val="center"/>
          </w:tcPr>
          <w:p w14:paraId="592FC2FB"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587" w:type="pct"/>
            <w:gridSpan w:val="2"/>
            <w:vAlign w:val="center"/>
          </w:tcPr>
          <w:p w14:paraId="185803D5" w14:textId="7927ECE9" w:rsidR="00CC340D"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Donatorë, Buxheti Kombëtar</w:t>
            </w:r>
          </w:p>
        </w:tc>
        <w:tc>
          <w:tcPr>
            <w:tcW w:w="751" w:type="pct"/>
            <w:gridSpan w:val="3"/>
            <w:vAlign w:val="center"/>
          </w:tcPr>
          <w:p w14:paraId="0397C465" w14:textId="6E4792D2" w:rsidR="00CC340D" w:rsidRPr="003E7289" w:rsidRDefault="008D5D24"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sz w:val="20"/>
                <w:szCs w:val="20"/>
                <w:lang w:val="sq-AL"/>
              </w:rPr>
              <w:t xml:space="preserve">MBZHR, Instituti Hidrometeorologjik, </w:t>
            </w:r>
            <w:r w:rsidR="0089523F" w:rsidRPr="003E7289">
              <w:rPr>
                <w:rFonts w:ascii="Arial" w:eastAsia="Aptos" w:hAnsi="Arial" w:cs="Arial"/>
                <w:sz w:val="20"/>
                <w:szCs w:val="20"/>
                <w:lang w:val="sq-AL"/>
              </w:rPr>
              <w:t xml:space="preserve">Agjencia e Menaxhimit Emergjent </w:t>
            </w:r>
            <w:r w:rsidRPr="003E7289">
              <w:rPr>
                <w:rFonts w:ascii="Arial" w:eastAsia="Aptos" w:hAnsi="Arial" w:cs="Arial"/>
                <w:sz w:val="20"/>
                <w:szCs w:val="20"/>
                <w:lang w:val="sq-AL"/>
              </w:rPr>
              <w:t>, Agjencia e Pyjeve të Kosovës, komunat dhe komunitetet lokale</w:t>
            </w:r>
            <w:r w:rsidR="0089523F" w:rsidRPr="003E7289">
              <w:rPr>
                <w:rFonts w:ascii="Arial" w:eastAsia="Aptos" w:hAnsi="Arial" w:cs="Arial"/>
                <w:sz w:val="20"/>
                <w:szCs w:val="20"/>
                <w:lang w:val="sq-AL"/>
              </w:rPr>
              <w:t>, MMPHI</w:t>
            </w:r>
          </w:p>
        </w:tc>
        <w:tc>
          <w:tcPr>
            <w:tcW w:w="529" w:type="pct"/>
            <w:gridSpan w:val="2"/>
            <w:vAlign w:val="center"/>
          </w:tcPr>
          <w:p w14:paraId="70560B23" w14:textId="729EAAC4" w:rsidR="00CC340D"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Sisteme funksionale të paralajmërimit të hershëm dhe monitorim</w:t>
            </w:r>
            <w:r w:rsidRPr="003E7289">
              <w:rPr>
                <w:rFonts w:ascii="Arial" w:eastAsia="Aptos" w:hAnsi="Arial" w:cs="Arial"/>
                <w:sz w:val="20"/>
                <w:szCs w:val="20"/>
                <w:lang w:val="sq-AL"/>
              </w:rPr>
              <w:lastRenderedPageBreak/>
              <w:t>it të zjarreve që mbulojnë të gjitha zonat pyjore me rrezik të lartë, duke mundësuar alarme në kohë dhe mbikëqyrje të përmirësuar</w:t>
            </w:r>
            <w:r w:rsidR="00CC340D" w:rsidRPr="003E7289">
              <w:rPr>
                <w:rFonts w:ascii="Arial" w:eastAsia="Aptos" w:hAnsi="Arial" w:cs="Arial"/>
                <w:sz w:val="20"/>
                <w:szCs w:val="20"/>
                <w:lang w:val="sq-AL"/>
              </w:rPr>
              <w:t>.</w:t>
            </w:r>
          </w:p>
        </w:tc>
        <w:tc>
          <w:tcPr>
            <w:tcW w:w="453" w:type="pct"/>
            <w:vAlign w:val="center"/>
          </w:tcPr>
          <w:p w14:paraId="2FF6439D" w14:textId="59621D70" w:rsidR="00CC340D" w:rsidRPr="003E7289" w:rsidRDefault="00BE39C7" w:rsidP="00CC340D">
            <w:pPr>
              <w:spacing w:before="0" w:line="240" w:lineRule="auto"/>
              <w:jc w:val="center"/>
              <w:rPr>
                <w:rFonts w:ascii="Arial" w:eastAsia="Aptos" w:hAnsi="Arial" w:cs="Arial"/>
                <w:b/>
                <w:bCs/>
                <w:sz w:val="20"/>
                <w:szCs w:val="20"/>
                <w:lang w:val="sq-AL" w:eastAsia="en-US"/>
              </w:rPr>
            </w:pPr>
            <w:r w:rsidRPr="003E7289">
              <w:rPr>
                <w:rFonts w:ascii="Arial" w:eastAsia="Aptos" w:hAnsi="Arial" w:cs="Arial"/>
                <w:color w:val="000000"/>
                <w:sz w:val="20"/>
                <w:szCs w:val="20"/>
                <w:lang w:val="sq-AL"/>
              </w:rPr>
              <w:lastRenderedPageBreak/>
              <w:t>Strategjia</w:t>
            </w:r>
            <w:r w:rsidR="008D5D24" w:rsidRPr="003E7289">
              <w:rPr>
                <w:rFonts w:ascii="Arial" w:eastAsia="Aptos" w:hAnsi="Arial" w:cs="Arial"/>
                <w:color w:val="000000"/>
                <w:sz w:val="20"/>
                <w:szCs w:val="20"/>
                <w:lang w:val="sq-AL"/>
              </w:rPr>
              <w:t xml:space="preserve"> për Zhvillimin e Bujqësis</w:t>
            </w:r>
            <w:r w:rsidR="008D5D24" w:rsidRPr="003E7289">
              <w:rPr>
                <w:rFonts w:ascii="Arial" w:eastAsia="Aptos" w:hAnsi="Arial" w:cs="Arial"/>
                <w:color w:val="000000"/>
                <w:sz w:val="20"/>
                <w:szCs w:val="20"/>
                <w:lang w:val="sq-AL"/>
              </w:rPr>
              <w:lastRenderedPageBreak/>
              <w:t>ë dhe Rural 2022–2028</w:t>
            </w:r>
          </w:p>
        </w:tc>
      </w:tr>
      <w:tr w:rsidR="00691972" w:rsidRPr="003E7289" w14:paraId="68B8B479" w14:textId="77777777" w:rsidTr="0039004D">
        <w:trPr>
          <w:trHeight w:val="367"/>
        </w:trPr>
        <w:tc>
          <w:tcPr>
            <w:tcW w:w="327" w:type="pct"/>
            <w:vAlign w:val="center"/>
          </w:tcPr>
          <w:p w14:paraId="5020F8F2" w14:textId="2410483A" w:rsidR="00CC340D" w:rsidRPr="003E7289" w:rsidRDefault="00CC340D" w:rsidP="00CC340D">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III.3</w:t>
            </w:r>
            <w:r w:rsidR="00E0225B" w:rsidRPr="003E7289">
              <w:rPr>
                <w:rFonts w:ascii="Arial" w:eastAsia="Aptos" w:hAnsi="Arial" w:cs="Arial"/>
                <w:b/>
                <w:bCs/>
                <w:sz w:val="20"/>
                <w:szCs w:val="20"/>
                <w:lang w:val="sq-AL"/>
              </w:rPr>
              <w:t>4</w:t>
            </w:r>
            <w:r w:rsidRPr="003E7289">
              <w:rPr>
                <w:rFonts w:ascii="Arial" w:eastAsia="Aptos" w:hAnsi="Arial" w:cs="Arial"/>
                <w:b/>
                <w:bCs/>
                <w:sz w:val="20"/>
                <w:szCs w:val="20"/>
                <w:lang w:val="sq-AL"/>
              </w:rPr>
              <w:t>.2</w:t>
            </w:r>
          </w:p>
        </w:tc>
        <w:tc>
          <w:tcPr>
            <w:tcW w:w="686" w:type="pct"/>
            <w:gridSpan w:val="3"/>
            <w:vAlign w:val="center"/>
          </w:tcPr>
          <w:p w14:paraId="1BFB427E" w14:textId="51877DE0" w:rsidR="00CC340D" w:rsidRPr="003E7289" w:rsidRDefault="0089523F"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 xml:space="preserve">Hartimi </w:t>
            </w:r>
            <w:r w:rsidR="008D5D24" w:rsidRPr="003E7289">
              <w:rPr>
                <w:rFonts w:ascii="Arial" w:eastAsia="Aptos" w:hAnsi="Arial" w:cs="Arial"/>
                <w:b/>
                <w:bCs/>
                <w:sz w:val="20"/>
                <w:szCs w:val="20"/>
                <w:lang w:val="sq-AL"/>
              </w:rPr>
              <w:t xml:space="preserve">i planeve </w:t>
            </w:r>
            <w:r w:rsidRPr="003E7289">
              <w:rPr>
                <w:rFonts w:ascii="Arial" w:eastAsia="Aptos" w:hAnsi="Arial" w:cs="Arial"/>
                <w:b/>
                <w:bCs/>
                <w:sz w:val="20"/>
                <w:szCs w:val="20"/>
                <w:lang w:val="sq-AL"/>
              </w:rPr>
              <w:t xml:space="preserve">lokale </w:t>
            </w:r>
            <w:r w:rsidR="008D5D24" w:rsidRPr="003E7289">
              <w:rPr>
                <w:rFonts w:ascii="Arial" w:eastAsia="Aptos" w:hAnsi="Arial" w:cs="Arial"/>
                <w:b/>
                <w:bCs/>
                <w:sz w:val="20"/>
                <w:szCs w:val="20"/>
                <w:lang w:val="sq-AL"/>
              </w:rPr>
              <w:t xml:space="preserve">për </w:t>
            </w:r>
            <w:r w:rsidRPr="003E7289">
              <w:rPr>
                <w:rFonts w:ascii="Arial" w:eastAsia="Aptos" w:hAnsi="Arial" w:cs="Arial"/>
                <w:b/>
                <w:bCs/>
                <w:sz w:val="20"/>
                <w:szCs w:val="20"/>
                <w:lang w:val="sq-AL"/>
              </w:rPr>
              <w:t xml:space="preserve">gatishmërisë </w:t>
            </w:r>
            <w:r w:rsidR="008D5D24" w:rsidRPr="003E7289">
              <w:rPr>
                <w:rFonts w:ascii="Arial" w:eastAsia="Aptos" w:hAnsi="Arial" w:cs="Arial"/>
                <w:b/>
                <w:bCs/>
                <w:sz w:val="20"/>
                <w:szCs w:val="20"/>
                <w:lang w:val="sq-AL"/>
              </w:rPr>
              <w:t xml:space="preserve">dhe reagim ndaj </w:t>
            </w:r>
            <w:r w:rsidR="008D5D24" w:rsidRPr="003E7289">
              <w:rPr>
                <w:rFonts w:ascii="Arial" w:eastAsia="Aptos" w:hAnsi="Arial" w:cs="Arial"/>
                <w:b/>
                <w:bCs/>
                <w:sz w:val="20"/>
                <w:szCs w:val="20"/>
                <w:lang w:val="sq-AL"/>
              </w:rPr>
              <w:lastRenderedPageBreak/>
              <w:t>zjarreve në pyje</w:t>
            </w:r>
          </w:p>
        </w:tc>
        <w:tc>
          <w:tcPr>
            <w:tcW w:w="576" w:type="pct"/>
            <w:gridSpan w:val="2"/>
            <w:vAlign w:val="center"/>
          </w:tcPr>
          <w:p w14:paraId="1132A8CE" w14:textId="77777777"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2030</w:t>
            </w:r>
          </w:p>
        </w:tc>
        <w:tc>
          <w:tcPr>
            <w:tcW w:w="368" w:type="pct"/>
            <w:gridSpan w:val="2"/>
            <w:vAlign w:val="center"/>
          </w:tcPr>
          <w:p w14:paraId="5F828FD2"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355" w:type="pct"/>
            <w:gridSpan w:val="2"/>
            <w:vAlign w:val="center"/>
          </w:tcPr>
          <w:p w14:paraId="2ED452D7" w14:textId="1F922B7D"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288.000€</w:t>
            </w:r>
          </w:p>
        </w:tc>
        <w:tc>
          <w:tcPr>
            <w:tcW w:w="369" w:type="pct"/>
            <w:gridSpan w:val="3"/>
            <w:vAlign w:val="center"/>
          </w:tcPr>
          <w:p w14:paraId="227ADCFF"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587" w:type="pct"/>
            <w:gridSpan w:val="2"/>
            <w:vAlign w:val="center"/>
          </w:tcPr>
          <w:p w14:paraId="5E7CE2C6" w14:textId="3DC74444" w:rsidR="00CC340D"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Programi IPA III i BE-së, Donatorë, Buxheti Kombëtar</w:t>
            </w:r>
          </w:p>
        </w:tc>
        <w:tc>
          <w:tcPr>
            <w:tcW w:w="751" w:type="pct"/>
            <w:gridSpan w:val="3"/>
            <w:vAlign w:val="center"/>
          </w:tcPr>
          <w:p w14:paraId="7814B259" w14:textId="0802DE18" w:rsidR="00CC340D" w:rsidRPr="003E7289" w:rsidRDefault="008D5D24"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sz w:val="20"/>
                <w:szCs w:val="20"/>
                <w:lang w:val="sq-AL"/>
              </w:rPr>
              <w:t xml:space="preserve">MBZHR, Instituti Hidrometeorologjik, </w:t>
            </w:r>
            <w:r w:rsidR="0089523F" w:rsidRPr="003E7289">
              <w:rPr>
                <w:rFonts w:ascii="Arial" w:eastAsia="Aptos" w:hAnsi="Arial" w:cs="Arial"/>
                <w:sz w:val="20"/>
                <w:szCs w:val="20"/>
                <w:lang w:val="sq-AL"/>
              </w:rPr>
              <w:t xml:space="preserve">Agjencia e Menaxhimit Emergjent </w:t>
            </w:r>
            <w:r w:rsidRPr="003E7289">
              <w:rPr>
                <w:rFonts w:ascii="Arial" w:eastAsia="Aptos" w:hAnsi="Arial" w:cs="Arial"/>
                <w:sz w:val="20"/>
                <w:szCs w:val="20"/>
                <w:lang w:val="sq-AL"/>
              </w:rPr>
              <w:t xml:space="preserve">, Agjencia e Pyjeve të Kosovës, komunat dhe </w:t>
            </w:r>
            <w:r w:rsidRPr="003E7289">
              <w:rPr>
                <w:rFonts w:ascii="Arial" w:eastAsia="Aptos" w:hAnsi="Arial" w:cs="Arial"/>
                <w:sz w:val="20"/>
                <w:szCs w:val="20"/>
                <w:lang w:val="sq-AL"/>
              </w:rPr>
              <w:lastRenderedPageBreak/>
              <w:t>komunitetet lokale</w:t>
            </w:r>
            <w:r w:rsidR="0089523F" w:rsidRPr="003E7289">
              <w:rPr>
                <w:rFonts w:ascii="Arial" w:eastAsia="Aptos" w:hAnsi="Arial" w:cs="Arial"/>
                <w:sz w:val="20"/>
                <w:szCs w:val="20"/>
                <w:lang w:val="sq-AL"/>
              </w:rPr>
              <w:t>, MMPHI</w:t>
            </w:r>
          </w:p>
        </w:tc>
        <w:tc>
          <w:tcPr>
            <w:tcW w:w="529" w:type="pct"/>
            <w:gridSpan w:val="2"/>
            <w:vAlign w:val="center"/>
          </w:tcPr>
          <w:p w14:paraId="4D0AFA2A" w14:textId="0C0B8328" w:rsidR="00CC340D"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 xml:space="preserve">Planet e përgatitjes dhe reagimit funksionale </w:t>
            </w:r>
            <w:r w:rsidRPr="003E7289">
              <w:rPr>
                <w:rFonts w:ascii="Arial" w:eastAsia="Aptos" w:hAnsi="Arial" w:cs="Arial"/>
                <w:sz w:val="20"/>
                <w:szCs w:val="20"/>
                <w:lang w:val="sq-AL"/>
              </w:rPr>
              <w:lastRenderedPageBreak/>
              <w:t xml:space="preserve">në të gjitha komunat me rrezik të lartë, me akterë lokalë të trajnuar dhe integrim të infrastrukturës për </w:t>
            </w:r>
            <w:r w:rsidR="005F0D62" w:rsidRPr="003E7289">
              <w:rPr>
                <w:rFonts w:ascii="Arial" w:eastAsia="Aptos" w:hAnsi="Arial" w:cs="Arial"/>
                <w:sz w:val="20"/>
                <w:szCs w:val="20"/>
                <w:lang w:val="sq-AL"/>
              </w:rPr>
              <w:t xml:space="preserve">fikjen  </w:t>
            </w:r>
            <w:r w:rsidRPr="003E7289">
              <w:rPr>
                <w:rFonts w:ascii="Arial" w:eastAsia="Aptos" w:hAnsi="Arial" w:cs="Arial"/>
                <w:sz w:val="20"/>
                <w:szCs w:val="20"/>
                <w:lang w:val="sq-AL"/>
              </w:rPr>
              <w:t>e zjarreve (p.sh. kolektorë uji fillestarë)</w:t>
            </w:r>
          </w:p>
        </w:tc>
        <w:tc>
          <w:tcPr>
            <w:tcW w:w="453" w:type="pct"/>
            <w:vAlign w:val="center"/>
          </w:tcPr>
          <w:p w14:paraId="392C0496" w14:textId="1FAF9A2F" w:rsidR="00CC340D" w:rsidRPr="003E7289" w:rsidRDefault="00BE39C7" w:rsidP="00CC340D">
            <w:pPr>
              <w:spacing w:before="0" w:line="240" w:lineRule="auto"/>
              <w:jc w:val="center"/>
              <w:rPr>
                <w:rFonts w:ascii="Arial" w:eastAsia="Aptos" w:hAnsi="Arial" w:cs="Arial"/>
                <w:b/>
                <w:bCs/>
                <w:sz w:val="20"/>
                <w:szCs w:val="20"/>
                <w:lang w:val="sq-AL" w:eastAsia="en-US"/>
              </w:rPr>
            </w:pPr>
            <w:r w:rsidRPr="003E7289">
              <w:rPr>
                <w:rFonts w:ascii="Arial" w:eastAsia="Aptos" w:hAnsi="Arial" w:cs="Arial"/>
                <w:color w:val="000000"/>
                <w:sz w:val="20"/>
                <w:szCs w:val="20"/>
                <w:lang w:val="sq-AL"/>
              </w:rPr>
              <w:lastRenderedPageBreak/>
              <w:t>Strategjia</w:t>
            </w:r>
            <w:r w:rsidR="008D5D24" w:rsidRPr="003E7289">
              <w:rPr>
                <w:rFonts w:ascii="Arial" w:eastAsia="Aptos" w:hAnsi="Arial" w:cs="Arial"/>
                <w:color w:val="000000"/>
                <w:sz w:val="20"/>
                <w:szCs w:val="20"/>
                <w:lang w:val="sq-AL"/>
              </w:rPr>
              <w:t xml:space="preserve"> për Zhvillimin e </w:t>
            </w:r>
            <w:r w:rsidR="008D5D24" w:rsidRPr="003E7289">
              <w:rPr>
                <w:rFonts w:ascii="Arial" w:eastAsia="Aptos" w:hAnsi="Arial" w:cs="Arial"/>
                <w:color w:val="000000"/>
                <w:sz w:val="20"/>
                <w:szCs w:val="20"/>
                <w:lang w:val="sq-AL"/>
              </w:rPr>
              <w:lastRenderedPageBreak/>
              <w:t>Bujqësisë dhe Rural 2022–2028</w:t>
            </w:r>
          </w:p>
        </w:tc>
      </w:tr>
      <w:tr w:rsidR="00691972" w:rsidRPr="003E7289" w14:paraId="1A6EA683" w14:textId="77777777" w:rsidTr="0039004D">
        <w:trPr>
          <w:trHeight w:val="367"/>
        </w:trPr>
        <w:tc>
          <w:tcPr>
            <w:tcW w:w="327" w:type="pct"/>
            <w:vAlign w:val="center"/>
          </w:tcPr>
          <w:p w14:paraId="10F078D3" w14:textId="2EBAD0FF" w:rsidR="00CC340D" w:rsidRPr="003E7289" w:rsidRDefault="00CC340D" w:rsidP="00CC340D">
            <w:pPr>
              <w:spacing w:before="0" w:line="240" w:lineRule="auto"/>
              <w:jc w:val="center"/>
              <w:rPr>
                <w:rFonts w:ascii="Arial" w:eastAsia="Aptos" w:hAnsi="Arial" w:cs="Arial"/>
                <w:b/>
                <w:bCs/>
                <w:sz w:val="20"/>
                <w:szCs w:val="20"/>
                <w:highlight w:val="green"/>
                <w:lang w:val="sq-AL" w:eastAsia="en-US"/>
              </w:rPr>
            </w:pPr>
            <w:r w:rsidRPr="003E7289">
              <w:rPr>
                <w:rFonts w:ascii="Arial" w:eastAsia="Aptos" w:hAnsi="Arial" w:cs="Arial"/>
                <w:b/>
                <w:bCs/>
                <w:sz w:val="20"/>
                <w:szCs w:val="20"/>
                <w:lang w:val="sq-AL"/>
              </w:rPr>
              <w:lastRenderedPageBreak/>
              <w:t>III.3</w:t>
            </w:r>
            <w:r w:rsidR="00E0225B" w:rsidRPr="003E7289">
              <w:rPr>
                <w:rFonts w:ascii="Arial" w:eastAsia="Aptos" w:hAnsi="Arial" w:cs="Arial"/>
                <w:b/>
                <w:bCs/>
                <w:sz w:val="20"/>
                <w:szCs w:val="20"/>
                <w:lang w:val="sq-AL"/>
              </w:rPr>
              <w:t>4</w:t>
            </w:r>
            <w:r w:rsidRPr="003E7289">
              <w:rPr>
                <w:rFonts w:ascii="Arial" w:eastAsia="Aptos" w:hAnsi="Arial" w:cs="Arial"/>
                <w:b/>
                <w:bCs/>
                <w:sz w:val="20"/>
                <w:szCs w:val="20"/>
                <w:lang w:val="sq-AL"/>
              </w:rPr>
              <w:t>.3</w:t>
            </w:r>
          </w:p>
        </w:tc>
        <w:tc>
          <w:tcPr>
            <w:tcW w:w="686" w:type="pct"/>
            <w:gridSpan w:val="3"/>
            <w:vAlign w:val="center"/>
          </w:tcPr>
          <w:p w14:paraId="7457FB95" w14:textId="7ADE7C39" w:rsidR="00CC340D" w:rsidRPr="003E7289" w:rsidRDefault="008D5D24"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 xml:space="preserve">Ndërtimi dhe mirëmbajtja e rrugëve </w:t>
            </w:r>
            <w:r w:rsidRPr="003E7289">
              <w:rPr>
                <w:rFonts w:ascii="Arial" w:eastAsia="Aptos" w:hAnsi="Arial" w:cs="Arial"/>
                <w:b/>
                <w:bCs/>
                <w:sz w:val="20"/>
                <w:szCs w:val="20"/>
                <w:lang w:val="sq-AL"/>
              </w:rPr>
              <w:lastRenderedPageBreak/>
              <w:t>mbrojtëse kundër zjarrit dhe vendosja e ekipeve të reagimit të shpejtë</w:t>
            </w:r>
          </w:p>
        </w:tc>
        <w:tc>
          <w:tcPr>
            <w:tcW w:w="576" w:type="pct"/>
            <w:gridSpan w:val="2"/>
            <w:vAlign w:val="center"/>
          </w:tcPr>
          <w:p w14:paraId="6E5B8786" w14:textId="77777777"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2035</w:t>
            </w:r>
          </w:p>
        </w:tc>
        <w:tc>
          <w:tcPr>
            <w:tcW w:w="368" w:type="pct"/>
            <w:gridSpan w:val="2"/>
            <w:vAlign w:val="center"/>
          </w:tcPr>
          <w:p w14:paraId="486B1E62"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355" w:type="pct"/>
            <w:gridSpan w:val="2"/>
            <w:vAlign w:val="center"/>
          </w:tcPr>
          <w:p w14:paraId="5079756F"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369" w:type="pct"/>
            <w:gridSpan w:val="3"/>
            <w:vAlign w:val="center"/>
          </w:tcPr>
          <w:p w14:paraId="5E9B0960" w14:textId="459B1694"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288.000€</w:t>
            </w:r>
          </w:p>
        </w:tc>
        <w:tc>
          <w:tcPr>
            <w:tcW w:w="587" w:type="pct"/>
            <w:gridSpan w:val="2"/>
            <w:vAlign w:val="center"/>
          </w:tcPr>
          <w:p w14:paraId="7CC390D9" w14:textId="6613945C" w:rsidR="00CC340D"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Programi IPA III i BE-së, Donatorë, Buxheti Kombëtar</w:t>
            </w:r>
          </w:p>
        </w:tc>
        <w:tc>
          <w:tcPr>
            <w:tcW w:w="751" w:type="pct"/>
            <w:gridSpan w:val="3"/>
            <w:vAlign w:val="center"/>
          </w:tcPr>
          <w:p w14:paraId="7598C107" w14:textId="56EC6964" w:rsidR="00CC340D" w:rsidRPr="003E7289" w:rsidRDefault="008D5D24"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sz w:val="20"/>
                <w:szCs w:val="20"/>
                <w:lang w:val="sq-AL"/>
              </w:rPr>
              <w:t xml:space="preserve">MBZHR, Instituti Hidrometeorologjik, </w:t>
            </w:r>
            <w:r w:rsidR="0017482F" w:rsidRPr="003E7289">
              <w:rPr>
                <w:rFonts w:ascii="Arial" w:eastAsia="Aptos" w:hAnsi="Arial" w:cs="Arial"/>
                <w:sz w:val="20"/>
                <w:szCs w:val="20"/>
                <w:lang w:val="sq-AL"/>
              </w:rPr>
              <w:t xml:space="preserve">Agjencia e Menaxhimit Emergjent </w:t>
            </w:r>
            <w:r w:rsidRPr="003E7289">
              <w:rPr>
                <w:rFonts w:ascii="Arial" w:eastAsia="Aptos" w:hAnsi="Arial" w:cs="Arial"/>
                <w:sz w:val="20"/>
                <w:szCs w:val="20"/>
                <w:lang w:val="sq-AL"/>
              </w:rPr>
              <w:t xml:space="preserve">, Agjencia e </w:t>
            </w:r>
            <w:r w:rsidRPr="003E7289">
              <w:rPr>
                <w:rFonts w:ascii="Arial" w:eastAsia="Aptos" w:hAnsi="Arial" w:cs="Arial"/>
                <w:sz w:val="20"/>
                <w:szCs w:val="20"/>
                <w:lang w:val="sq-AL"/>
              </w:rPr>
              <w:lastRenderedPageBreak/>
              <w:t>Pyjeve të Kosovës, komunat dhe komunitetet lokale</w:t>
            </w:r>
          </w:p>
        </w:tc>
        <w:tc>
          <w:tcPr>
            <w:tcW w:w="529" w:type="pct"/>
            <w:gridSpan w:val="2"/>
            <w:vAlign w:val="center"/>
          </w:tcPr>
          <w:p w14:paraId="00320E7A" w14:textId="4694123F" w:rsidR="00CC340D"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Rrugë mbrojtëse kundër zjarri</w:t>
            </w:r>
            <w:r w:rsidRPr="003E7289">
              <w:rPr>
                <w:rFonts w:ascii="Arial" w:eastAsia="Aptos" w:hAnsi="Arial" w:cs="Arial"/>
                <w:sz w:val="20"/>
                <w:szCs w:val="20"/>
                <w:lang w:val="sq-AL"/>
              </w:rPr>
              <w:lastRenderedPageBreak/>
              <w:t xml:space="preserve">t të ndërtuara në zona strategjike pyjore; 30–60 kolektorë uji të instaluar; ekipe të reagimit të shpejtë funksionale për </w:t>
            </w:r>
            <w:r w:rsidR="00702B19" w:rsidRPr="003E7289">
              <w:rPr>
                <w:rFonts w:ascii="Arial" w:eastAsia="Aptos" w:hAnsi="Arial" w:cs="Arial"/>
                <w:color w:val="FF0000"/>
                <w:sz w:val="20"/>
                <w:szCs w:val="20"/>
                <w:lang w:val="sq-AL"/>
              </w:rPr>
              <w:t xml:space="preserve"> </w:t>
            </w:r>
            <w:r w:rsidR="0017482F" w:rsidRPr="003E7289">
              <w:rPr>
                <w:rFonts w:ascii="Arial" w:eastAsia="Aptos" w:hAnsi="Arial" w:cs="Arial"/>
                <w:sz w:val="20"/>
                <w:szCs w:val="20"/>
                <w:lang w:val="sq-AL"/>
              </w:rPr>
              <w:t>t’i zvogëluar</w:t>
            </w:r>
            <w:r w:rsidRPr="003E7289">
              <w:rPr>
                <w:rFonts w:ascii="Arial" w:eastAsia="Aptos" w:hAnsi="Arial" w:cs="Arial"/>
                <w:sz w:val="20"/>
                <w:szCs w:val="20"/>
                <w:lang w:val="sq-AL"/>
              </w:rPr>
              <w:t xml:space="preserve"> sipërfaqet e prekura nga zjarret në më pak se </w:t>
            </w:r>
            <w:r w:rsidRPr="003E7289">
              <w:rPr>
                <w:rFonts w:ascii="Arial" w:eastAsia="Aptos" w:hAnsi="Arial" w:cs="Arial"/>
                <w:sz w:val="20"/>
                <w:szCs w:val="20"/>
                <w:lang w:val="sq-AL"/>
              </w:rPr>
              <w:lastRenderedPageBreak/>
              <w:t>1,000 ha në vit.</w:t>
            </w:r>
          </w:p>
        </w:tc>
        <w:tc>
          <w:tcPr>
            <w:tcW w:w="453" w:type="pct"/>
            <w:vAlign w:val="center"/>
          </w:tcPr>
          <w:p w14:paraId="1B620536" w14:textId="4FF08AE5" w:rsidR="00CC340D" w:rsidRPr="003E7289" w:rsidRDefault="00BE39C7" w:rsidP="00CC340D">
            <w:pPr>
              <w:spacing w:before="0" w:line="240" w:lineRule="auto"/>
              <w:jc w:val="center"/>
              <w:rPr>
                <w:rFonts w:ascii="Arial" w:eastAsia="Aptos" w:hAnsi="Arial" w:cs="Arial"/>
                <w:b/>
                <w:bCs/>
                <w:sz w:val="20"/>
                <w:szCs w:val="20"/>
                <w:lang w:val="sq-AL" w:eastAsia="en-US"/>
              </w:rPr>
            </w:pPr>
            <w:r w:rsidRPr="003E7289">
              <w:rPr>
                <w:rFonts w:ascii="Arial" w:eastAsia="Aptos" w:hAnsi="Arial" w:cs="Arial"/>
                <w:color w:val="000000"/>
                <w:sz w:val="20"/>
                <w:szCs w:val="20"/>
                <w:lang w:val="sq-AL"/>
              </w:rPr>
              <w:lastRenderedPageBreak/>
              <w:t>Strategjia</w:t>
            </w:r>
            <w:r w:rsidR="008D5D24" w:rsidRPr="003E7289">
              <w:rPr>
                <w:rFonts w:ascii="Arial" w:eastAsia="Aptos" w:hAnsi="Arial" w:cs="Arial"/>
                <w:color w:val="000000"/>
                <w:sz w:val="20"/>
                <w:szCs w:val="20"/>
                <w:lang w:val="sq-AL"/>
              </w:rPr>
              <w:t xml:space="preserve"> për Zh</w:t>
            </w:r>
            <w:r w:rsidR="008D5D24" w:rsidRPr="003E7289">
              <w:rPr>
                <w:rFonts w:ascii="Arial" w:eastAsia="Aptos" w:hAnsi="Arial" w:cs="Arial"/>
                <w:color w:val="000000"/>
                <w:sz w:val="20"/>
                <w:szCs w:val="20"/>
                <w:lang w:val="sq-AL"/>
              </w:rPr>
              <w:lastRenderedPageBreak/>
              <w:t>villimin e Bujqësisë dhe Rural 2022–2028</w:t>
            </w:r>
          </w:p>
        </w:tc>
      </w:tr>
      <w:tr w:rsidR="00A402D1" w:rsidRPr="003E7289" w14:paraId="0B4FFF44" w14:textId="77777777" w:rsidTr="0039004D">
        <w:trPr>
          <w:trHeight w:val="367"/>
        </w:trPr>
        <w:tc>
          <w:tcPr>
            <w:tcW w:w="1012" w:type="pct"/>
            <w:gridSpan w:val="4"/>
            <w:shd w:val="clear" w:color="auto" w:fill="C6E7F6"/>
            <w:vAlign w:val="center"/>
          </w:tcPr>
          <w:p w14:paraId="21F6B2CD" w14:textId="5A0D5F3D" w:rsidR="00C63DE6" w:rsidRPr="003E7289" w:rsidRDefault="00C63DE6" w:rsidP="00C63DE6">
            <w:pPr>
              <w:spacing w:before="0" w:line="240" w:lineRule="auto"/>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Buxheti total për Objektivin specifik III.3</w:t>
            </w:r>
            <w:r w:rsidR="00E0225B" w:rsidRPr="003E7289">
              <w:rPr>
                <w:rFonts w:ascii="Arial" w:eastAsia="Aptos" w:hAnsi="Arial" w:cs="Arial"/>
                <w:b/>
                <w:bCs/>
                <w:sz w:val="20"/>
                <w:szCs w:val="20"/>
                <w:lang w:val="sq-AL"/>
              </w:rPr>
              <w:t>4</w:t>
            </w:r>
            <w:r w:rsidRPr="003E7289">
              <w:rPr>
                <w:rFonts w:ascii="Arial" w:eastAsia="Aptos" w:hAnsi="Arial" w:cs="Arial"/>
                <w:b/>
                <w:bCs/>
                <w:sz w:val="20"/>
                <w:szCs w:val="20"/>
                <w:lang w:val="sq-AL"/>
              </w:rPr>
              <w:t>:</w:t>
            </w:r>
          </w:p>
        </w:tc>
        <w:tc>
          <w:tcPr>
            <w:tcW w:w="3988" w:type="pct"/>
            <w:gridSpan w:val="17"/>
            <w:vAlign w:val="center"/>
          </w:tcPr>
          <w:p w14:paraId="103639B1" w14:textId="77777777" w:rsidR="00C63DE6" w:rsidRPr="003E7289" w:rsidRDefault="00C63DE6" w:rsidP="00C63DE6">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960.000€</w:t>
            </w:r>
          </w:p>
        </w:tc>
      </w:tr>
      <w:tr w:rsidR="00A402D1" w:rsidRPr="003E7289" w14:paraId="78E24A18" w14:textId="77777777" w:rsidTr="0039004D">
        <w:trPr>
          <w:trHeight w:val="367"/>
        </w:trPr>
        <w:tc>
          <w:tcPr>
            <w:tcW w:w="1012" w:type="pct"/>
            <w:gridSpan w:val="4"/>
            <w:shd w:val="clear" w:color="auto" w:fill="C6E7F6"/>
          </w:tcPr>
          <w:p w14:paraId="17007D84" w14:textId="7BE00066" w:rsidR="00C63DE6" w:rsidRPr="003E7289" w:rsidRDefault="00C63DE6" w:rsidP="00C63DE6">
            <w:pPr>
              <w:spacing w:before="0" w:line="240" w:lineRule="auto"/>
              <w:rPr>
                <w:rFonts w:ascii="Arial" w:eastAsia="Aptos" w:hAnsi="Arial" w:cs="Arial"/>
                <w:b/>
                <w:bCs/>
                <w:sz w:val="20"/>
                <w:szCs w:val="20"/>
                <w:lang w:val="sq-AL" w:eastAsia="en-US"/>
              </w:rPr>
            </w:pPr>
            <w:r w:rsidRPr="003E7289">
              <w:rPr>
                <w:rFonts w:ascii="Arial" w:eastAsia="Aptos" w:hAnsi="Arial" w:cs="Arial"/>
                <w:b/>
                <w:bCs/>
                <w:sz w:val="20"/>
                <w:szCs w:val="20"/>
                <w:lang w:val="sq-AL"/>
              </w:rPr>
              <w:t>Nga kjo, kapital:</w:t>
            </w:r>
          </w:p>
        </w:tc>
        <w:tc>
          <w:tcPr>
            <w:tcW w:w="3988" w:type="pct"/>
            <w:gridSpan w:val="17"/>
            <w:vAlign w:val="center"/>
          </w:tcPr>
          <w:p w14:paraId="08DBF212" w14:textId="6F0735E4" w:rsidR="00C63DE6" w:rsidRPr="003E7289" w:rsidRDefault="00C63DE6" w:rsidP="00C63DE6">
            <w:pPr>
              <w:spacing w:before="0" w:line="240" w:lineRule="auto"/>
              <w:jc w:val="center"/>
              <w:rPr>
                <w:rFonts w:ascii="Arial" w:eastAsia="Aptos" w:hAnsi="Arial" w:cs="Arial"/>
                <w:b/>
                <w:bCs/>
                <w:sz w:val="20"/>
                <w:szCs w:val="20"/>
                <w:lang w:val="sq-AL" w:eastAsia="en-US"/>
              </w:rPr>
            </w:pPr>
            <w:r w:rsidRPr="003E7289">
              <w:rPr>
                <w:rFonts w:ascii="Arial" w:eastAsia="Aptos" w:hAnsi="Arial" w:cs="Arial"/>
                <w:sz w:val="20"/>
                <w:szCs w:val="20"/>
                <w:lang w:val="sq-AL"/>
              </w:rPr>
              <w:t>384.000€</w:t>
            </w:r>
          </w:p>
        </w:tc>
      </w:tr>
      <w:tr w:rsidR="00A402D1" w:rsidRPr="003E7289" w14:paraId="1FDE0B88" w14:textId="77777777" w:rsidTr="0039004D">
        <w:trPr>
          <w:trHeight w:val="367"/>
        </w:trPr>
        <w:tc>
          <w:tcPr>
            <w:tcW w:w="1012" w:type="pct"/>
            <w:gridSpan w:val="4"/>
            <w:shd w:val="clear" w:color="auto" w:fill="C6E7F6"/>
          </w:tcPr>
          <w:p w14:paraId="1C416558" w14:textId="47EB538E" w:rsidR="00C63DE6" w:rsidRPr="003E7289" w:rsidRDefault="00C63DE6" w:rsidP="00C63DE6">
            <w:pPr>
              <w:spacing w:before="0" w:line="240" w:lineRule="auto"/>
              <w:rPr>
                <w:rFonts w:ascii="Arial" w:eastAsia="Aptos" w:hAnsi="Arial" w:cs="Arial"/>
                <w:b/>
                <w:bCs/>
                <w:sz w:val="20"/>
                <w:szCs w:val="20"/>
                <w:lang w:val="sq-AL" w:eastAsia="en-US"/>
              </w:rPr>
            </w:pPr>
            <w:r w:rsidRPr="003E7289">
              <w:rPr>
                <w:rFonts w:ascii="Arial" w:eastAsia="Aptos" w:hAnsi="Arial" w:cs="Arial"/>
                <w:b/>
                <w:bCs/>
                <w:sz w:val="20"/>
                <w:szCs w:val="20"/>
                <w:lang w:val="sq-AL"/>
              </w:rPr>
              <w:t>Nga kjo, shpenzime korrente:</w:t>
            </w:r>
          </w:p>
        </w:tc>
        <w:tc>
          <w:tcPr>
            <w:tcW w:w="3988" w:type="pct"/>
            <w:gridSpan w:val="17"/>
            <w:vAlign w:val="center"/>
          </w:tcPr>
          <w:p w14:paraId="13D9A6BB" w14:textId="5D5E2B64" w:rsidR="00C63DE6" w:rsidRPr="003E7289" w:rsidRDefault="00C63DE6" w:rsidP="00C63DE6">
            <w:pPr>
              <w:spacing w:before="0" w:line="240" w:lineRule="auto"/>
              <w:jc w:val="center"/>
              <w:rPr>
                <w:rFonts w:ascii="Arial" w:eastAsia="Aptos" w:hAnsi="Arial" w:cs="Arial"/>
                <w:b/>
                <w:bCs/>
                <w:sz w:val="20"/>
                <w:szCs w:val="20"/>
                <w:lang w:val="sq-AL" w:eastAsia="en-US"/>
              </w:rPr>
            </w:pPr>
            <w:r w:rsidRPr="003E7289">
              <w:rPr>
                <w:rFonts w:ascii="Arial" w:eastAsia="Aptos" w:hAnsi="Arial" w:cs="Arial"/>
                <w:sz w:val="20"/>
                <w:szCs w:val="20"/>
                <w:lang w:val="sq-AL"/>
              </w:rPr>
              <w:t>576.000€</w:t>
            </w:r>
          </w:p>
        </w:tc>
      </w:tr>
      <w:tr w:rsidR="00C632D0" w:rsidRPr="003E7289" w14:paraId="3CE9C926" w14:textId="77777777" w:rsidTr="008D5D24">
        <w:tc>
          <w:tcPr>
            <w:tcW w:w="330" w:type="pct"/>
            <w:gridSpan w:val="2"/>
            <w:shd w:val="clear" w:color="auto" w:fill="0F4761"/>
            <w:vAlign w:val="center"/>
          </w:tcPr>
          <w:p w14:paraId="00C418B8" w14:textId="77777777" w:rsidR="00C632D0" w:rsidRPr="003E7289" w:rsidRDefault="00C632D0" w:rsidP="00C632D0">
            <w:pPr>
              <w:spacing w:before="0" w:line="240" w:lineRule="auto"/>
              <w:jc w:val="center"/>
              <w:rPr>
                <w:rFonts w:ascii="Arial" w:eastAsia="Aptos" w:hAnsi="Arial" w:cs="Arial"/>
                <w:b/>
                <w:bCs/>
                <w:color w:val="FFFFFF"/>
                <w:sz w:val="20"/>
                <w:szCs w:val="20"/>
                <w:lang w:val="sq-AL" w:eastAsia="en-US"/>
              </w:rPr>
            </w:pPr>
          </w:p>
        </w:tc>
        <w:tc>
          <w:tcPr>
            <w:tcW w:w="4670" w:type="pct"/>
            <w:gridSpan w:val="19"/>
            <w:shd w:val="clear" w:color="auto" w:fill="0F4761"/>
            <w:vAlign w:val="center"/>
          </w:tcPr>
          <w:p w14:paraId="7DF50C67" w14:textId="49FB7E54" w:rsidR="00C632D0" w:rsidRPr="003E7289" w:rsidRDefault="0040465B" w:rsidP="00C632D0">
            <w:pPr>
              <w:spacing w:before="0" w:line="240" w:lineRule="auto"/>
              <w:jc w:val="center"/>
              <w:rPr>
                <w:rFonts w:ascii="Arial" w:eastAsia="Aptos" w:hAnsi="Arial" w:cs="Arial"/>
                <w:b/>
                <w:bCs/>
                <w:color w:val="FFFFFF"/>
                <w:sz w:val="20"/>
                <w:szCs w:val="20"/>
                <w:highlight w:val="yellow"/>
                <w:lang w:val="sq-AL" w:eastAsia="en-US"/>
              </w:rPr>
            </w:pPr>
            <w:r w:rsidRPr="003E7289">
              <w:rPr>
                <w:rFonts w:ascii="Arial" w:eastAsia="Aptos" w:hAnsi="Arial" w:cs="Arial"/>
                <w:b/>
                <w:bCs/>
                <w:color w:val="FFFFFF"/>
                <w:sz w:val="20"/>
                <w:szCs w:val="20"/>
                <w:lang w:val="sq-AL"/>
              </w:rPr>
              <w:t>Prioriteti kyç për përshtatje</w:t>
            </w:r>
            <w:r w:rsidR="00C632D0" w:rsidRPr="003E7289">
              <w:rPr>
                <w:rFonts w:ascii="Arial" w:eastAsia="Aptos" w:hAnsi="Arial" w:cs="Arial"/>
                <w:b/>
                <w:bCs/>
                <w:color w:val="FFFFFF"/>
                <w:sz w:val="20"/>
                <w:szCs w:val="20"/>
                <w:lang w:val="sq-AL"/>
              </w:rPr>
              <w:t xml:space="preserve">: </w:t>
            </w:r>
            <w:r w:rsidR="00CF4C50" w:rsidRPr="003E7289">
              <w:rPr>
                <w:rFonts w:ascii="Arial" w:eastAsia="Aptos" w:hAnsi="Arial" w:cs="Arial"/>
                <w:b/>
                <w:bCs/>
                <w:color w:val="FFFFFF"/>
                <w:sz w:val="20"/>
                <w:szCs w:val="20"/>
                <w:lang w:val="sq-AL"/>
              </w:rPr>
              <w:t>Fuqizimi i sistemeve të paralajmërimit të hershëm për fermerët</w:t>
            </w:r>
          </w:p>
        </w:tc>
      </w:tr>
      <w:tr w:rsidR="00C632D0" w:rsidRPr="003E7289" w14:paraId="5F64CA53" w14:textId="77777777" w:rsidTr="008D5D24">
        <w:tc>
          <w:tcPr>
            <w:tcW w:w="330" w:type="pct"/>
            <w:gridSpan w:val="2"/>
            <w:shd w:val="clear" w:color="auto" w:fill="84CCEC"/>
            <w:vAlign w:val="center"/>
          </w:tcPr>
          <w:p w14:paraId="6FD6943D" w14:textId="4E0B7E27" w:rsidR="00C632D0" w:rsidRPr="003E7289" w:rsidRDefault="00C632D0" w:rsidP="00C632D0">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III.3</w:t>
            </w:r>
            <w:r w:rsidR="00E0225B" w:rsidRPr="003E7289">
              <w:rPr>
                <w:rFonts w:ascii="Arial" w:eastAsia="Aptos" w:hAnsi="Arial" w:cs="Arial"/>
                <w:b/>
                <w:bCs/>
                <w:sz w:val="20"/>
                <w:szCs w:val="20"/>
                <w:lang w:val="sq-AL"/>
              </w:rPr>
              <w:t>5</w:t>
            </w:r>
          </w:p>
        </w:tc>
        <w:tc>
          <w:tcPr>
            <w:tcW w:w="4670" w:type="pct"/>
            <w:gridSpan w:val="19"/>
            <w:shd w:val="clear" w:color="auto" w:fill="84CCEC"/>
            <w:vAlign w:val="center"/>
          </w:tcPr>
          <w:p w14:paraId="1601D569" w14:textId="0D95E683" w:rsidR="00C632D0" w:rsidRPr="003E7289" w:rsidRDefault="00CF4C50" w:rsidP="00C632D0">
            <w:pPr>
              <w:spacing w:before="0" w:line="240" w:lineRule="auto"/>
              <w:jc w:val="center"/>
              <w:rPr>
                <w:rFonts w:ascii="Arial" w:eastAsia="Aptos" w:hAnsi="Arial" w:cs="Arial"/>
                <w:b/>
                <w:bCs/>
                <w:sz w:val="20"/>
                <w:szCs w:val="20"/>
                <w:highlight w:val="green"/>
                <w:lang w:val="sq-AL" w:eastAsia="en-US"/>
              </w:rPr>
            </w:pPr>
            <w:r w:rsidRPr="003E7289">
              <w:rPr>
                <w:rFonts w:ascii="Arial" w:eastAsia="Aptos" w:hAnsi="Arial" w:cs="Arial"/>
                <w:b/>
                <w:bCs/>
                <w:sz w:val="20"/>
                <w:szCs w:val="20"/>
                <w:lang w:val="sq-AL"/>
              </w:rPr>
              <w:t>Zhvillimi dhe zbatimi i sistemeve të hershme paralajmëruese për thatësira në sektorin e bujqësisë</w:t>
            </w:r>
          </w:p>
        </w:tc>
      </w:tr>
      <w:tr w:rsidR="00702B19" w:rsidRPr="003E7289" w14:paraId="19F88ACD" w14:textId="77777777" w:rsidTr="0039004D">
        <w:tc>
          <w:tcPr>
            <w:tcW w:w="1019" w:type="pct"/>
            <w:gridSpan w:val="5"/>
            <w:vAlign w:val="center"/>
          </w:tcPr>
          <w:p w14:paraId="38B2C04C" w14:textId="2298C426" w:rsidR="008D5D24" w:rsidRPr="003E7289" w:rsidRDefault="008D5D24" w:rsidP="008D5D24">
            <w:pPr>
              <w:autoSpaceDE w:val="0"/>
              <w:autoSpaceDN w:val="0"/>
              <w:adjustRightInd w:val="0"/>
              <w:spacing w:before="0" w:line="240" w:lineRule="auto"/>
              <w:jc w:val="center"/>
              <w:rPr>
                <w:rFonts w:ascii="Arial" w:eastAsia="Aptos" w:hAnsi="Arial" w:cs="Arial"/>
                <w:b/>
                <w:bCs/>
                <w:sz w:val="20"/>
                <w:szCs w:val="20"/>
                <w:lang w:val="sq-AL" w:eastAsia="en-US"/>
              </w:rPr>
            </w:pPr>
            <w:r w:rsidRPr="003E7289">
              <w:rPr>
                <w:rFonts w:ascii="Arial" w:eastAsia="Myriad Pro" w:hAnsi="Arial" w:cs="Arial"/>
                <w:b/>
                <w:bCs/>
                <w:sz w:val="20"/>
                <w:szCs w:val="20"/>
                <w:lang w:val="sq-AL"/>
              </w:rPr>
              <w:t>Statusi i sistemit kombëtar të paralajmërimit të hershëm për thatësirën dhe shtrirja e tij operative tek fermerët.</w:t>
            </w:r>
          </w:p>
        </w:tc>
        <w:tc>
          <w:tcPr>
            <w:tcW w:w="602" w:type="pct"/>
            <w:gridSpan w:val="2"/>
            <w:vAlign w:val="center"/>
          </w:tcPr>
          <w:p w14:paraId="3C87FDE6" w14:textId="5C2D7C86" w:rsidR="008D5D24" w:rsidRPr="003E7289" w:rsidRDefault="008D5D24" w:rsidP="008D5D24">
            <w:pPr>
              <w:spacing w:before="0" w:line="240" w:lineRule="auto"/>
              <w:rPr>
                <w:rFonts w:ascii="Arial" w:eastAsia="Aptos" w:hAnsi="Arial" w:cs="Arial"/>
                <w:sz w:val="20"/>
                <w:szCs w:val="20"/>
                <w:lang w:val="sq-AL" w:eastAsia="en-US"/>
              </w:rPr>
            </w:pPr>
            <w:r w:rsidRPr="003E7289">
              <w:rPr>
                <w:rFonts w:ascii="Arial" w:eastAsia="Myriad Pro" w:hAnsi="Arial" w:cs="Arial"/>
                <w:sz w:val="20"/>
                <w:szCs w:val="20"/>
                <w:lang w:val="sq-AL"/>
              </w:rPr>
              <w:t>Sistem i kufizuar, shpërndarje sporadike e parashikimeve të thatësirës.</w:t>
            </w:r>
          </w:p>
        </w:tc>
        <w:tc>
          <w:tcPr>
            <w:tcW w:w="1125" w:type="pct"/>
            <w:gridSpan w:val="7"/>
            <w:vAlign w:val="center"/>
          </w:tcPr>
          <w:p w14:paraId="482435AC" w14:textId="5262A9D7" w:rsidR="008D5D24" w:rsidRPr="003E7289" w:rsidRDefault="008D5D24" w:rsidP="008D5D24">
            <w:pPr>
              <w:spacing w:before="0" w:line="240" w:lineRule="auto"/>
              <w:rPr>
                <w:rFonts w:ascii="Arial" w:eastAsia="Aptos" w:hAnsi="Arial" w:cs="Arial"/>
                <w:sz w:val="20"/>
                <w:szCs w:val="20"/>
                <w:lang w:val="sq-AL" w:eastAsia="en-US"/>
              </w:rPr>
            </w:pPr>
            <w:r w:rsidRPr="003E7289">
              <w:rPr>
                <w:rFonts w:ascii="Arial" w:eastAsia="Myriad Pro" w:hAnsi="Arial" w:cs="Arial"/>
                <w:sz w:val="20"/>
                <w:szCs w:val="20"/>
                <w:lang w:val="sq-AL"/>
              </w:rPr>
              <w:t>Sistem gjithëpërfshirës i paralajmërimit të hershëm për thatësirën i projektuar; zbatimi i fazës pilot që mbulon komunat kryesore bujqësore.</w:t>
            </w:r>
          </w:p>
        </w:tc>
        <w:tc>
          <w:tcPr>
            <w:tcW w:w="567" w:type="pct"/>
            <w:gridSpan w:val="2"/>
            <w:vAlign w:val="center"/>
          </w:tcPr>
          <w:p w14:paraId="302BEE83" w14:textId="4996C4F9" w:rsidR="008D5D24" w:rsidRPr="003E7289" w:rsidRDefault="008D5D24" w:rsidP="008D5D24">
            <w:pPr>
              <w:spacing w:before="0" w:line="240" w:lineRule="auto"/>
              <w:rPr>
                <w:rFonts w:ascii="Arial" w:eastAsia="Aptos" w:hAnsi="Arial" w:cs="Arial"/>
                <w:sz w:val="20"/>
                <w:szCs w:val="20"/>
                <w:lang w:val="sq-AL" w:eastAsia="en-US"/>
              </w:rPr>
            </w:pPr>
            <w:r w:rsidRPr="003E7289">
              <w:rPr>
                <w:rFonts w:ascii="Arial" w:eastAsia="Myriad Pro" w:hAnsi="Arial" w:cs="Arial"/>
                <w:sz w:val="20"/>
                <w:szCs w:val="20"/>
                <w:lang w:val="sq-AL"/>
              </w:rPr>
              <w:t>Sistem i plotë operacional i paralajmërimit të hershëm për thatësirën i disponueshëm në të gjithë vendin, parashikime të rregullta sezonale të arritshme për shumicën e fermerëve.</w:t>
            </w:r>
          </w:p>
        </w:tc>
        <w:tc>
          <w:tcPr>
            <w:tcW w:w="1687" w:type="pct"/>
            <w:gridSpan w:val="5"/>
            <w:vAlign w:val="center"/>
          </w:tcPr>
          <w:p w14:paraId="2069E811" w14:textId="3FC4053D" w:rsidR="008D5D24" w:rsidRPr="003E7289" w:rsidRDefault="008D5D24" w:rsidP="008D5D24">
            <w:pPr>
              <w:spacing w:before="0" w:line="240" w:lineRule="auto"/>
              <w:rPr>
                <w:rFonts w:ascii="Arial" w:eastAsia="Aptos" w:hAnsi="Arial" w:cs="Arial"/>
                <w:sz w:val="20"/>
                <w:szCs w:val="20"/>
                <w:lang w:val="sq-AL" w:eastAsia="en-US"/>
              </w:rPr>
            </w:pPr>
            <w:r w:rsidRPr="003E7289">
              <w:rPr>
                <w:rFonts w:ascii="Arial" w:eastAsia="Myriad Pro" w:hAnsi="Arial" w:cs="Arial"/>
                <w:sz w:val="20"/>
                <w:szCs w:val="20"/>
                <w:lang w:val="sq-AL"/>
              </w:rPr>
              <w:t>Sistem plotësisht i integruar i menaxhimit të thatësirës, ​​i ngulitur brenda politikës kombëtare të klimës; fermerët mbështeten universalisht në këshilla të sakta dhe në kohë për thatësirën.</w:t>
            </w:r>
          </w:p>
        </w:tc>
      </w:tr>
      <w:tr w:rsidR="00691972" w:rsidRPr="003E7289" w14:paraId="0A950558" w14:textId="77777777" w:rsidTr="0039004D">
        <w:trPr>
          <w:trHeight w:val="195"/>
        </w:trPr>
        <w:tc>
          <w:tcPr>
            <w:tcW w:w="330" w:type="pct"/>
            <w:gridSpan w:val="2"/>
            <w:vMerge w:val="restart"/>
            <w:shd w:val="clear" w:color="auto" w:fill="C6E7F6"/>
            <w:vAlign w:val="center"/>
          </w:tcPr>
          <w:p w14:paraId="6EF19DE8" w14:textId="1FDD1168"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Nr.</w:t>
            </w:r>
          </w:p>
        </w:tc>
        <w:tc>
          <w:tcPr>
            <w:tcW w:w="690" w:type="pct"/>
            <w:gridSpan w:val="3"/>
            <w:vMerge w:val="restart"/>
            <w:shd w:val="clear" w:color="auto" w:fill="C6E7F6"/>
            <w:vAlign w:val="center"/>
          </w:tcPr>
          <w:p w14:paraId="4643B967" w14:textId="153F0AF1" w:rsidR="000D1635" w:rsidRPr="003E7289" w:rsidRDefault="000D1635" w:rsidP="000D1635">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Veprimi</w:t>
            </w:r>
          </w:p>
        </w:tc>
        <w:tc>
          <w:tcPr>
            <w:tcW w:w="602" w:type="pct"/>
            <w:gridSpan w:val="2"/>
            <w:vMerge w:val="restart"/>
            <w:shd w:val="clear" w:color="auto" w:fill="C6E7F6"/>
            <w:vAlign w:val="center"/>
          </w:tcPr>
          <w:p w14:paraId="2F2C8274" w14:textId="6BE9CB9B"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Afati I fundit</w:t>
            </w:r>
          </w:p>
        </w:tc>
        <w:tc>
          <w:tcPr>
            <w:tcW w:w="1125" w:type="pct"/>
            <w:gridSpan w:val="7"/>
            <w:shd w:val="clear" w:color="auto" w:fill="C6E7F6"/>
            <w:vAlign w:val="center"/>
          </w:tcPr>
          <w:p w14:paraId="59957468" w14:textId="20B6FAF6"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Buxheti</w:t>
            </w:r>
          </w:p>
        </w:tc>
        <w:tc>
          <w:tcPr>
            <w:tcW w:w="567" w:type="pct"/>
            <w:gridSpan w:val="2"/>
            <w:vMerge w:val="restart"/>
            <w:shd w:val="clear" w:color="auto" w:fill="C6E7F6"/>
            <w:vAlign w:val="center"/>
          </w:tcPr>
          <w:p w14:paraId="559F9292" w14:textId="2776D6DB"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Burimi i financimit</w:t>
            </w:r>
          </w:p>
        </w:tc>
        <w:tc>
          <w:tcPr>
            <w:tcW w:w="686" w:type="pct"/>
            <w:vMerge w:val="restart"/>
            <w:shd w:val="clear" w:color="auto" w:fill="C6E7F6"/>
            <w:vAlign w:val="center"/>
          </w:tcPr>
          <w:p w14:paraId="65C6CE3E" w14:textId="2239588F"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 xml:space="preserve">Institucionet përgjegjëse dhe </w:t>
            </w:r>
            <w:r w:rsidRPr="003E7289">
              <w:rPr>
                <w:rFonts w:ascii="Arial" w:eastAsia="Aptos" w:hAnsi="Arial" w:cs="Arial"/>
                <w:b/>
                <w:bCs/>
                <w:sz w:val="20"/>
                <w:szCs w:val="20"/>
                <w:lang w:val="sq-AL"/>
              </w:rPr>
              <w:lastRenderedPageBreak/>
              <w:t>partnere</w:t>
            </w:r>
          </w:p>
        </w:tc>
        <w:tc>
          <w:tcPr>
            <w:tcW w:w="545" w:type="pct"/>
            <w:gridSpan w:val="2"/>
            <w:vMerge w:val="restart"/>
            <w:shd w:val="clear" w:color="auto" w:fill="C6E7F6"/>
            <w:vAlign w:val="center"/>
          </w:tcPr>
          <w:p w14:paraId="16E30D3F" w14:textId="67EDD3A9"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Rezultati i pritur</w:t>
            </w:r>
          </w:p>
        </w:tc>
        <w:tc>
          <w:tcPr>
            <w:tcW w:w="456" w:type="pct"/>
            <w:gridSpan w:val="2"/>
            <w:vMerge w:val="restart"/>
            <w:shd w:val="clear" w:color="auto" w:fill="C6E7F6"/>
            <w:vAlign w:val="center"/>
          </w:tcPr>
          <w:p w14:paraId="1F7FF2DF" w14:textId="3F9F4266" w:rsidR="000D1635" w:rsidRPr="003E7289" w:rsidRDefault="000D1635" w:rsidP="000D1635">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Dokumenti strategjik referues</w:t>
            </w:r>
          </w:p>
        </w:tc>
      </w:tr>
      <w:tr w:rsidR="00691972" w:rsidRPr="003E7289" w14:paraId="3EAEAD18" w14:textId="77777777" w:rsidTr="0039004D">
        <w:trPr>
          <w:trHeight w:val="195"/>
        </w:trPr>
        <w:tc>
          <w:tcPr>
            <w:tcW w:w="330" w:type="pct"/>
            <w:gridSpan w:val="2"/>
            <w:vMerge/>
            <w:vAlign w:val="center"/>
          </w:tcPr>
          <w:p w14:paraId="11FABA84" w14:textId="77777777" w:rsidR="00C632D0" w:rsidRPr="003E7289" w:rsidRDefault="00C632D0" w:rsidP="00C632D0">
            <w:pPr>
              <w:spacing w:before="0" w:line="240" w:lineRule="auto"/>
              <w:jc w:val="center"/>
              <w:rPr>
                <w:rFonts w:ascii="Arial" w:eastAsia="Aptos" w:hAnsi="Arial" w:cs="Arial"/>
                <w:sz w:val="20"/>
                <w:szCs w:val="20"/>
                <w:lang w:val="sq-AL" w:eastAsia="en-US"/>
              </w:rPr>
            </w:pPr>
          </w:p>
        </w:tc>
        <w:tc>
          <w:tcPr>
            <w:tcW w:w="690" w:type="pct"/>
            <w:gridSpan w:val="3"/>
            <w:vMerge/>
            <w:vAlign w:val="center"/>
          </w:tcPr>
          <w:p w14:paraId="5AD2209C" w14:textId="77777777" w:rsidR="00C632D0" w:rsidRPr="003E7289" w:rsidRDefault="00C632D0" w:rsidP="00C632D0">
            <w:pPr>
              <w:spacing w:before="0" w:line="240" w:lineRule="auto"/>
              <w:jc w:val="center"/>
              <w:rPr>
                <w:rFonts w:ascii="Arial" w:eastAsia="Aptos" w:hAnsi="Arial" w:cs="Arial"/>
                <w:b/>
                <w:bCs/>
                <w:sz w:val="20"/>
                <w:szCs w:val="20"/>
                <w:lang w:val="sq-AL" w:eastAsia="en-US"/>
              </w:rPr>
            </w:pPr>
          </w:p>
        </w:tc>
        <w:tc>
          <w:tcPr>
            <w:tcW w:w="602" w:type="pct"/>
            <w:gridSpan w:val="2"/>
            <w:vMerge/>
            <w:vAlign w:val="center"/>
          </w:tcPr>
          <w:p w14:paraId="4A39E586" w14:textId="77777777" w:rsidR="00C632D0" w:rsidRPr="003E7289" w:rsidRDefault="00C632D0" w:rsidP="00C632D0">
            <w:pPr>
              <w:spacing w:before="0" w:line="240" w:lineRule="auto"/>
              <w:jc w:val="center"/>
              <w:rPr>
                <w:rFonts w:ascii="Arial" w:eastAsia="Aptos" w:hAnsi="Arial" w:cs="Arial"/>
                <w:b/>
                <w:bCs/>
                <w:sz w:val="20"/>
                <w:szCs w:val="20"/>
                <w:highlight w:val="yellow"/>
                <w:lang w:val="sq-AL" w:eastAsia="en-US"/>
              </w:rPr>
            </w:pPr>
          </w:p>
        </w:tc>
        <w:tc>
          <w:tcPr>
            <w:tcW w:w="339" w:type="pct"/>
            <w:gridSpan w:val="2"/>
            <w:shd w:val="clear" w:color="auto" w:fill="C6E7F6"/>
            <w:vAlign w:val="center"/>
          </w:tcPr>
          <w:p w14:paraId="2A273241" w14:textId="77777777" w:rsidR="00C632D0" w:rsidRPr="003E7289" w:rsidRDefault="00C632D0" w:rsidP="00C632D0">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2026</w:t>
            </w:r>
          </w:p>
        </w:tc>
        <w:tc>
          <w:tcPr>
            <w:tcW w:w="394" w:type="pct"/>
            <w:gridSpan w:val="3"/>
            <w:shd w:val="clear" w:color="auto" w:fill="C6E7F6"/>
            <w:vAlign w:val="center"/>
          </w:tcPr>
          <w:p w14:paraId="3CBFA2A8" w14:textId="77777777" w:rsidR="00C632D0" w:rsidRPr="003E7289" w:rsidRDefault="00C632D0" w:rsidP="00C632D0">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2027</w:t>
            </w:r>
          </w:p>
        </w:tc>
        <w:tc>
          <w:tcPr>
            <w:tcW w:w="392" w:type="pct"/>
            <w:gridSpan w:val="2"/>
            <w:shd w:val="clear" w:color="auto" w:fill="C6E7F6"/>
            <w:vAlign w:val="center"/>
          </w:tcPr>
          <w:p w14:paraId="1ECFE5F8" w14:textId="77777777" w:rsidR="00C632D0" w:rsidRPr="003E7289" w:rsidRDefault="00C632D0" w:rsidP="00C632D0">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2028</w:t>
            </w:r>
          </w:p>
        </w:tc>
        <w:tc>
          <w:tcPr>
            <w:tcW w:w="567" w:type="pct"/>
            <w:gridSpan w:val="2"/>
            <w:vMerge/>
            <w:vAlign w:val="center"/>
          </w:tcPr>
          <w:p w14:paraId="28B613E4" w14:textId="77777777" w:rsidR="00C632D0" w:rsidRPr="003E7289" w:rsidRDefault="00C632D0" w:rsidP="00C632D0">
            <w:pPr>
              <w:spacing w:before="0" w:line="240" w:lineRule="auto"/>
              <w:jc w:val="center"/>
              <w:rPr>
                <w:rFonts w:ascii="Arial" w:eastAsia="Aptos" w:hAnsi="Arial" w:cs="Arial"/>
                <w:b/>
                <w:bCs/>
                <w:sz w:val="20"/>
                <w:szCs w:val="20"/>
                <w:highlight w:val="yellow"/>
                <w:lang w:val="sq-AL" w:eastAsia="en-US"/>
              </w:rPr>
            </w:pPr>
          </w:p>
        </w:tc>
        <w:tc>
          <w:tcPr>
            <w:tcW w:w="686" w:type="pct"/>
            <w:vMerge/>
            <w:vAlign w:val="center"/>
          </w:tcPr>
          <w:p w14:paraId="6C25DF87" w14:textId="77777777" w:rsidR="00C632D0" w:rsidRPr="003E7289" w:rsidRDefault="00C632D0" w:rsidP="00C632D0">
            <w:pPr>
              <w:spacing w:before="0" w:line="240" w:lineRule="auto"/>
              <w:jc w:val="center"/>
              <w:rPr>
                <w:rFonts w:ascii="Arial" w:eastAsia="Aptos" w:hAnsi="Arial" w:cs="Arial"/>
                <w:b/>
                <w:bCs/>
                <w:sz w:val="20"/>
                <w:szCs w:val="20"/>
                <w:highlight w:val="yellow"/>
                <w:lang w:val="sq-AL" w:eastAsia="en-US"/>
              </w:rPr>
            </w:pPr>
          </w:p>
        </w:tc>
        <w:tc>
          <w:tcPr>
            <w:tcW w:w="545" w:type="pct"/>
            <w:gridSpan w:val="2"/>
            <w:vMerge/>
            <w:vAlign w:val="center"/>
          </w:tcPr>
          <w:p w14:paraId="03FD25BF" w14:textId="77777777" w:rsidR="00C632D0" w:rsidRPr="003E7289" w:rsidRDefault="00C632D0" w:rsidP="00C632D0">
            <w:pPr>
              <w:spacing w:before="0" w:line="240" w:lineRule="auto"/>
              <w:jc w:val="center"/>
              <w:rPr>
                <w:rFonts w:ascii="Arial" w:eastAsia="Aptos" w:hAnsi="Arial" w:cs="Arial"/>
                <w:b/>
                <w:bCs/>
                <w:sz w:val="20"/>
                <w:szCs w:val="20"/>
                <w:highlight w:val="yellow"/>
                <w:lang w:val="sq-AL" w:eastAsia="en-US"/>
              </w:rPr>
            </w:pPr>
          </w:p>
        </w:tc>
        <w:tc>
          <w:tcPr>
            <w:tcW w:w="456" w:type="pct"/>
            <w:gridSpan w:val="2"/>
            <w:vMerge/>
            <w:vAlign w:val="center"/>
          </w:tcPr>
          <w:p w14:paraId="219DD2DA" w14:textId="77777777" w:rsidR="00C632D0" w:rsidRPr="003E7289" w:rsidRDefault="00C632D0" w:rsidP="00C632D0">
            <w:pPr>
              <w:spacing w:before="0" w:line="240" w:lineRule="auto"/>
              <w:jc w:val="center"/>
              <w:rPr>
                <w:rFonts w:ascii="Arial" w:eastAsia="Aptos" w:hAnsi="Arial" w:cs="Arial"/>
                <w:b/>
                <w:bCs/>
                <w:sz w:val="20"/>
                <w:szCs w:val="20"/>
                <w:highlight w:val="yellow"/>
                <w:lang w:val="sq-AL" w:eastAsia="en-US"/>
              </w:rPr>
            </w:pPr>
          </w:p>
        </w:tc>
      </w:tr>
      <w:tr w:rsidR="00691972" w:rsidRPr="003E7289" w14:paraId="515BB5EE" w14:textId="77777777" w:rsidTr="0039004D">
        <w:tc>
          <w:tcPr>
            <w:tcW w:w="330" w:type="pct"/>
            <w:gridSpan w:val="2"/>
            <w:vAlign w:val="center"/>
          </w:tcPr>
          <w:p w14:paraId="4E333887" w14:textId="29F37397" w:rsidR="00CC340D" w:rsidRPr="003E7289" w:rsidRDefault="00CC340D" w:rsidP="00CC340D">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III.3</w:t>
            </w:r>
            <w:r w:rsidR="00E0225B" w:rsidRPr="003E7289">
              <w:rPr>
                <w:rFonts w:ascii="Arial" w:eastAsia="Aptos" w:hAnsi="Arial" w:cs="Arial"/>
                <w:b/>
                <w:bCs/>
                <w:sz w:val="20"/>
                <w:szCs w:val="20"/>
                <w:lang w:val="sq-AL"/>
              </w:rPr>
              <w:t>5</w:t>
            </w:r>
            <w:r w:rsidRPr="003E7289">
              <w:rPr>
                <w:rFonts w:ascii="Arial" w:eastAsia="Aptos" w:hAnsi="Arial" w:cs="Arial"/>
                <w:b/>
                <w:bCs/>
                <w:sz w:val="20"/>
                <w:szCs w:val="20"/>
                <w:lang w:val="sq-AL"/>
              </w:rPr>
              <w:t>.1</w:t>
            </w:r>
          </w:p>
        </w:tc>
        <w:tc>
          <w:tcPr>
            <w:tcW w:w="690" w:type="pct"/>
            <w:gridSpan w:val="3"/>
            <w:vAlign w:val="center"/>
          </w:tcPr>
          <w:p w14:paraId="1E0C5F79" w14:textId="5EFECADB" w:rsidR="00CC340D" w:rsidRPr="003E7289" w:rsidRDefault="008D5D24"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Projektimi dhe planifikimi i një sistemi të integruar për paralajmërim të hershëm për thatësirë</w:t>
            </w:r>
          </w:p>
        </w:tc>
        <w:tc>
          <w:tcPr>
            <w:tcW w:w="602" w:type="pct"/>
            <w:gridSpan w:val="2"/>
            <w:vAlign w:val="center"/>
          </w:tcPr>
          <w:p w14:paraId="5BB762EC" w14:textId="77777777"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2027</w:t>
            </w:r>
          </w:p>
        </w:tc>
        <w:tc>
          <w:tcPr>
            <w:tcW w:w="339" w:type="pct"/>
            <w:gridSpan w:val="2"/>
            <w:vAlign w:val="center"/>
          </w:tcPr>
          <w:p w14:paraId="255AD9E4" w14:textId="77777777"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460000€</w:t>
            </w:r>
          </w:p>
        </w:tc>
        <w:tc>
          <w:tcPr>
            <w:tcW w:w="394" w:type="pct"/>
            <w:gridSpan w:val="3"/>
            <w:vAlign w:val="center"/>
          </w:tcPr>
          <w:p w14:paraId="2965D7B9"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392" w:type="pct"/>
            <w:gridSpan w:val="2"/>
            <w:vAlign w:val="center"/>
          </w:tcPr>
          <w:p w14:paraId="43118A28"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567" w:type="pct"/>
            <w:gridSpan w:val="2"/>
            <w:vAlign w:val="center"/>
          </w:tcPr>
          <w:p w14:paraId="12EDF1FB" w14:textId="7C80734E" w:rsidR="00CC340D"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eastAsia="en-US"/>
              </w:rPr>
              <w:t>Buxheti Kombëtar, Donatorë</w:t>
            </w:r>
          </w:p>
        </w:tc>
        <w:tc>
          <w:tcPr>
            <w:tcW w:w="686" w:type="pct"/>
            <w:vAlign w:val="center"/>
          </w:tcPr>
          <w:p w14:paraId="4D68EEAB" w14:textId="4595C774" w:rsidR="00CC340D"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 xml:space="preserve">MBZHR, </w:t>
            </w:r>
            <w:r w:rsidR="0017482F" w:rsidRPr="003E7289">
              <w:rPr>
                <w:rFonts w:ascii="Arial" w:eastAsia="Aptos" w:hAnsi="Arial" w:cs="Arial"/>
                <w:sz w:val="20"/>
                <w:szCs w:val="20"/>
                <w:lang w:val="sq-AL"/>
              </w:rPr>
              <w:t>Agjencia e Menaxhimit Emergjent</w:t>
            </w:r>
            <w:r w:rsidRPr="003E7289">
              <w:rPr>
                <w:rFonts w:ascii="Arial" w:eastAsia="Aptos" w:hAnsi="Arial" w:cs="Arial"/>
                <w:sz w:val="20"/>
                <w:szCs w:val="20"/>
                <w:lang w:val="sq-AL"/>
              </w:rPr>
              <w:t>, komunat, Instituti Hidrometeorologjik</w:t>
            </w:r>
          </w:p>
        </w:tc>
        <w:tc>
          <w:tcPr>
            <w:tcW w:w="545" w:type="pct"/>
            <w:gridSpan w:val="2"/>
            <w:vAlign w:val="center"/>
          </w:tcPr>
          <w:p w14:paraId="4D98F0B5" w14:textId="7F81B07B" w:rsidR="00CC340D"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Projekt teknik i verifikuar për sistemin kombëtar të paralajmërimit për thatësirë, me strukturat institucionale dhe operacionale të përcaktuara</w:t>
            </w:r>
          </w:p>
        </w:tc>
        <w:tc>
          <w:tcPr>
            <w:tcW w:w="456" w:type="pct"/>
            <w:gridSpan w:val="2"/>
            <w:vAlign w:val="center"/>
          </w:tcPr>
          <w:p w14:paraId="7F5740BE" w14:textId="277F4217" w:rsidR="00CC340D"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Propozim i ri</w:t>
            </w:r>
          </w:p>
        </w:tc>
      </w:tr>
      <w:tr w:rsidR="00691972" w:rsidRPr="003E7289" w14:paraId="6C5ABCC8" w14:textId="77777777" w:rsidTr="0039004D">
        <w:tc>
          <w:tcPr>
            <w:tcW w:w="330" w:type="pct"/>
            <w:gridSpan w:val="2"/>
            <w:vAlign w:val="center"/>
          </w:tcPr>
          <w:p w14:paraId="465F3D82" w14:textId="7BA61E06" w:rsidR="00CC340D" w:rsidRPr="003E7289" w:rsidRDefault="00CC340D" w:rsidP="00CC340D">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III.3</w:t>
            </w:r>
            <w:r w:rsidR="00E0225B" w:rsidRPr="003E7289">
              <w:rPr>
                <w:rFonts w:ascii="Arial" w:eastAsia="Aptos" w:hAnsi="Arial" w:cs="Arial"/>
                <w:b/>
                <w:bCs/>
                <w:sz w:val="20"/>
                <w:szCs w:val="20"/>
                <w:lang w:val="sq-AL"/>
              </w:rPr>
              <w:t>5</w:t>
            </w:r>
            <w:r w:rsidRPr="003E7289">
              <w:rPr>
                <w:rFonts w:ascii="Arial" w:eastAsia="Aptos" w:hAnsi="Arial" w:cs="Arial"/>
                <w:b/>
                <w:bCs/>
                <w:sz w:val="20"/>
                <w:szCs w:val="20"/>
                <w:lang w:val="sq-AL"/>
              </w:rPr>
              <w:t>.2</w:t>
            </w:r>
          </w:p>
        </w:tc>
        <w:tc>
          <w:tcPr>
            <w:tcW w:w="690" w:type="pct"/>
            <w:gridSpan w:val="3"/>
            <w:vAlign w:val="center"/>
          </w:tcPr>
          <w:p w14:paraId="4EC77A18" w14:textId="49B1D7E4" w:rsidR="00CC340D" w:rsidRPr="003E7289" w:rsidRDefault="008D5D24"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 xml:space="preserve">Zbatim pilot në komunat kyçe </w:t>
            </w:r>
            <w:r w:rsidRPr="003E7289">
              <w:rPr>
                <w:rFonts w:ascii="Arial" w:eastAsia="Aptos" w:hAnsi="Arial" w:cs="Arial"/>
                <w:b/>
                <w:bCs/>
                <w:sz w:val="20"/>
                <w:szCs w:val="20"/>
                <w:lang w:val="sq-AL"/>
              </w:rPr>
              <w:lastRenderedPageBreak/>
              <w:t>bujqësore</w:t>
            </w:r>
          </w:p>
        </w:tc>
        <w:tc>
          <w:tcPr>
            <w:tcW w:w="602" w:type="pct"/>
            <w:gridSpan w:val="2"/>
            <w:vAlign w:val="center"/>
          </w:tcPr>
          <w:p w14:paraId="55A3CAB3" w14:textId="77777777"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2029</w:t>
            </w:r>
          </w:p>
        </w:tc>
        <w:tc>
          <w:tcPr>
            <w:tcW w:w="339" w:type="pct"/>
            <w:gridSpan w:val="2"/>
            <w:vAlign w:val="center"/>
          </w:tcPr>
          <w:p w14:paraId="07A42905"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394" w:type="pct"/>
            <w:gridSpan w:val="3"/>
            <w:vAlign w:val="center"/>
          </w:tcPr>
          <w:p w14:paraId="3FC65F30" w14:textId="77777777"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920000€</w:t>
            </w:r>
          </w:p>
        </w:tc>
        <w:tc>
          <w:tcPr>
            <w:tcW w:w="392" w:type="pct"/>
            <w:gridSpan w:val="2"/>
            <w:vAlign w:val="center"/>
          </w:tcPr>
          <w:p w14:paraId="383E7B05"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567" w:type="pct"/>
            <w:gridSpan w:val="2"/>
            <w:vAlign w:val="center"/>
          </w:tcPr>
          <w:p w14:paraId="50024CB3" w14:textId="33659F32" w:rsidR="00CC340D"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eastAsia="en-US"/>
              </w:rPr>
              <w:t>Buxheti Kombëtar, Donatorë</w:t>
            </w:r>
          </w:p>
        </w:tc>
        <w:tc>
          <w:tcPr>
            <w:tcW w:w="686" w:type="pct"/>
            <w:vAlign w:val="center"/>
          </w:tcPr>
          <w:p w14:paraId="03455FB9" w14:textId="03BF7C34" w:rsidR="00CC340D"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 xml:space="preserve">MBZHR, </w:t>
            </w:r>
            <w:r w:rsidR="0017482F" w:rsidRPr="003E7289">
              <w:rPr>
                <w:rFonts w:ascii="Arial" w:eastAsia="Aptos" w:hAnsi="Arial" w:cs="Arial"/>
                <w:sz w:val="20"/>
                <w:szCs w:val="20"/>
                <w:lang w:val="sq-AL"/>
              </w:rPr>
              <w:t>Agjencia e Men</w:t>
            </w:r>
            <w:r w:rsidR="0017482F" w:rsidRPr="003E7289">
              <w:rPr>
                <w:rFonts w:ascii="Arial" w:eastAsia="Aptos" w:hAnsi="Arial" w:cs="Arial"/>
                <w:sz w:val="20"/>
                <w:szCs w:val="20"/>
                <w:lang w:val="sq-AL"/>
              </w:rPr>
              <w:lastRenderedPageBreak/>
              <w:t xml:space="preserve">axhimit Emergjent </w:t>
            </w:r>
            <w:r w:rsidRPr="003E7289">
              <w:rPr>
                <w:rFonts w:ascii="Arial" w:eastAsia="Aptos" w:hAnsi="Arial" w:cs="Arial"/>
                <w:sz w:val="20"/>
                <w:szCs w:val="20"/>
                <w:lang w:val="sq-AL"/>
              </w:rPr>
              <w:t>, komunat, Instituti Hidrometeorologjik</w:t>
            </w:r>
          </w:p>
        </w:tc>
        <w:tc>
          <w:tcPr>
            <w:tcW w:w="545" w:type="pct"/>
            <w:gridSpan w:val="2"/>
            <w:vAlign w:val="center"/>
          </w:tcPr>
          <w:p w14:paraId="1775F6E1" w14:textId="1ABACCFE" w:rsidR="00CC340D"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Sistem funksional për paralajmë</w:t>
            </w:r>
            <w:r w:rsidRPr="003E7289">
              <w:rPr>
                <w:rFonts w:ascii="Arial" w:eastAsia="Aptos" w:hAnsi="Arial" w:cs="Arial"/>
                <w:sz w:val="20"/>
                <w:szCs w:val="20"/>
                <w:lang w:val="sq-AL"/>
              </w:rPr>
              <w:lastRenderedPageBreak/>
              <w:t>rim të hershëm për thatësirë në zonat pilot, me parashikime sezonale dhe këshilla bujqësore të shpërndara rregullisht</w:t>
            </w:r>
          </w:p>
        </w:tc>
        <w:tc>
          <w:tcPr>
            <w:tcW w:w="456" w:type="pct"/>
            <w:gridSpan w:val="2"/>
            <w:vAlign w:val="center"/>
          </w:tcPr>
          <w:p w14:paraId="238CD1D6" w14:textId="4A65F7BA" w:rsidR="00CC340D"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Propozim i ri</w:t>
            </w:r>
          </w:p>
        </w:tc>
      </w:tr>
      <w:tr w:rsidR="00691972" w:rsidRPr="003E7289" w14:paraId="4771B38C" w14:textId="77777777" w:rsidTr="0039004D">
        <w:tc>
          <w:tcPr>
            <w:tcW w:w="330" w:type="pct"/>
            <w:gridSpan w:val="2"/>
            <w:vAlign w:val="center"/>
          </w:tcPr>
          <w:p w14:paraId="70092DC7" w14:textId="2EDAD8E5" w:rsidR="00C632D0" w:rsidRPr="003E7289" w:rsidRDefault="00C632D0" w:rsidP="00C632D0">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lastRenderedPageBreak/>
              <w:t>III.3</w:t>
            </w:r>
            <w:r w:rsidR="00E0225B" w:rsidRPr="003E7289">
              <w:rPr>
                <w:rFonts w:ascii="Arial" w:eastAsia="Aptos" w:hAnsi="Arial" w:cs="Arial"/>
                <w:b/>
                <w:bCs/>
                <w:sz w:val="20"/>
                <w:szCs w:val="20"/>
                <w:lang w:val="sq-AL"/>
              </w:rPr>
              <w:t>5</w:t>
            </w:r>
            <w:r w:rsidRPr="003E7289">
              <w:rPr>
                <w:rFonts w:ascii="Arial" w:eastAsia="Aptos" w:hAnsi="Arial" w:cs="Arial"/>
                <w:b/>
                <w:bCs/>
                <w:sz w:val="20"/>
                <w:szCs w:val="20"/>
                <w:lang w:val="sq-AL"/>
              </w:rPr>
              <w:t>.3</w:t>
            </w:r>
          </w:p>
        </w:tc>
        <w:tc>
          <w:tcPr>
            <w:tcW w:w="690" w:type="pct"/>
            <w:gridSpan w:val="3"/>
            <w:vAlign w:val="center"/>
          </w:tcPr>
          <w:p w14:paraId="2B2E2581" w14:textId="719E4BE3" w:rsidR="00C632D0" w:rsidRPr="003E7289" w:rsidRDefault="008D5D24"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Zgjerimi në nivel kombëtar dhe integrimi i plotë në qeverisjen klimatike</w:t>
            </w:r>
          </w:p>
        </w:tc>
        <w:tc>
          <w:tcPr>
            <w:tcW w:w="602" w:type="pct"/>
            <w:gridSpan w:val="2"/>
            <w:vAlign w:val="center"/>
          </w:tcPr>
          <w:p w14:paraId="2461833B" w14:textId="77777777" w:rsidR="00C632D0" w:rsidRPr="003E7289" w:rsidRDefault="00C632D0" w:rsidP="00C632D0">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2031</w:t>
            </w:r>
          </w:p>
        </w:tc>
        <w:tc>
          <w:tcPr>
            <w:tcW w:w="339" w:type="pct"/>
            <w:gridSpan w:val="2"/>
            <w:vAlign w:val="center"/>
          </w:tcPr>
          <w:p w14:paraId="4BF43F35" w14:textId="77777777" w:rsidR="00C632D0" w:rsidRPr="003E7289" w:rsidRDefault="00C632D0" w:rsidP="00C632D0">
            <w:pPr>
              <w:spacing w:before="0" w:line="240" w:lineRule="auto"/>
              <w:jc w:val="center"/>
              <w:rPr>
                <w:rFonts w:ascii="Arial" w:eastAsia="Aptos" w:hAnsi="Arial" w:cs="Arial"/>
                <w:b/>
                <w:bCs/>
                <w:sz w:val="20"/>
                <w:szCs w:val="20"/>
                <w:lang w:val="sq-AL" w:eastAsia="en-US"/>
              </w:rPr>
            </w:pPr>
          </w:p>
        </w:tc>
        <w:tc>
          <w:tcPr>
            <w:tcW w:w="394" w:type="pct"/>
            <w:gridSpan w:val="3"/>
            <w:vAlign w:val="center"/>
          </w:tcPr>
          <w:p w14:paraId="7429A6BF" w14:textId="77777777" w:rsidR="00C632D0" w:rsidRPr="003E7289" w:rsidRDefault="00C632D0" w:rsidP="00C632D0">
            <w:pPr>
              <w:spacing w:before="0" w:line="240" w:lineRule="auto"/>
              <w:jc w:val="center"/>
              <w:rPr>
                <w:rFonts w:ascii="Arial" w:eastAsia="Aptos" w:hAnsi="Arial" w:cs="Arial"/>
                <w:b/>
                <w:bCs/>
                <w:sz w:val="20"/>
                <w:szCs w:val="20"/>
                <w:lang w:val="sq-AL" w:eastAsia="en-US"/>
              </w:rPr>
            </w:pPr>
          </w:p>
        </w:tc>
        <w:tc>
          <w:tcPr>
            <w:tcW w:w="392" w:type="pct"/>
            <w:gridSpan w:val="2"/>
            <w:vAlign w:val="center"/>
          </w:tcPr>
          <w:p w14:paraId="7CEEED10" w14:textId="77777777" w:rsidR="00C632D0" w:rsidRPr="003E7289" w:rsidRDefault="00C632D0" w:rsidP="00C632D0">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920000€</w:t>
            </w:r>
          </w:p>
        </w:tc>
        <w:tc>
          <w:tcPr>
            <w:tcW w:w="567" w:type="pct"/>
            <w:gridSpan w:val="2"/>
            <w:vAlign w:val="center"/>
          </w:tcPr>
          <w:p w14:paraId="75096C6E" w14:textId="5F76349B" w:rsidR="00C632D0"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Buxheti Kombëtar, Donatorë</w:t>
            </w:r>
          </w:p>
        </w:tc>
        <w:tc>
          <w:tcPr>
            <w:tcW w:w="686" w:type="pct"/>
            <w:vAlign w:val="center"/>
          </w:tcPr>
          <w:p w14:paraId="0591AE47" w14:textId="4A14FBC4" w:rsidR="00C632D0" w:rsidRPr="003E7289" w:rsidRDefault="008D5D24" w:rsidP="008D5D24">
            <w:pPr>
              <w:spacing w:before="0" w:line="240" w:lineRule="auto"/>
              <w:jc w:val="center"/>
              <w:rPr>
                <w:rFonts w:ascii="Arial" w:eastAsia="Aptos" w:hAnsi="Arial" w:cs="Arial"/>
                <w:b/>
                <w:bCs/>
                <w:sz w:val="20"/>
                <w:szCs w:val="20"/>
                <w:lang w:val="sq-AL" w:eastAsia="en-US"/>
              </w:rPr>
            </w:pPr>
            <w:r w:rsidRPr="003E7289">
              <w:rPr>
                <w:rFonts w:ascii="Arial" w:eastAsia="Aptos" w:hAnsi="Arial" w:cs="Arial"/>
                <w:sz w:val="20"/>
                <w:szCs w:val="20"/>
                <w:lang w:val="sq-AL"/>
              </w:rPr>
              <w:t xml:space="preserve">MBZHR, </w:t>
            </w:r>
            <w:r w:rsidR="00177946" w:rsidRPr="003E7289">
              <w:rPr>
                <w:rFonts w:ascii="Arial" w:eastAsia="Aptos" w:hAnsi="Arial" w:cs="Arial"/>
                <w:sz w:val="20"/>
                <w:szCs w:val="20"/>
                <w:lang w:val="sq-AL"/>
              </w:rPr>
              <w:t xml:space="preserve">Agjencia e Menaxhimit Emergjent </w:t>
            </w:r>
            <w:r w:rsidRPr="003E7289">
              <w:rPr>
                <w:rFonts w:ascii="Arial" w:eastAsia="Aptos" w:hAnsi="Arial" w:cs="Arial"/>
                <w:sz w:val="20"/>
                <w:szCs w:val="20"/>
                <w:lang w:val="sq-AL"/>
              </w:rPr>
              <w:t>, komunat</w:t>
            </w:r>
            <w:r w:rsidRPr="003E7289">
              <w:rPr>
                <w:rFonts w:ascii="Arial" w:eastAsia="Aptos" w:hAnsi="Arial" w:cs="Arial"/>
                <w:sz w:val="20"/>
                <w:szCs w:val="20"/>
                <w:lang w:val="sq-AL"/>
              </w:rPr>
              <w:lastRenderedPageBreak/>
              <w:t>, Instituti Hidrometeorologjik</w:t>
            </w:r>
          </w:p>
        </w:tc>
        <w:tc>
          <w:tcPr>
            <w:tcW w:w="545" w:type="pct"/>
            <w:gridSpan w:val="2"/>
            <w:vAlign w:val="center"/>
          </w:tcPr>
          <w:p w14:paraId="40D78613" w14:textId="06F85357" w:rsidR="00C632D0"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 xml:space="preserve">Sistem kombëtar për paralajmërim të hershëm për thatësirë </w:t>
            </w:r>
            <w:r w:rsidRPr="003E7289">
              <w:rPr>
                <w:rFonts w:ascii="Arial" w:eastAsia="Aptos" w:hAnsi="Arial" w:cs="Arial"/>
                <w:sz w:val="20"/>
                <w:szCs w:val="20"/>
                <w:lang w:val="sq-AL"/>
              </w:rPr>
              <w:lastRenderedPageBreak/>
              <w:t>plotësisht funksional, i integruar në qeverisjen klimatike dhe i përdorur rregullisht nga fermerët</w:t>
            </w:r>
          </w:p>
        </w:tc>
        <w:tc>
          <w:tcPr>
            <w:tcW w:w="456" w:type="pct"/>
            <w:gridSpan w:val="2"/>
            <w:vAlign w:val="center"/>
          </w:tcPr>
          <w:p w14:paraId="273F6E28" w14:textId="6716334B" w:rsidR="00C632D0" w:rsidRPr="003E7289" w:rsidRDefault="008D5D24" w:rsidP="008D5D24">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Propozim i ri</w:t>
            </w:r>
          </w:p>
        </w:tc>
      </w:tr>
      <w:tr w:rsidR="00A402D1" w:rsidRPr="003E7289" w14:paraId="143552F1" w14:textId="77777777" w:rsidTr="0039004D">
        <w:tc>
          <w:tcPr>
            <w:tcW w:w="1019" w:type="pct"/>
            <w:gridSpan w:val="5"/>
            <w:shd w:val="clear" w:color="auto" w:fill="C6E7F6"/>
            <w:vAlign w:val="center"/>
          </w:tcPr>
          <w:p w14:paraId="7001D27B" w14:textId="1CBFA7D4" w:rsidR="00C63DE6" w:rsidRPr="003E7289" w:rsidRDefault="00C63DE6" w:rsidP="00C63DE6">
            <w:pPr>
              <w:spacing w:before="0" w:line="240" w:lineRule="auto"/>
              <w:rPr>
                <w:rFonts w:ascii="Arial" w:eastAsia="Aptos" w:hAnsi="Arial" w:cs="Arial"/>
                <w:sz w:val="20"/>
                <w:szCs w:val="20"/>
                <w:lang w:val="sq-AL" w:eastAsia="en-US"/>
              </w:rPr>
            </w:pPr>
            <w:r w:rsidRPr="003E7289">
              <w:rPr>
                <w:rFonts w:ascii="Arial" w:eastAsia="Aptos" w:hAnsi="Arial" w:cs="Arial"/>
                <w:b/>
                <w:bCs/>
                <w:sz w:val="20"/>
                <w:szCs w:val="20"/>
                <w:lang w:val="sq-AL"/>
              </w:rPr>
              <w:lastRenderedPageBreak/>
              <w:t>Buxheti total për Objektivin specifik III.3</w:t>
            </w:r>
            <w:r w:rsidR="00E0225B" w:rsidRPr="003E7289">
              <w:rPr>
                <w:rFonts w:ascii="Arial" w:eastAsia="Aptos" w:hAnsi="Arial" w:cs="Arial"/>
                <w:b/>
                <w:bCs/>
                <w:sz w:val="20"/>
                <w:szCs w:val="20"/>
                <w:lang w:val="sq-AL"/>
              </w:rPr>
              <w:t>5</w:t>
            </w:r>
            <w:r w:rsidRPr="003E7289">
              <w:rPr>
                <w:rFonts w:ascii="Arial" w:eastAsia="Aptos" w:hAnsi="Arial" w:cs="Arial"/>
                <w:b/>
                <w:bCs/>
                <w:sz w:val="20"/>
                <w:szCs w:val="20"/>
                <w:lang w:val="sq-AL"/>
              </w:rPr>
              <w:t>:</w:t>
            </w:r>
          </w:p>
        </w:tc>
        <w:tc>
          <w:tcPr>
            <w:tcW w:w="3981" w:type="pct"/>
            <w:gridSpan w:val="16"/>
            <w:vAlign w:val="center"/>
          </w:tcPr>
          <w:p w14:paraId="10F4A39C" w14:textId="77777777" w:rsidR="00C63DE6" w:rsidRPr="003E7289" w:rsidRDefault="00C63DE6" w:rsidP="00C63DE6">
            <w:pPr>
              <w:spacing w:before="0" w:line="240" w:lineRule="auto"/>
              <w:jc w:val="center"/>
              <w:rPr>
                <w:rFonts w:ascii="Arial" w:eastAsia="Aptos" w:hAnsi="Arial" w:cs="Arial"/>
                <w:sz w:val="20"/>
                <w:szCs w:val="20"/>
                <w:highlight w:val="yellow"/>
                <w:lang w:val="sq-AL" w:eastAsia="en-US"/>
              </w:rPr>
            </w:pPr>
            <w:r w:rsidRPr="003E7289">
              <w:rPr>
                <w:rFonts w:ascii="Arial" w:eastAsia="Aptos" w:hAnsi="Arial" w:cs="Arial"/>
                <w:sz w:val="20"/>
                <w:szCs w:val="20"/>
                <w:lang w:val="sq-AL"/>
              </w:rPr>
              <w:t>2.300.000 €</w:t>
            </w:r>
          </w:p>
        </w:tc>
      </w:tr>
      <w:tr w:rsidR="00A402D1" w:rsidRPr="003E7289" w14:paraId="6D3FF86D" w14:textId="77777777" w:rsidTr="0039004D">
        <w:tc>
          <w:tcPr>
            <w:tcW w:w="1019" w:type="pct"/>
            <w:gridSpan w:val="5"/>
            <w:shd w:val="clear" w:color="auto" w:fill="C6E7F6"/>
          </w:tcPr>
          <w:p w14:paraId="5CBBB506" w14:textId="705AF14C" w:rsidR="00C63DE6" w:rsidRPr="003E7289" w:rsidRDefault="00C63DE6" w:rsidP="00C63DE6">
            <w:pPr>
              <w:spacing w:before="0" w:line="240" w:lineRule="auto"/>
              <w:rPr>
                <w:rFonts w:ascii="Arial" w:eastAsia="Aptos" w:hAnsi="Arial" w:cs="Arial"/>
                <w:sz w:val="20"/>
                <w:szCs w:val="20"/>
                <w:lang w:val="sq-AL" w:eastAsia="en-US"/>
              </w:rPr>
            </w:pPr>
            <w:r w:rsidRPr="003E7289">
              <w:rPr>
                <w:rFonts w:ascii="Arial" w:eastAsia="Aptos" w:hAnsi="Arial" w:cs="Arial"/>
                <w:b/>
                <w:bCs/>
                <w:sz w:val="20"/>
                <w:szCs w:val="20"/>
                <w:lang w:val="sq-AL"/>
              </w:rPr>
              <w:t>Nga kjo, kapital:</w:t>
            </w:r>
          </w:p>
        </w:tc>
        <w:tc>
          <w:tcPr>
            <w:tcW w:w="3981" w:type="pct"/>
            <w:gridSpan w:val="16"/>
            <w:vAlign w:val="center"/>
          </w:tcPr>
          <w:p w14:paraId="281CA057" w14:textId="48BBBB7C" w:rsidR="00C63DE6" w:rsidRPr="003E7289" w:rsidRDefault="00C63DE6" w:rsidP="00C63DE6">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sz w:val="20"/>
                <w:szCs w:val="20"/>
                <w:lang w:val="sq-AL"/>
              </w:rPr>
              <w:t>1.600.000 €</w:t>
            </w:r>
          </w:p>
        </w:tc>
      </w:tr>
      <w:tr w:rsidR="00A402D1" w:rsidRPr="003E7289" w14:paraId="45452EE4" w14:textId="77777777" w:rsidTr="0039004D">
        <w:trPr>
          <w:trHeight w:val="132"/>
        </w:trPr>
        <w:tc>
          <w:tcPr>
            <w:tcW w:w="1019" w:type="pct"/>
            <w:gridSpan w:val="5"/>
            <w:shd w:val="clear" w:color="auto" w:fill="C6E7F6"/>
          </w:tcPr>
          <w:p w14:paraId="4A2A7119" w14:textId="3A845F1A" w:rsidR="00C63DE6" w:rsidRPr="003E7289" w:rsidRDefault="00C63DE6" w:rsidP="00C63DE6">
            <w:pPr>
              <w:spacing w:before="0" w:line="240" w:lineRule="auto"/>
              <w:rPr>
                <w:rFonts w:ascii="Arial" w:eastAsia="Aptos" w:hAnsi="Arial" w:cs="Arial"/>
                <w:sz w:val="20"/>
                <w:szCs w:val="20"/>
                <w:lang w:val="sq-AL" w:eastAsia="en-US"/>
              </w:rPr>
            </w:pPr>
            <w:r w:rsidRPr="003E7289">
              <w:rPr>
                <w:rFonts w:ascii="Arial" w:eastAsia="Aptos" w:hAnsi="Arial" w:cs="Arial"/>
                <w:b/>
                <w:bCs/>
                <w:sz w:val="20"/>
                <w:szCs w:val="20"/>
                <w:lang w:val="sq-AL"/>
              </w:rPr>
              <w:t>Nga kjo, shpenzime korrente:</w:t>
            </w:r>
          </w:p>
        </w:tc>
        <w:tc>
          <w:tcPr>
            <w:tcW w:w="3981" w:type="pct"/>
            <w:gridSpan w:val="16"/>
            <w:vAlign w:val="center"/>
          </w:tcPr>
          <w:p w14:paraId="59419D87" w14:textId="14FA40F6" w:rsidR="00C63DE6" w:rsidRPr="003E7289" w:rsidRDefault="00C63DE6" w:rsidP="00C63DE6">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sz w:val="20"/>
                <w:szCs w:val="20"/>
                <w:lang w:val="sq-AL"/>
              </w:rPr>
              <w:t>700.000 €</w:t>
            </w:r>
          </w:p>
        </w:tc>
      </w:tr>
      <w:tr w:rsidR="00C632D0" w:rsidRPr="003E7289" w14:paraId="55D07F0B" w14:textId="77777777" w:rsidTr="008D5D24">
        <w:tc>
          <w:tcPr>
            <w:tcW w:w="330" w:type="pct"/>
            <w:gridSpan w:val="2"/>
            <w:shd w:val="clear" w:color="auto" w:fill="84CCEC"/>
          </w:tcPr>
          <w:p w14:paraId="0A24BB6C" w14:textId="7F96334C" w:rsidR="00C632D0" w:rsidRPr="003E7289" w:rsidRDefault="00C632D0" w:rsidP="00C632D0">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III.3</w:t>
            </w:r>
            <w:r w:rsidR="00E0225B" w:rsidRPr="003E7289">
              <w:rPr>
                <w:rFonts w:ascii="Arial" w:eastAsia="Aptos" w:hAnsi="Arial" w:cs="Arial"/>
                <w:b/>
                <w:bCs/>
                <w:sz w:val="20"/>
                <w:szCs w:val="20"/>
                <w:lang w:val="sq-AL"/>
              </w:rPr>
              <w:t>6</w:t>
            </w:r>
          </w:p>
        </w:tc>
        <w:tc>
          <w:tcPr>
            <w:tcW w:w="4670" w:type="pct"/>
            <w:gridSpan w:val="19"/>
            <w:shd w:val="clear" w:color="auto" w:fill="84CCEC"/>
          </w:tcPr>
          <w:p w14:paraId="3E36C280" w14:textId="0143DD2D" w:rsidR="00C632D0" w:rsidRPr="003E7289" w:rsidRDefault="00CF4C50" w:rsidP="00C632D0">
            <w:pPr>
              <w:spacing w:before="0" w:line="240" w:lineRule="auto"/>
              <w:jc w:val="center"/>
              <w:rPr>
                <w:rFonts w:ascii="Arial" w:eastAsia="Aptos" w:hAnsi="Arial" w:cs="Arial"/>
                <w:b/>
                <w:bCs/>
                <w:sz w:val="20"/>
                <w:szCs w:val="20"/>
                <w:highlight w:val="green"/>
                <w:lang w:val="sq-AL" w:eastAsia="en-US"/>
              </w:rPr>
            </w:pPr>
            <w:r w:rsidRPr="003E7289">
              <w:rPr>
                <w:rFonts w:ascii="Arial" w:eastAsia="Aptos" w:hAnsi="Arial" w:cs="Arial"/>
                <w:b/>
                <w:bCs/>
                <w:sz w:val="20"/>
                <w:szCs w:val="20"/>
                <w:lang w:val="sq-AL"/>
              </w:rPr>
              <w:t>Krijimi dhe funksionalizimi i sistemeve të paralajmërimit dhe gatishmërisë ndaj përmbytjeve në zonat bujqësore</w:t>
            </w:r>
          </w:p>
        </w:tc>
      </w:tr>
      <w:tr w:rsidR="00702B19" w:rsidRPr="003E7289" w14:paraId="5AB86BF2" w14:textId="77777777" w:rsidTr="0039004D">
        <w:tc>
          <w:tcPr>
            <w:tcW w:w="1019" w:type="pct"/>
            <w:gridSpan w:val="5"/>
            <w:vAlign w:val="center"/>
          </w:tcPr>
          <w:p w14:paraId="3AA69AF8" w14:textId="530D7D5D" w:rsidR="0039004D" w:rsidRPr="003E7289" w:rsidRDefault="0039004D" w:rsidP="0039004D">
            <w:pPr>
              <w:autoSpaceDE w:val="0"/>
              <w:autoSpaceDN w:val="0"/>
              <w:adjustRightInd w:val="0"/>
              <w:spacing w:before="0" w:line="240" w:lineRule="auto"/>
              <w:jc w:val="center"/>
              <w:rPr>
                <w:rFonts w:ascii="Arial" w:eastAsia="Aptos" w:hAnsi="Arial" w:cs="Arial"/>
                <w:b/>
                <w:bCs/>
                <w:sz w:val="20"/>
                <w:szCs w:val="20"/>
                <w:highlight w:val="yellow"/>
                <w:lang w:val="sq-AL" w:eastAsia="en-US"/>
              </w:rPr>
            </w:pPr>
            <w:r w:rsidRPr="003E7289">
              <w:rPr>
                <w:rFonts w:ascii="Arial" w:eastAsia="Myriad Pro" w:hAnsi="Arial" w:cs="Arial"/>
                <w:b/>
                <w:bCs/>
                <w:sz w:val="20"/>
                <w:szCs w:val="20"/>
                <w:lang w:val="sq-AL"/>
              </w:rPr>
              <w:t>Numri i komunave me rrezik të lartë me plane</w:t>
            </w:r>
            <w:r w:rsidR="00177946" w:rsidRPr="003E7289">
              <w:rPr>
                <w:rFonts w:ascii="Arial" w:eastAsia="Myriad Pro" w:hAnsi="Arial" w:cs="Arial"/>
                <w:b/>
                <w:bCs/>
                <w:sz w:val="20"/>
                <w:szCs w:val="20"/>
                <w:lang w:val="sq-AL"/>
              </w:rPr>
              <w:t>veprimi</w:t>
            </w:r>
            <w:r w:rsidRPr="003E7289">
              <w:rPr>
                <w:rFonts w:ascii="Arial" w:eastAsia="Myriad Pro" w:hAnsi="Arial" w:cs="Arial"/>
                <w:b/>
                <w:bCs/>
                <w:sz w:val="20"/>
                <w:szCs w:val="20"/>
                <w:lang w:val="sq-AL"/>
              </w:rPr>
              <w:t xml:space="preserve"> të paralajmërimit të hershëm dhe </w:t>
            </w:r>
            <w:r w:rsidR="00177946" w:rsidRPr="003E7289">
              <w:rPr>
                <w:rFonts w:ascii="Arial" w:eastAsia="Myriad Pro" w:hAnsi="Arial" w:cs="Arial"/>
                <w:b/>
                <w:bCs/>
                <w:sz w:val="20"/>
                <w:szCs w:val="20"/>
                <w:lang w:val="sq-AL"/>
              </w:rPr>
              <w:lastRenderedPageBreak/>
              <w:t>gatishmërisë</w:t>
            </w:r>
            <w:r w:rsidRPr="003E7289">
              <w:rPr>
                <w:rFonts w:ascii="Arial" w:eastAsia="Myriad Pro" w:hAnsi="Arial" w:cs="Arial"/>
                <w:b/>
                <w:bCs/>
                <w:sz w:val="20"/>
                <w:szCs w:val="20"/>
                <w:lang w:val="sq-AL"/>
              </w:rPr>
              <w:t xml:space="preserve"> për përmbytjet.</w:t>
            </w:r>
          </w:p>
        </w:tc>
        <w:tc>
          <w:tcPr>
            <w:tcW w:w="602" w:type="pct"/>
            <w:gridSpan w:val="2"/>
            <w:vAlign w:val="center"/>
          </w:tcPr>
          <w:p w14:paraId="2493EAFF" w14:textId="566DFAB0" w:rsidR="0039004D" w:rsidRPr="003E7289" w:rsidRDefault="0039004D" w:rsidP="0039004D">
            <w:pPr>
              <w:spacing w:before="0" w:line="240" w:lineRule="auto"/>
              <w:rPr>
                <w:rFonts w:ascii="Arial" w:eastAsia="Aptos" w:hAnsi="Arial" w:cs="Arial"/>
                <w:sz w:val="20"/>
                <w:szCs w:val="20"/>
                <w:lang w:val="sq-AL" w:eastAsia="en-US"/>
              </w:rPr>
            </w:pPr>
            <w:r w:rsidRPr="003E7289">
              <w:rPr>
                <w:rFonts w:ascii="Arial" w:eastAsia="Myriad Pro" w:hAnsi="Arial" w:cs="Arial"/>
                <w:sz w:val="20"/>
                <w:szCs w:val="20"/>
                <w:lang w:val="sq-AL"/>
              </w:rPr>
              <w:lastRenderedPageBreak/>
              <w:t>Vlerësimet paraprake të kryera; plane mini</w:t>
            </w:r>
            <w:r w:rsidRPr="003E7289">
              <w:rPr>
                <w:rFonts w:ascii="Arial" w:eastAsia="Myriad Pro" w:hAnsi="Arial" w:cs="Arial"/>
                <w:sz w:val="20"/>
                <w:szCs w:val="20"/>
                <w:lang w:val="sq-AL"/>
              </w:rPr>
              <w:lastRenderedPageBreak/>
              <w:t>male operative në nivel komuniteti.</w:t>
            </w:r>
          </w:p>
        </w:tc>
        <w:tc>
          <w:tcPr>
            <w:tcW w:w="1125" w:type="pct"/>
            <w:gridSpan w:val="7"/>
            <w:vAlign w:val="center"/>
          </w:tcPr>
          <w:p w14:paraId="59AAF660" w14:textId="601913F6" w:rsidR="0039004D" w:rsidRPr="003E7289" w:rsidRDefault="0039004D" w:rsidP="0039004D">
            <w:pPr>
              <w:spacing w:before="0" w:line="240" w:lineRule="auto"/>
              <w:rPr>
                <w:rFonts w:ascii="Arial" w:eastAsia="Aptos" w:hAnsi="Arial" w:cs="Arial"/>
                <w:sz w:val="20"/>
                <w:szCs w:val="20"/>
                <w:lang w:val="sq-AL" w:eastAsia="en-US"/>
              </w:rPr>
            </w:pPr>
            <w:r w:rsidRPr="003E7289">
              <w:rPr>
                <w:rFonts w:ascii="Arial" w:eastAsia="Myriad Pro" w:hAnsi="Arial" w:cs="Arial"/>
                <w:sz w:val="20"/>
                <w:szCs w:val="20"/>
                <w:lang w:val="sq-AL"/>
              </w:rPr>
              <w:lastRenderedPageBreak/>
              <w:t>Planet e përgatitjes për përmbytjet janë funksionale në të paktën 10 komunave me rrezik të lartë.</w:t>
            </w:r>
          </w:p>
        </w:tc>
        <w:tc>
          <w:tcPr>
            <w:tcW w:w="567" w:type="pct"/>
            <w:gridSpan w:val="2"/>
            <w:vAlign w:val="center"/>
          </w:tcPr>
          <w:p w14:paraId="0EBAB47E" w14:textId="040D4603" w:rsidR="0039004D" w:rsidRPr="003E7289" w:rsidRDefault="0039004D" w:rsidP="0039004D">
            <w:pPr>
              <w:spacing w:before="0" w:line="240" w:lineRule="auto"/>
              <w:rPr>
                <w:rFonts w:ascii="Arial" w:eastAsia="Aptos" w:hAnsi="Arial" w:cs="Arial"/>
                <w:sz w:val="20"/>
                <w:szCs w:val="20"/>
                <w:lang w:val="sq-AL" w:eastAsia="en-US"/>
              </w:rPr>
            </w:pPr>
            <w:r w:rsidRPr="003E7289">
              <w:rPr>
                <w:rFonts w:ascii="Arial" w:eastAsia="Myriad Pro" w:hAnsi="Arial" w:cs="Arial"/>
                <w:sz w:val="20"/>
                <w:szCs w:val="20"/>
                <w:lang w:val="sq-AL"/>
              </w:rPr>
              <w:t>Planet e paralajmërimit të hershëm dhe reagimit ndaj përmbytjeve janë plotësisht funksionale në të gjitha zonat e identifikuara me rrezik të lartë (&gt;30 komuna).</w:t>
            </w:r>
          </w:p>
        </w:tc>
        <w:tc>
          <w:tcPr>
            <w:tcW w:w="1687" w:type="pct"/>
            <w:gridSpan w:val="5"/>
            <w:vAlign w:val="center"/>
          </w:tcPr>
          <w:p w14:paraId="2BAB03AA" w14:textId="17905163" w:rsidR="0039004D" w:rsidRPr="003E7289" w:rsidRDefault="0039004D" w:rsidP="0039004D">
            <w:pPr>
              <w:spacing w:before="0" w:line="240" w:lineRule="auto"/>
              <w:rPr>
                <w:rFonts w:ascii="Arial" w:eastAsia="Aptos" w:hAnsi="Arial" w:cs="Arial"/>
                <w:sz w:val="20"/>
                <w:szCs w:val="20"/>
                <w:lang w:val="sq-AL" w:eastAsia="en-US"/>
              </w:rPr>
            </w:pPr>
            <w:r w:rsidRPr="003E7289">
              <w:rPr>
                <w:rFonts w:ascii="Arial" w:eastAsia="Myriad Pro" w:hAnsi="Arial" w:cs="Arial"/>
                <w:sz w:val="20"/>
                <w:szCs w:val="20"/>
                <w:lang w:val="sq-AL"/>
              </w:rPr>
              <w:t xml:space="preserve">Menaxhimi gjithëpërfshirës i rrezikut nga përmbytjet është i integruar në planifikimin bashkiak në të gjithë vendin; sisteme plotësisht funksionale të </w:t>
            </w:r>
            <w:r w:rsidRPr="003E7289">
              <w:rPr>
                <w:rFonts w:ascii="Arial" w:eastAsia="Myriad Pro" w:hAnsi="Arial" w:cs="Arial"/>
                <w:sz w:val="20"/>
                <w:szCs w:val="20"/>
                <w:lang w:val="sq-AL"/>
              </w:rPr>
              <w:lastRenderedPageBreak/>
              <w:t>paralajmërimit të hershëm dhe reagimit.</w:t>
            </w:r>
          </w:p>
        </w:tc>
      </w:tr>
      <w:tr w:rsidR="00691972" w:rsidRPr="003E7289" w14:paraId="6158745E" w14:textId="77777777" w:rsidTr="0039004D">
        <w:trPr>
          <w:trHeight w:val="120"/>
        </w:trPr>
        <w:tc>
          <w:tcPr>
            <w:tcW w:w="330" w:type="pct"/>
            <w:gridSpan w:val="2"/>
            <w:vMerge w:val="restart"/>
            <w:shd w:val="clear" w:color="auto" w:fill="C6E7F6"/>
            <w:vAlign w:val="center"/>
          </w:tcPr>
          <w:p w14:paraId="7011FEEC" w14:textId="0A625B7A" w:rsidR="000D1635" w:rsidRPr="003E7289" w:rsidRDefault="000D1635" w:rsidP="000D1635">
            <w:pPr>
              <w:autoSpaceDE w:val="0"/>
              <w:autoSpaceDN w:val="0"/>
              <w:adjustRightInd w:val="0"/>
              <w:spacing w:before="0" w:line="240" w:lineRule="auto"/>
              <w:jc w:val="center"/>
              <w:rPr>
                <w:rFonts w:ascii="Arial" w:eastAsia="Yu Mincho" w:hAnsi="Arial" w:cs="Arial"/>
                <w:b/>
                <w:bCs/>
                <w:i/>
                <w:iCs/>
                <w:color w:val="000000"/>
                <w:sz w:val="20"/>
                <w:szCs w:val="20"/>
                <w:highlight w:val="green"/>
                <w:lang w:val="sq-AL"/>
              </w:rPr>
            </w:pPr>
            <w:r w:rsidRPr="003E7289">
              <w:rPr>
                <w:rFonts w:ascii="Arial" w:eastAsia="Aptos" w:hAnsi="Arial" w:cs="Arial"/>
                <w:b/>
                <w:bCs/>
                <w:sz w:val="20"/>
                <w:szCs w:val="20"/>
                <w:lang w:val="sq-AL"/>
              </w:rPr>
              <w:lastRenderedPageBreak/>
              <w:t>Nr.</w:t>
            </w:r>
          </w:p>
        </w:tc>
        <w:tc>
          <w:tcPr>
            <w:tcW w:w="690" w:type="pct"/>
            <w:gridSpan w:val="3"/>
            <w:vMerge w:val="restart"/>
            <w:shd w:val="clear" w:color="auto" w:fill="C6E7F6"/>
            <w:vAlign w:val="center"/>
          </w:tcPr>
          <w:p w14:paraId="7D6DA608" w14:textId="372E3042" w:rsidR="000D1635" w:rsidRPr="003E7289" w:rsidRDefault="000D1635" w:rsidP="000D1635">
            <w:pPr>
              <w:autoSpaceDE w:val="0"/>
              <w:autoSpaceDN w:val="0"/>
              <w:adjustRightInd w:val="0"/>
              <w:spacing w:before="0" w:line="240" w:lineRule="auto"/>
              <w:jc w:val="center"/>
              <w:rPr>
                <w:rFonts w:ascii="Arial" w:eastAsia="Yu Mincho" w:hAnsi="Arial" w:cs="Arial"/>
                <w:b/>
                <w:bCs/>
                <w:i/>
                <w:iCs/>
                <w:color w:val="000000"/>
                <w:sz w:val="20"/>
                <w:szCs w:val="20"/>
                <w:highlight w:val="green"/>
                <w:lang w:val="sq-AL"/>
              </w:rPr>
            </w:pPr>
            <w:r w:rsidRPr="003E7289">
              <w:rPr>
                <w:rFonts w:ascii="Arial" w:eastAsia="Aptos" w:hAnsi="Arial" w:cs="Arial"/>
                <w:b/>
                <w:bCs/>
                <w:sz w:val="20"/>
                <w:szCs w:val="20"/>
                <w:lang w:val="sq-AL"/>
              </w:rPr>
              <w:t>Veprimi</w:t>
            </w:r>
          </w:p>
        </w:tc>
        <w:tc>
          <w:tcPr>
            <w:tcW w:w="602" w:type="pct"/>
            <w:gridSpan w:val="2"/>
            <w:vMerge w:val="restart"/>
            <w:shd w:val="clear" w:color="auto" w:fill="C6E7F6"/>
            <w:vAlign w:val="center"/>
          </w:tcPr>
          <w:p w14:paraId="72877C4F" w14:textId="0D6A5109" w:rsidR="000D1635" w:rsidRPr="003E7289" w:rsidRDefault="000D1635" w:rsidP="000D1635">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Afati I fundit</w:t>
            </w:r>
          </w:p>
        </w:tc>
        <w:tc>
          <w:tcPr>
            <w:tcW w:w="1125" w:type="pct"/>
            <w:gridSpan w:val="7"/>
            <w:shd w:val="clear" w:color="auto" w:fill="C6E7F6"/>
            <w:vAlign w:val="center"/>
          </w:tcPr>
          <w:p w14:paraId="52B8E932" w14:textId="7A18FFA5" w:rsidR="000D1635" w:rsidRPr="003E7289" w:rsidRDefault="000D1635" w:rsidP="000D1635">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Buxheti</w:t>
            </w:r>
          </w:p>
        </w:tc>
        <w:tc>
          <w:tcPr>
            <w:tcW w:w="567" w:type="pct"/>
            <w:gridSpan w:val="2"/>
            <w:vMerge w:val="restart"/>
            <w:shd w:val="clear" w:color="auto" w:fill="C6E7F6"/>
            <w:vAlign w:val="center"/>
          </w:tcPr>
          <w:p w14:paraId="1AD6FECE" w14:textId="23B38CB6" w:rsidR="000D1635" w:rsidRPr="003E7289" w:rsidRDefault="000D1635" w:rsidP="000D1635">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Burimi i financimit</w:t>
            </w:r>
          </w:p>
        </w:tc>
        <w:tc>
          <w:tcPr>
            <w:tcW w:w="686" w:type="pct"/>
            <w:vMerge w:val="restart"/>
            <w:shd w:val="clear" w:color="auto" w:fill="C6E7F6"/>
            <w:vAlign w:val="center"/>
          </w:tcPr>
          <w:p w14:paraId="44F9DDEE" w14:textId="74A2FAFB" w:rsidR="000D1635" w:rsidRPr="003E7289" w:rsidRDefault="000D1635" w:rsidP="000D1635">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Institucionet përgjegjëse dhe partnere</w:t>
            </w:r>
          </w:p>
        </w:tc>
        <w:tc>
          <w:tcPr>
            <w:tcW w:w="545" w:type="pct"/>
            <w:gridSpan w:val="2"/>
            <w:vMerge w:val="restart"/>
            <w:shd w:val="clear" w:color="auto" w:fill="C6E7F6"/>
            <w:vAlign w:val="center"/>
          </w:tcPr>
          <w:p w14:paraId="40C3DD09" w14:textId="68640807" w:rsidR="000D1635" w:rsidRPr="003E7289" w:rsidRDefault="000D1635" w:rsidP="000D1635">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Rezultati i pritur</w:t>
            </w:r>
          </w:p>
        </w:tc>
        <w:tc>
          <w:tcPr>
            <w:tcW w:w="456" w:type="pct"/>
            <w:gridSpan w:val="2"/>
            <w:vMerge w:val="restart"/>
            <w:shd w:val="clear" w:color="auto" w:fill="C6E7F6"/>
            <w:vAlign w:val="center"/>
          </w:tcPr>
          <w:p w14:paraId="3503797D" w14:textId="4BBAC95D" w:rsidR="000D1635" w:rsidRPr="003E7289" w:rsidRDefault="000D1635" w:rsidP="000D1635">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Dokumenti strategjik referues</w:t>
            </w:r>
          </w:p>
        </w:tc>
      </w:tr>
      <w:tr w:rsidR="00691972" w:rsidRPr="003E7289" w14:paraId="3CF237D9" w14:textId="77777777" w:rsidTr="0039004D">
        <w:trPr>
          <w:trHeight w:val="120"/>
        </w:trPr>
        <w:tc>
          <w:tcPr>
            <w:tcW w:w="330" w:type="pct"/>
            <w:gridSpan w:val="2"/>
            <w:vMerge/>
            <w:vAlign w:val="center"/>
          </w:tcPr>
          <w:p w14:paraId="197530B0" w14:textId="77777777" w:rsidR="00C632D0" w:rsidRPr="003E7289" w:rsidRDefault="00C632D0" w:rsidP="00C632D0">
            <w:pPr>
              <w:autoSpaceDE w:val="0"/>
              <w:autoSpaceDN w:val="0"/>
              <w:adjustRightInd w:val="0"/>
              <w:spacing w:before="0" w:line="240" w:lineRule="auto"/>
              <w:rPr>
                <w:rFonts w:ascii="Arial" w:eastAsia="Yu Mincho" w:hAnsi="Arial" w:cs="Arial"/>
                <w:b/>
                <w:bCs/>
                <w:i/>
                <w:iCs/>
                <w:color w:val="000000"/>
                <w:sz w:val="20"/>
                <w:szCs w:val="20"/>
                <w:highlight w:val="green"/>
                <w:lang w:val="sq-AL"/>
              </w:rPr>
            </w:pPr>
          </w:p>
        </w:tc>
        <w:tc>
          <w:tcPr>
            <w:tcW w:w="690" w:type="pct"/>
            <w:gridSpan w:val="3"/>
            <w:vMerge/>
            <w:vAlign w:val="center"/>
          </w:tcPr>
          <w:p w14:paraId="3FD9910D" w14:textId="77777777" w:rsidR="00C632D0" w:rsidRPr="003E7289" w:rsidRDefault="00C632D0" w:rsidP="00C632D0">
            <w:pPr>
              <w:autoSpaceDE w:val="0"/>
              <w:autoSpaceDN w:val="0"/>
              <w:adjustRightInd w:val="0"/>
              <w:spacing w:before="0" w:line="240" w:lineRule="auto"/>
              <w:rPr>
                <w:rFonts w:ascii="Arial" w:eastAsia="Yu Mincho" w:hAnsi="Arial" w:cs="Arial"/>
                <w:b/>
                <w:bCs/>
                <w:i/>
                <w:iCs/>
                <w:color w:val="000000"/>
                <w:sz w:val="20"/>
                <w:szCs w:val="20"/>
                <w:highlight w:val="green"/>
                <w:lang w:val="sq-AL"/>
              </w:rPr>
            </w:pPr>
          </w:p>
        </w:tc>
        <w:tc>
          <w:tcPr>
            <w:tcW w:w="602" w:type="pct"/>
            <w:gridSpan w:val="2"/>
            <w:vMerge/>
            <w:vAlign w:val="center"/>
          </w:tcPr>
          <w:p w14:paraId="189E73A5" w14:textId="77777777" w:rsidR="00C632D0" w:rsidRPr="003E7289" w:rsidRDefault="00C632D0" w:rsidP="00C632D0">
            <w:pPr>
              <w:spacing w:before="0" w:line="240" w:lineRule="auto"/>
              <w:jc w:val="center"/>
              <w:rPr>
                <w:rFonts w:ascii="Arial" w:eastAsia="Aptos" w:hAnsi="Arial" w:cs="Arial"/>
                <w:b/>
                <w:bCs/>
                <w:sz w:val="20"/>
                <w:szCs w:val="20"/>
                <w:highlight w:val="yellow"/>
                <w:lang w:val="sq-AL" w:eastAsia="en-US"/>
              </w:rPr>
            </w:pPr>
          </w:p>
        </w:tc>
        <w:tc>
          <w:tcPr>
            <w:tcW w:w="339" w:type="pct"/>
            <w:gridSpan w:val="2"/>
            <w:shd w:val="clear" w:color="auto" w:fill="C6E7F6"/>
            <w:vAlign w:val="center"/>
          </w:tcPr>
          <w:p w14:paraId="11C74534" w14:textId="77777777" w:rsidR="00C632D0" w:rsidRPr="003E7289" w:rsidRDefault="00C632D0" w:rsidP="00C632D0">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2026</w:t>
            </w:r>
          </w:p>
        </w:tc>
        <w:tc>
          <w:tcPr>
            <w:tcW w:w="394" w:type="pct"/>
            <w:gridSpan w:val="3"/>
            <w:shd w:val="clear" w:color="auto" w:fill="C6E7F6"/>
            <w:vAlign w:val="center"/>
          </w:tcPr>
          <w:p w14:paraId="24B6A193" w14:textId="77777777" w:rsidR="00C632D0" w:rsidRPr="003E7289" w:rsidRDefault="00C632D0" w:rsidP="00C632D0">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2027</w:t>
            </w:r>
          </w:p>
        </w:tc>
        <w:tc>
          <w:tcPr>
            <w:tcW w:w="392" w:type="pct"/>
            <w:gridSpan w:val="2"/>
            <w:shd w:val="clear" w:color="auto" w:fill="C6E7F6"/>
            <w:vAlign w:val="center"/>
          </w:tcPr>
          <w:p w14:paraId="0D615B66" w14:textId="77777777" w:rsidR="00C632D0" w:rsidRPr="003E7289" w:rsidRDefault="00C632D0" w:rsidP="00C632D0">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2028</w:t>
            </w:r>
          </w:p>
        </w:tc>
        <w:tc>
          <w:tcPr>
            <w:tcW w:w="567" w:type="pct"/>
            <w:gridSpan w:val="2"/>
            <w:vMerge/>
            <w:vAlign w:val="center"/>
          </w:tcPr>
          <w:p w14:paraId="6AFC071B" w14:textId="77777777" w:rsidR="00C632D0" w:rsidRPr="003E7289" w:rsidRDefault="00C632D0" w:rsidP="00C632D0">
            <w:pPr>
              <w:spacing w:before="0" w:line="240" w:lineRule="auto"/>
              <w:jc w:val="center"/>
              <w:rPr>
                <w:rFonts w:ascii="Arial" w:eastAsia="Aptos" w:hAnsi="Arial" w:cs="Arial"/>
                <w:b/>
                <w:bCs/>
                <w:sz w:val="20"/>
                <w:szCs w:val="20"/>
                <w:highlight w:val="yellow"/>
                <w:lang w:val="sq-AL" w:eastAsia="en-US"/>
              </w:rPr>
            </w:pPr>
          </w:p>
        </w:tc>
        <w:tc>
          <w:tcPr>
            <w:tcW w:w="686" w:type="pct"/>
            <w:vMerge/>
            <w:vAlign w:val="center"/>
          </w:tcPr>
          <w:p w14:paraId="61A999B5" w14:textId="77777777" w:rsidR="00C632D0" w:rsidRPr="003E7289" w:rsidRDefault="00C632D0" w:rsidP="00C632D0">
            <w:pPr>
              <w:spacing w:before="0" w:line="240" w:lineRule="auto"/>
              <w:jc w:val="center"/>
              <w:rPr>
                <w:rFonts w:ascii="Arial" w:eastAsia="Aptos" w:hAnsi="Arial" w:cs="Arial"/>
                <w:b/>
                <w:bCs/>
                <w:sz w:val="20"/>
                <w:szCs w:val="20"/>
                <w:highlight w:val="yellow"/>
                <w:lang w:val="sq-AL" w:eastAsia="en-US"/>
              </w:rPr>
            </w:pPr>
          </w:p>
        </w:tc>
        <w:tc>
          <w:tcPr>
            <w:tcW w:w="545" w:type="pct"/>
            <w:gridSpan w:val="2"/>
            <w:vMerge/>
            <w:vAlign w:val="center"/>
          </w:tcPr>
          <w:p w14:paraId="427A9B2E" w14:textId="77777777" w:rsidR="00C632D0" w:rsidRPr="003E7289" w:rsidRDefault="00C632D0" w:rsidP="00C632D0">
            <w:pPr>
              <w:spacing w:before="0" w:line="240" w:lineRule="auto"/>
              <w:jc w:val="center"/>
              <w:rPr>
                <w:rFonts w:ascii="Arial" w:eastAsia="Aptos" w:hAnsi="Arial" w:cs="Arial"/>
                <w:b/>
                <w:bCs/>
                <w:sz w:val="20"/>
                <w:szCs w:val="20"/>
                <w:highlight w:val="yellow"/>
                <w:lang w:val="sq-AL" w:eastAsia="en-US"/>
              </w:rPr>
            </w:pPr>
          </w:p>
        </w:tc>
        <w:tc>
          <w:tcPr>
            <w:tcW w:w="456" w:type="pct"/>
            <w:gridSpan w:val="2"/>
            <w:vMerge/>
            <w:vAlign w:val="center"/>
          </w:tcPr>
          <w:p w14:paraId="74A01929" w14:textId="77777777" w:rsidR="00C632D0" w:rsidRPr="003E7289" w:rsidRDefault="00C632D0" w:rsidP="00C632D0">
            <w:pPr>
              <w:spacing w:before="0" w:line="240" w:lineRule="auto"/>
              <w:jc w:val="center"/>
              <w:rPr>
                <w:rFonts w:ascii="Arial" w:eastAsia="Aptos" w:hAnsi="Arial" w:cs="Arial"/>
                <w:b/>
                <w:bCs/>
                <w:sz w:val="20"/>
                <w:szCs w:val="20"/>
                <w:highlight w:val="yellow"/>
                <w:lang w:val="sq-AL" w:eastAsia="en-US"/>
              </w:rPr>
            </w:pPr>
          </w:p>
        </w:tc>
      </w:tr>
      <w:tr w:rsidR="00691972" w:rsidRPr="003E7289" w14:paraId="10D98261" w14:textId="77777777" w:rsidTr="0039004D">
        <w:trPr>
          <w:trHeight w:val="120"/>
        </w:trPr>
        <w:tc>
          <w:tcPr>
            <w:tcW w:w="330" w:type="pct"/>
            <w:gridSpan w:val="2"/>
            <w:vAlign w:val="center"/>
          </w:tcPr>
          <w:p w14:paraId="335566B6" w14:textId="403AEF28" w:rsidR="00CC340D" w:rsidRPr="003E7289" w:rsidRDefault="00CC340D" w:rsidP="00CC340D">
            <w:pPr>
              <w:autoSpaceDE w:val="0"/>
              <w:autoSpaceDN w:val="0"/>
              <w:adjustRightInd w:val="0"/>
              <w:spacing w:before="0" w:line="240" w:lineRule="auto"/>
              <w:jc w:val="center"/>
              <w:rPr>
                <w:rFonts w:ascii="Arial" w:eastAsia="Yu Mincho" w:hAnsi="Arial" w:cs="Arial"/>
                <w:b/>
                <w:bCs/>
                <w:i/>
                <w:iCs/>
                <w:color w:val="000000"/>
                <w:sz w:val="20"/>
                <w:szCs w:val="20"/>
                <w:lang w:val="sq-AL"/>
              </w:rPr>
            </w:pPr>
            <w:r w:rsidRPr="003E7289">
              <w:rPr>
                <w:rFonts w:ascii="Arial" w:eastAsia="Yu Mincho" w:hAnsi="Arial" w:cs="Arial"/>
                <w:b/>
                <w:bCs/>
                <w:color w:val="000000"/>
                <w:sz w:val="20"/>
                <w:szCs w:val="20"/>
                <w:lang w:val="sq-AL"/>
              </w:rPr>
              <w:t>III.3</w:t>
            </w:r>
            <w:r w:rsidR="00E0225B" w:rsidRPr="003E7289">
              <w:rPr>
                <w:rFonts w:ascii="Arial" w:eastAsia="Yu Mincho" w:hAnsi="Arial" w:cs="Arial"/>
                <w:b/>
                <w:bCs/>
                <w:color w:val="000000"/>
                <w:sz w:val="20"/>
                <w:szCs w:val="20"/>
                <w:lang w:val="sq-AL"/>
              </w:rPr>
              <w:t>6</w:t>
            </w:r>
            <w:r w:rsidRPr="003E7289">
              <w:rPr>
                <w:rFonts w:ascii="Arial" w:eastAsia="Yu Mincho" w:hAnsi="Arial" w:cs="Arial"/>
                <w:b/>
                <w:bCs/>
                <w:color w:val="000000"/>
                <w:sz w:val="20"/>
                <w:szCs w:val="20"/>
                <w:lang w:val="sq-AL"/>
              </w:rPr>
              <w:t>.1</w:t>
            </w:r>
          </w:p>
        </w:tc>
        <w:tc>
          <w:tcPr>
            <w:tcW w:w="690" w:type="pct"/>
            <w:gridSpan w:val="3"/>
            <w:vAlign w:val="center"/>
          </w:tcPr>
          <w:p w14:paraId="6E5216A7" w14:textId="65DFA981" w:rsidR="00CC340D" w:rsidRPr="003E7289" w:rsidRDefault="00177946" w:rsidP="0039004D">
            <w:pPr>
              <w:autoSpaceDE w:val="0"/>
              <w:autoSpaceDN w:val="0"/>
              <w:adjustRightInd w:val="0"/>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 xml:space="preserve">Hartimi </w:t>
            </w:r>
            <w:r w:rsidR="0039004D" w:rsidRPr="003E7289">
              <w:rPr>
                <w:rFonts w:ascii="Arial" w:eastAsia="Aptos" w:hAnsi="Arial" w:cs="Arial"/>
                <w:b/>
                <w:bCs/>
                <w:sz w:val="20"/>
                <w:szCs w:val="20"/>
                <w:lang w:val="sq-AL"/>
              </w:rPr>
              <w:t xml:space="preserve">i planeve të lokalizuara për </w:t>
            </w:r>
            <w:r w:rsidR="00CF501E" w:rsidRPr="003E7289">
              <w:rPr>
                <w:rFonts w:ascii="Arial" w:eastAsia="Aptos" w:hAnsi="Arial" w:cs="Arial"/>
                <w:b/>
                <w:bCs/>
                <w:sz w:val="20"/>
                <w:szCs w:val="20"/>
                <w:lang w:val="sq-AL"/>
              </w:rPr>
              <w:t xml:space="preserve">gatishmëri </w:t>
            </w:r>
            <w:r w:rsidR="0039004D" w:rsidRPr="003E7289">
              <w:rPr>
                <w:rFonts w:ascii="Arial" w:eastAsia="Aptos" w:hAnsi="Arial" w:cs="Arial"/>
                <w:b/>
                <w:bCs/>
                <w:sz w:val="20"/>
                <w:szCs w:val="20"/>
                <w:lang w:val="sq-AL"/>
              </w:rPr>
              <w:t>ndaj përmbytjeve në komunat bujqësore me rrezik të lartë</w:t>
            </w:r>
          </w:p>
        </w:tc>
        <w:tc>
          <w:tcPr>
            <w:tcW w:w="602" w:type="pct"/>
            <w:gridSpan w:val="2"/>
            <w:vAlign w:val="center"/>
          </w:tcPr>
          <w:p w14:paraId="5E3BE9E5" w14:textId="77777777"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2028</w:t>
            </w:r>
          </w:p>
        </w:tc>
        <w:tc>
          <w:tcPr>
            <w:tcW w:w="339" w:type="pct"/>
            <w:gridSpan w:val="2"/>
            <w:vAlign w:val="center"/>
          </w:tcPr>
          <w:p w14:paraId="3B88DF51" w14:textId="77777777"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750000€</w:t>
            </w:r>
          </w:p>
        </w:tc>
        <w:tc>
          <w:tcPr>
            <w:tcW w:w="394" w:type="pct"/>
            <w:gridSpan w:val="3"/>
            <w:vAlign w:val="center"/>
          </w:tcPr>
          <w:p w14:paraId="0CEBFA33"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392" w:type="pct"/>
            <w:gridSpan w:val="2"/>
            <w:vAlign w:val="center"/>
          </w:tcPr>
          <w:p w14:paraId="53EA2CD9"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567" w:type="pct"/>
            <w:gridSpan w:val="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9004D" w:rsidRPr="003E7289" w14:paraId="409DF71E" w14:textId="77777777" w:rsidTr="0039004D">
              <w:trPr>
                <w:tblCellSpacing w:w="15" w:type="dxa"/>
              </w:trPr>
              <w:tc>
                <w:tcPr>
                  <w:tcW w:w="0" w:type="auto"/>
                  <w:vAlign w:val="center"/>
                  <w:hideMark/>
                </w:tcPr>
                <w:p w14:paraId="1693D6A3" w14:textId="77777777" w:rsidR="0039004D" w:rsidRPr="003E7289" w:rsidRDefault="0039004D" w:rsidP="0039004D">
                  <w:pPr>
                    <w:spacing w:before="0" w:after="0" w:line="240" w:lineRule="auto"/>
                    <w:jc w:val="center"/>
                    <w:rPr>
                      <w:rFonts w:ascii="Arial" w:eastAsia="Aptos" w:hAnsi="Arial" w:cs="Arial"/>
                      <w:sz w:val="20"/>
                      <w:szCs w:val="20"/>
                      <w:lang w:val="sq-AL"/>
                    </w:rPr>
                  </w:pPr>
                </w:p>
              </w:tc>
            </w:tr>
          </w:tbl>
          <w:p w14:paraId="071E222F" w14:textId="77777777" w:rsidR="0039004D" w:rsidRPr="003E7289" w:rsidRDefault="0039004D" w:rsidP="0039004D">
            <w:pPr>
              <w:spacing w:before="0" w:line="240" w:lineRule="auto"/>
              <w:jc w:val="center"/>
              <w:rPr>
                <w:rFonts w:ascii="Arial" w:eastAsia="Aptos" w:hAnsi="Arial" w:cs="Arial"/>
                <w:vanish/>
                <w:sz w:val="20"/>
                <w:szCs w:val="20"/>
                <w:lang w:val="sq-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03"/>
            </w:tblGrid>
            <w:tr w:rsidR="0039004D" w:rsidRPr="003E7289" w14:paraId="138C87AA" w14:textId="77777777" w:rsidTr="0039004D">
              <w:trPr>
                <w:tblCellSpacing w:w="15" w:type="dxa"/>
              </w:trPr>
              <w:tc>
                <w:tcPr>
                  <w:tcW w:w="0" w:type="auto"/>
                  <w:vAlign w:val="center"/>
                  <w:hideMark/>
                </w:tcPr>
                <w:p w14:paraId="2A121A6D" w14:textId="77777777" w:rsidR="0039004D" w:rsidRPr="003E7289" w:rsidRDefault="0039004D" w:rsidP="0039004D">
                  <w:pPr>
                    <w:spacing w:before="0" w:after="0" w:line="240" w:lineRule="auto"/>
                    <w:jc w:val="center"/>
                    <w:rPr>
                      <w:rFonts w:ascii="Arial" w:eastAsia="Aptos" w:hAnsi="Arial" w:cs="Arial"/>
                      <w:sz w:val="20"/>
                      <w:szCs w:val="20"/>
                      <w:lang w:val="sq-AL"/>
                    </w:rPr>
                  </w:pPr>
                  <w:r w:rsidRPr="003E7289">
                    <w:rPr>
                      <w:rFonts w:ascii="Arial" w:eastAsia="Aptos" w:hAnsi="Arial" w:cs="Arial"/>
                      <w:sz w:val="20"/>
                      <w:szCs w:val="20"/>
                      <w:lang w:val="sq-AL"/>
                    </w:rPr>
                    <w:t>Buxheti Kombëtar, Donatorë</w:t>
                  </w:r>
                </w:p>
              </w:tc>
            </w:tr>
          </w:tbl>
          <w:p w14:paraId="59C7751F" w14:textId="001A935C" w:rsidR="00CC340D" w:rsidRPr="003E7289" w:rsidRDefault="00CC340D" w:rsidP="00CC340D">
            <w:pPr>
              <w:spacing w:before="0" w:line="240" w:lineRule="auto"/>
              <w:jc w:val="center"/>
              <w:rPr>
                <w:rFonts w:ascii="Arial" w:eastAsia="Aptos" w:hAnsi="Arial" w:cs="Arial"/>
                <w:sz w:val="20"/>
                <w:szCs w:val="20"/>
                <w:lang w:val="sq-AL" w:eastAsia="en-US"/>
              </w:rPr>
            </w:pPr>
          </w:p>
        </w:tc>
        <w:tc>
          <w:tcPr>
            <w:tcW w:w="686" w:type="pct"/>
            <w:vAlign w:val="center"/>
          </w:tcPr>
          <w:p w14:paraId="3619A024" w14:textId="77777777" w:rsidR="00691972" w:rsidRPr="003E7289" w:rsidRDefault="0039004D" w:rsidP="0039004D">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 xml:space="preserve">MBZHR, </w:t>
            </w:r>
            <w:r w:rsidR="00691972" w:rsidRPr="003E7289">
              <w:rPr>
                <w:rFonts w:ascii="Arial" w:eastAsia="Aptos" w:hAnsi="Arial" w:cs="Arial"/>
                <w:sz w:val="20"/>
                <w:szCs w:val="20"/>
                <w:lang w:val="sq-AL"/>
              </w:rPr>
              <w:t>Agjencia e Menaxhimit Emergjent</w:t>
            </w:r>
          </w:p>
          <w:p w14:paraId="53E4FC81" w14:textId="6033B370" w:rsidR="00CC340D" w:rsidRPr="003E7289" w:rsidRDefault="0039004D" w:rsidP="0039004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 komunat, Instituti Hidrometeor</w:t>
            </w:r>
            <w:r w:rsidRPr="003E7289">
              <w:rPr>
                <w:rFonts w:ascii="Arial" w:eastAsia="Aptos" w:hAnsi="Arial" w:cs="Arial"/>
                <w:sz w:val="20"/>
                <w:szCs w:val="20"/>
                <w:lang w:val="sq-AL"/>
              </w:rPr>
              <w:lastRenderedPageBreak/>
              <w:t>ologjik</w:t>
            </w:r>
          </w:p>
        </w:tc>
        <w:tc>
          <w:tcPr>
            <w:tcW w:w="545" w:type="pct"/>
            <w:gridSpan w:val="2"/>
            <w:vAlign w:val="center"/>
          </w:tcPr>
          <w:p w14:paraId="12B7BD54" w14:textId="010924C7" w:rsidR="00CC340D" w:rsidRPr="003E7289" w:rsidRDefault="0039004D" w:rsidP="0039004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 xml:space="preserve">Planet e </w:t>
            </w:r>
            <w:r w:rsidR="00691972" w:rsidRPr="003E7289">
              <w:rPr>
                <w:rFonts w:ascii="Arial" w:eastAsia="Aptos" w:hAnsi="Arial" w:cs="Arial"/>
                <w:sz w:val="20"/>
                <w:szCs w:val="20"/>
                <w:lang w:val="sq-AL"/>
              </w:rPr>
              <w:t xml:space="preserve">gatishmërisë </w:t>
            </w:r>
            <w:r w:rsidRPr="003E7289">
              <w:rPr>
                <w:rFonts w:ascii="Arial" w:eastAsia="Aptos" w:hAnsi="Arial" w:cs="Arial"/>
                <w:sz w:val="20"/>
                <w:szCs w:val="20"/>
                <w:lang w:val="sq-AL"/>
              </w:rPr>
              <w:t>ndaj përmbytjeve janë funksionale në të paktën 10 komuna me rrezi</w:t>
            </w:r>
            <w:r w:rsidRPr="003E7289">
              <w:rPr>
                <w:rFonts w:ascii="Arial" w:eastAsia="Aptos" w:hAnsi="Arial" w:cs="Arial"/>
                <w:sz w:val="20"/>
                <w:szCs w:val="20"/>
                <w:lang w:val="sq-AL"/>
              </w:rPr>
              <w:lastRenderedPageBreak/>
              <w:t>k të lartë</w:t>
            </w:r>
          </w:p>
        </w:tc>
        <w:tc>
          <w:tcPr>
            <w:tcW w:w="456" w:type="pct"/>
            <w:gridSpan w:val="2"/>
            <w:vAlign w:val="center"/>
          </w:tcPr>
          <w:p w14:paraId="2DE6F88A" w14:textId="3055D226" w:rsidR="00CC340D" w:rsidRPr="003E7289" w:rsidRDefault="0039004D" w:rsidP="0039004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Propozim i ri</w:t>
            </w:r>
          </w:p>
        </w:tc>
      </w:tr>
      <w:tr w:rsidR="00691972" w:rsidRPr="003E7289" w14:paraId="2311A505" w14:textId="77777777" w:rsidTr="0039004D">
        <w:trPr>
          <w:trHeight w:val="120"/>
        </w:trPr>
        <w:tc>
          <w:tcPr>
            <w:tcW w:w="330" w:type="pct"/>
            <w:gridSpan w:val="2"/>
            <w:vAlign w:val="center"/>
          </w:tcPr>
          <w:p w14:paraId="036B7837" w14:textId="2FF5B7CF" w:rsidR="00CC340D" w:rsidRPr="003E7289" w:rsidRDefault="00CC340D" w:rsidP="00CC340D">
            <w:pPr>
              <w:autoSpaceDE w:val="0"/>
              <w:autoSpaceDN w:val="0"/>
              <w:adjustRightInd w:val="0"/>
              <w:spacing w:before="0" w:line="240" w:lineRule="auto"/>
              <w:jc w:val="center"/>
              <w:rPr>
                <w:rFonts w:ascii="Arial" w:eastAsia="Yu Mincho" w:hAnsi="Arial" w:cs="Arial"/>
                <w:b/>
                <w:bCs/>
                <w:i/>
                <w:iCs/>
                <w:color w:val="000000"/>
                <w:sz w:val="20"/>
                <w:szCs w:val="20"/>
                <w:lang w:val="sq-AL"/>
              </w:rPr>
            </w:pPr>
            <w:r w:rsidRPr="003E7289">
              <w:rPr>
                <w:rFonts w:ascii="Arial" w:eastAsia="Yu Mincho" w:hAnsi="Arial" w:cs="Arial"/>
                <w:b/>
                <w:bCs/>
                <w:color w:val="000000"/>
                <w:sz w:val="20"/>
                <w:szCs w:val="20"/>
                <w:lang w:val="sq-AL"/>
              </w:rPr>
              <w:lastRenderedPageBreak/>
              <w:t>III.3</w:t>
            </w:r>
            <w:r w:rsidR="00E0225B" w:rsidRPr="003E7289">
              <w:rPr>
                <w:rFonts w:ascii="Arial" w:eastAsia="Yu Mincho" w:hAnsi="Arial" w:cs="Arial"/>
                <w:b/>
                <w:bCs/>
                <w:color w:val="000000"/>
                <w:sz w:val="20"/>
                <w:szCs w:val="20"/>
                <w:lang w:val="sq-AL"/>
              </w:rPr>
              <w:t>6</w:t>
            </w:r>
            <w:r w:rsidRPr="003E7289">
              <w:rPr>
                <w:rFonts w:ascii="Arial" w:eastAsia="Yu Mincho" w:hAnsi="Arial" w:cs="Arial"/>
                <w:b/>
                <w:bCs/>
                <w:color w:val="000000"/>
                <w:sz w:val="20"/>
                <w:szCs w:val="20"/>
                <w:lang w:val="sq-AL"/>
              </w:rPr>
              <w:t>.2</w:t>
            </w:r>
          </w:p>
        </w:tc>
        <w:tc>
          <w:tcPr>
            <w:tcW w:w="690" w:type="pct"/>
            <w:gridSpan w:val="3"/>
            <w:vAlign w:val="center"/>
          </w:tcPr>
          <w:p w14:paraId="4CEF9991" w14:textId="735B0983" w:rsidR="00CC340D" w:rsidRPr="003E7289" w:rsidRDefault="0039004D" w:rsidP="0039004D">
            <w:pPr>
              <w:autoSpaceDE w:val="0"/>
              <w:autoSpaceDN w:val="0"/>
              <w:adjustRightInd w:val="0"/>
              <w:spacing w:before="0" w:line="240" w:lineRule="auto"/>
              <w:jc w:val="center"/>
              <w:rPr>
                <w:rFonts w:ascii="Arial" w:eastAsia="Yu Mincho" w:hAnsi="Arial" w:cs="Arial"/>
                <w:b/>
                <w:bCs/>
                <w:color w:val="000000"/>
                <w:sz w:val="20"/>
                <w:szCs w:val="20"/>
                <w:lang w:val="sq-AL"/>
              </w:rPr>
            </w:pPr>
            <w:r w:rsidRPr="003E7289">
              <w:rPr>
                <w:rFonts w:ascii="Arial" w:eastAsia="Yu Mincho" w:hAnsi="Arial" w:cs="Arial"/>
                <w:b/>
                <w:bCs/>
                <w:color w:val="000000"/>
                <w:sz w:val="20"/>
                <w:szCs w:val="20"/>
                <w:lang w:val="sq-AL"/>
              </w:rPr>
              <w:t>Vendosja e infrastrukturës për paralajmërim të hershëm dhe protokolleve të komunikimit</w:t>
            </w:r>
          </w:p>
        </w:tc>
        <w:tc>
          <w:tcPr>
            <w:tcW w:w="602" w:type="pct"/>
            <w:gridSpan w:val="2"/>
            <w:vAlign w:val="center"/>
          </w:tcPr>
          <w:p w14:paraId="1EE3235F" w14:textId="77777777"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2029</w:t>
            </w:r>
          </w:p>
        </w:tc>
        <w:tc>
          <w:tcPr>
            <w:tcW w:w="339" w:type="pct"/>
            <w:gridSpan w:val="2"/>
            <w:vAlign w:val="center"/>
          </w:tcPr>
          <w:p w14:paraId="0AD0C93C"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394" w:type="pct"/>
            <w:gridSpan w:val="3"/>
            <w:vAlign w:val="center"/>
          </w:tcPr>
          <w:p w14:paraId="06C4AE7C" w14:textId="77777777"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1250000€</w:t>
            </w:r>
          </w:p>
        </w:tc>
        <w:tc>
          <w:tcPr>
            <w:tcW w:w="392" w:type="pct"/>
            <w:gridSpan w:val="2"/>
            <w:vAlign w:val="center"/>
          </w:tcPr>
          <w:p w14:paraId="42667A8D"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567" w:type="pct"/>
            <w:gridSpan w:val="2"/>
            <w:vAlign w:val="center"/>
          </w:tcPr>
          <w:p w14:paraId="70785334" w14:textId="214CBAC7" w:rsidR="00CC340D" w:rsidRPr="003E7289" w:rsidRDefault="0039004D" w:rsidP="0039004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eastAsia="en-US"/>
              </w:rPr>
              <w:t>Buxheti Kombëtar + fonde private (bashkëfinancim)</w:t>
            </w:r>
          </w:p>
        </w:tc>
        <w:tc>
          <w:tcPr>
            <w:tcW w:w="686" w:type="pct"/>
            <w:vAlign w:val="center"/>
          </w:tcPr>
          <w:p w14:paraId="531CE5E1" w14:textId="391089D3" w:rsidR="00CC340D" w:rsidRPr="003E7289" w:rsidRDefault="0039004D" w:rsidP="00880E70">
            <w:pPr>
              <w:spacing w:before="0" w:line="240" w:lineRule="auto"/>
              <w:jc w:val="center"/>
              <w:rPr>
                <w:rFonts w:ascii="Arial" w:eastAsia="Aptos" w:hAnsi="Arial" w:cs="Arial"/>
                <w:sz w:val="20"/>
                <w:szCs w:val="20"/>
                <w:lang w:val="sq-AL"/>
              </w:rPr>
            </w:pPr>
            <w:r w:rsidRPr="003E7289">
              <w:rPr>
                <w:rFonts w:ascii="Arial" w:eastAsia="Aptos" w:hAnsi="Arial" w:cs="Arial"/>
                <w:sz w:val="20"/>
                <w:szCs w:val="20"/>
                <w:lang w:val="sq-AL"/>
              </w:rPr>
              <w:t xml:space="preserve">MBZHR, </w:t>
            </w:r>
            <w:r w:rsidR="00880E70" w:rsidRPr="003E7289">
              <w:rPr>
                <w:rFonts w:ascii="Arial" w:eastAsia="Aptos" w:hAnsi="Arial" w:cs="Arial"/>
                <w:sz w:val="20"/>
                <w:szCs w:val="20"/>
                <w:lang w:val="sq-AL"/>
              </w:rPr>
              <w:t xml:space="preserve">Agjencia e Menaxhimit Emergjent </w:t>
            </w:r>
            <w:r w:rsidRPr="003E7289">
              <w:rPr>
                <w:rFonts w:ascii="Arial" w:eastAsia="Aptos" w:hAnsi="Arial" w:cs="Arial"/>
                <w:sz w:val="20"/>
                <w:szCs w:val="20"/>
                <w:lang w:val="sq-AL"/>
              </w:rPr>
              <w:t>, komunat, Instituti Hidrometeorologjik</w:t>
            </w:r>
          </w:p>
        </w:tc>
        <w:tc>
          <w:tcPr>
            <w:tcW w:w="545" w:type="pct"/>
            <w:gridSpan w:val="2"/>
            <w:vAlign w:val="center"/>
          </w:tcPr>
          <w:p w14:paraId="16ABC979" w14:textId="49598025" w:rsidR="00CC340D" w:rsidRPr="003E7289" w:rsidRDefault="0039004D" w:rsidP="0039004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Infrastruktura për paralajmërim të hershëm funksionale në të paktën 15 komuna; fermerët dhe zyrtarët lokalë janë trajnuar</w:t>
            </w:r>
          </w:p>
        </w:tc>
        <w:tc>
          <w:tcPr>
            <w:tcW w:w="456" w:type="pct"/>
            <w:gridSpan w:val="2"/>
            <w:vAlign w:val="center"/>
          </w:tcPr>
          <w:p w14:paraId="575CED8A" w14:textId="62185523" w:rsidR="00CC340D" w:rsidRPr="003E7289" w:rsidRDefault="0039004D" w:rsidP="0039004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Propozim i ri</w:t>
            </w:r>
          </w:p>
        </w:tc>
      </w:tr>
      <w:tr w:rsidR="00691972" w:rsidRPr="003E7289" w14:paraId="1B71DF7A" w14:textId="77777777" w:rsidTr="0039004D">
        <w:trPr>
          <w:trHeight w:val="120"/>
        </w:trPr>
        <w:tc>
          <w:tcPr>
            <w:tcW w:w="330" w:type="pct"/>
            <w:gridSpan w:val="2"/>
            <w:vAlign w:val="center"/>
          </w:tcPr>
          <w:p w14:paraId="76F47B24" w14:textId="009957B8" w:rsidR="00CC340D" w:rsidRPr="003E7289" w:rsidRDefault="00CC340D" w:rsidP="00CC340D">
            <w:pPr>
              <w:autoSpaceDE w:val="0"/>
              <w:autoSpaceDN w:val="0"/>
              <w:adjustRightInd w:val="0"/>
              <w:spacing w:before="0" w:line="240" w:lineRule="auto"/>
              <w:jc w:val="center"/>
              <w:rPr>
                <w:rFonts w:ascii="Arial" w:eastAsia="Yu Mincho" w:hAnsi="Arial" w:cs="Arial"/>
                <w:b/>
                <w:bCs/>
                <w:color w:val="000000"/>
                <w:sz w:val="20"/>
                <w:szCs w:val="20"/>
                <w:lang w:val="sq-AL"/>
              </w:rPr>
            </w:pPr>
            <w:r w:rsidRPr="003E7289">
              <w:rPr>
                <w:rFonts w:ascii="Arial" w:eastAsia="Yu Mincho" w:hAnsi="Arial" w:cs="Arial"/>
                <w:b/>
                <w:bCs/>
                <w:color w:val="000000"/>
                <w:sz w:val="20"/>
                <w:szCs w:val="20"/>
                <w:lang w:val="sq-AL"/>
              </w:rPr>
              <w:t>III.3</w:t>
            </w:r>
            <w:r w:rsidR="00E0225B" w:rsidRPr="003E7289">
              <w:rPr>
                <w:rFonts w:ascii="Arial" w:eastAsia="Yu Mincho" w:hAnsi="Arial" w:cs="Arial"/>
                <w:b/>
                <w:bCs/>
                <w:color w:val="000000"/>
                <w:sz w:val="20"/>
                <w:szCs w:val="20"/>
                <w:lang w:val="sq-AL"/>
              </w:rPr>
              <w:t>6</w:t>
            </w:r>
            <w:r w:rsidRPr="003E7289">
              <w:rPr>
                <w:rFonts w:ascii="Arial" w:eastAsia="Yu Mincho" w:hAnsi="Arial" w:cs="Arial"/>
                <w:b/>
                <w:bCs/>
                <w:color w:val="000000"/>
                <w:sz w:val="20"/>
                <w:szCs w:val="20"/>
                <w:lang w:val="sq-AL"/>
              </w:rPr>
              <w:t>.3</w:t>
            </w:r>
          </w:p>
        </w:tc>
        <w:tc>
          <w:tcPr>
            <w:tcW w:w="690" w:type="pct"/>
            <w:gridSpan w:val="3"/>
            <w:vAlign w:val="center"/>
          </w:tcPr>
          <w:p w14:paraId="1C251B7A" w14:textId="25B80C31" w:rsidR="00CC340D" w:rsidRPr="003E7289" w:rsidRDefault="0039004D" w:rsidP="0039004D">
            <w:pPr>
              <w:autoSpaceDE w:val="0"/>
              <w:autoSpaceDN w:val="0"/>
              <w:adjustRightInd w:val="0"/>
              <w:spacing w:before="0" w:line="240" w:lineRule="auto"/>
              <w:jc w:val="center"/>
              <w:rPr>
                <w:rFonts w:ascii="Arial" w:eastAsia="Yu Mincho" w:hAnsi="Arial" w:cs="Arial"/>
                <w:b/>
                <w:bCs/>
                <w:color w:val="000000"/>
                <w:sz w:val="20"/>
                <w:szCs w:val="20"/>
                <w:lang w:val="sq-AL"/>
              </w:rPr>
            </w:pPr>
            <w:r w:rsidRPr="003E7289">
              <w:rPr>
                <w:rFonts w:ascii="Arial" w:eastAsia="Yu Mincho" w:hAnsi="Arial" w:cs="Arial"/>
                <w:b/>
                <w:bCs/>
                <w:color w:val="000000"/>
                <w:sz w:val="20"/>
                <w:szCs w:val="20"/>
                <w:lang w:val="sq-AL"/>
              </w:rPr>
              <w:t xml:space="preserve">Zgjerimi dhe integrimi i sistemit për paralajmërim të hershëm për </w:t>
            </w:r>
            <w:r w:rsidRPr="003E7289">
              <w:rPr>
                <w:rFonts w:ascii="Arial" w:eastAsia="Yu Mincho" w:hAnsi="Arial" w:cs="Arial"/>
                <w:b/>
                <w:bCs/>
                <w:color w:val="000000"/>
                <w:sz w:val="20"/>
                <w:szCs w:val="20"/>
                <w:lang w:val="sq-AL"/>
              </w:rPr>
              <w:lastRenderedPageBreak/>
              <w:t>përmbytje në strategjinë kombëtare</w:t>
            </w:r>
          </w:p>
        </w:tc>
        <w:tc>
          <w:tcPr>
            <w:tcW w:w="602" w:type="pct"/>
            <w:gridSpan w:val="2"/>
            <w:vAlign w:val="center"/>
          </w:tcPr>
          <w:p w14:paraId="569BD37D" w14:textId="77777777"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2030</w:t>
            </w:r>
          </w:p>
        </w:tc>
        <w:tc>
          <w:tcPr>
            <w:tcW w:w="339" w:type="pct"/>
            <w:gridSpan w:val="2"/>
            <w:vAlign w:val="center"/>
          </w:tcPr>
          <w:p w14:paraId="330D36C8"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394" w:type="pct"/>
            <w:gridSpan w:val="3"/>
            <w:vAlign w:val="center"/>
          </w:tcPr>
          <w:p w14:paraId="1CFB5E5D"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392" w:type="pct"/>
            <w:gridSpan w:val="2"/>
            <w:vAlign w:val="center"/>
          </w:tcPr>
          <w:p w14:paraId="725FE91A" w14:textId="77777777"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750000€</w:t>
            </w:r>
          </w:p>
        </w:tc>
        <w:tc>
          <w:tcPr>
            <w:tcW w:w="567" w:type="pct"/>
            <w:gridSpan w:val="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9004D" w:rsidRPr="003E7289" w14:paraId="3BC29526" w14:textId="77777777" w:rsidTr="0039004D">
              <w:trPr>
                <w:tblCellSpacing w:w="15" w:type="dxa"/>
              </w:trPr>
              <w:tc>
                <w:tcPr>
                  <w:tcW w:w="0" w:type="auto"/>
                  <w:vAlign w:val="center"/>
                  <w:hideMark/>
                </w:tcPr>
                <w:p w14:paraId="51F193DE" w14:textId="77777777" w:rsidR="0039004D" w:rsidRPr="003E7289" w:rsidRDefault="0039004D" w:rsidP="0039004D">
                  <w:pPr>
                    <w:spacing w:before="0" w:after="0" w:line="240" w:lineRule="auto"/>
                    <w:jc w:val="center"/>
                    <w:rPr>
                      <w:rFonts w:ascii="Arial" w:eastAsia="Aptos" w:hAnsi="Arial" w:cs="Arial"/>
                      <w:sz w:val="20"/>
                      <w:szCs w:val="20"/>
                      <w:lang w:val="sq-AL"/>
                    </w:rPr>
                  </w:pPr>
                </w:p>
              </w:tc>
            </w:tr>
          </w:tbl>
          <w:p w14:paraId="32E0A30E" w14:textId="77777777" w:rsidR="0039004D" w:rsidRPr="003E7289" w:rsidRDefault="0039004D" w:rsidP="0039004D">
            <w:pPr>
              <w:spacing w:before="0" w:line="240" w:lineRule="auto"/>
              <w:jc w:val="center"/>
              <w:rPr>
                <w:rFonts w:ascii="Arial" w:eastAsia="Aptos" w:hAnsi="Arial" w:cs="Arial"/>
                <w:vanish/>
                <w:sz w:val="20"/>
                <w:szCs w:val="20"/>
                <w:lang w:val="sq-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03"/>
            </w:tblGrid>
            <w:tr w:rsidR="0039004D" w:rsidRPr="003E7289" w14:paraId="0C97F96C" w14:textId="77777777" w:rsidTr="0039004D">
              <w:trPr>
                <w:tblCellSpacing w:w="15" w:type="dxa"/>
              </w:trPr>
              <w:tc>
                <w:tcPr>
                  <w:tcW w:w="0" w:type="auto"/>
                  <w:vAlign w:val="center"/>
                  <w:hideMark/>
                </w:tcPr>
                <w:p w14:paraId="6EDC182A" w14:textId="77777777" w:rsidR="0039004D" w:rsidRPr="003E7289" w:rsidRDefault="0039004D" w:rsidP="0039004D">
                  <w:pPr>
                    <w:spacing w:before="0" w:after="0" w:line="240" w:lineRule="auto"/>
                    <w:jc w:val="center"/>
                    <w:rPr>
                      <w:rFonts w:ascii="Arial" w:eastAsia="Aptos" w:hAnsi="Arial" w:cs="Arial"/>
                      <w:sz w:val="20"/>
                      <w:szCs w:val="20"/>
                      <w:lang w:val="sq-AL"/>
                    </w:rPr>
                  </w:pPr>
                  <w:r w:rsidRPr="003E7289">
                    <w:rPr>
                      <w:rFonts w:ascii="Arial" w:eastAsia="Aptos" w:hAnsi="Arial" w:cs="Arial"/>
                      <w:sz w:val="20"/>
                      <w:szCs w:val="20"/>
                      <w:lang w:val="sq-AL"/>
                    </w:rPr>
                    <w:t>Buxheti Kombëtar, Donatorë</w:t>
                  </w:r>
                </w:p>
              </w:tc>
            </w:tr>
          </w:tbl>
          <w:p w14:paraId="647E8A0C" w14:textId="45726DF8" w:rsidR="00CC340D" w:rsidRPr="003E7289" w:rsidRDefault="00CC340D" w:rsidP="00CC340D">
            <w:pPr>
              <w:spacing w:before="0" w:line="240" w:lineRule="auto"/>
              <w:jc w:val="center"/>
              <w:rPr>
                <w:rFonts w:ascii="Arial" w:eastAsia="Aptos" w:hAnsi="Arial" w:cs="Arial"/>
                <w:sz w:val="20"/>
                <w:szCs w:val="20"/>
                <w:lang w:val="sq-AL" w:eastAsia="en-US"/>
              </w:rPr>
            </w:pPr>
          </w:p>
        </w:tc>
        <w:tc>
          <w:tcPr>
            <w:tcW w:w="686" w:type="pct"/>
            <w:vAlign w:val="center"/>
          </w:tcPr>
          <w:p w14:paraId="6582D516" w14:textId="4BB3F96A" w:rsidR="00CC340D" w:rsidRPr="003E7289" w:rsidRDefault="0039004D" w:rsidP="0039004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 xml:space="preserve">MBZHR, </w:t>
            </w:r>
            <w:r w:rsidR="00880E70" w:rsidRPr="003E7289">
              <w:rPr>
                <w:rFonts w:ascii="Arial" w:eastAsia="Aptos" w:hAnsi="Arial" w:cs="Arial"/>
                <w:sz w:val="20"/>
                <w:szCs w:val="20"/>
                <w:lang w:val="sq-AL"/>
              </w:rPr>
              <w:t>Agjencia e Menaxhimit Emergj</w:t>
            </w:r>
            <w:r w:rsidR="00880E70" w:rsidRPr="003E7289">
              <w:rPr>
                <w:rFonts w:ascii="Arial" w:eastAsia="Aptos" w:hAnsi="Arial" w:cs="Arial"/>
                <w:sz w:val="20"/>
                <w:szCs w:val="20"/>
                <w:lang w:val="sq-AL"/>
              </w:rPr>
              <w:lastRenderedPageBreak/>
              <w:t xml:space="preserve">ent  </w:t>
            </w:r>
            <w:r w:rsidRPr="003E7289">
              <w:rPr>
                <w:rFonts w:ascii="Arial" w:eastAsia="Aptos" w:hAnsi="Arial" w:cs="Arial"/>
                <w:sz w:val="20"/>
                <w:szCs w:val="20"/>
                <w:lang w:val="sq-AL"/>
              </w:rPr>
              <w:t>, komunat, Instituti Hidrometeorologjik</w:t>
            </w:r>
          </w:p>
        </w:tc>
        <w:tc>
          <w:tcPr>
            <w:tcW w:w="545" w:type="pct"/>
            <w:gridSpan w:val="2"/>
            <w:vAlign w:val="center"/>
          </w:tcPr>
          <w:p w14:paraId="673587F4" w14:textId="13CD9519" w:rsidR="00CC340D" w:rsidRPr="003E7289" w:rsidRDefault="0039004D" w:rsidP="0039004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Sistemet për paralajmërim dhe reagim ndaj përm</w:t>
            </w:r>
            <w:r w:rsidRPr="003E7289">
              <w:rPr>
                <w:rFonts w:ascii="Arial" w:eastAsia="Aptos" w:hAnsi="Arial" w:cs="Arial"/>
                <w:sz w:val="20"/>
                <w:szCs w:val="20"/>
                <w:lang w:val="sq-AL"/>
              </w:rPr>
              <w:lastRenderedPageBreak/>
              <w:t>bytjeve janë funksionale në të gjitha komunat me rrezik të lartë të identifikuara (&gt;30); të integruara në strategjinë kombëtare</w:t>
            </w:r>
          </w:p>
        </w:tc>
        <w:tc>
          <w:tcPr>
            <w:tcW w:w="456" w:type="pct"/>
            <w:gridSpan w:val="2"/>
            <w:vAlign w:val="center"/>
          </w:tcPr>
          <w:p w14:paraId="0BAD891D" w14:textId="0BDBA82F" w:rsidR="00CC340D" w:rsidRPr="003E7289" w:rsidRDefault="0039004D" w:rsidP="0039004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Propozim i ri</w:t>
            </w:r>
          </w:p>
        </w:tc>
      </w:tr>
      <w:tr w:rsidR="00A402D1" w:rsidRPr="003E7289" w14:paraId="30B21FF2" w14:textId="77777777" w:rsidTr="0039004D">
        <w:tc>
          <w:tcPr>
            <w:tcW w:w="1019" w:type="pct"/>
            <w:gridSpan w:val="5"/>
            <w:shd w:val="clear" w:color="auto" w:fill="C6E7F6"/>
            <w:vAlign w:val="center"/>
          </w:tcPr>
          <w:p w14:paraId="7A96F8CC" w14:textId="15C6E751" w:rsidR="00C63DE6" w:rsidRPr="003E7289" w:rsidRDefault="00C63DE6" w:rsidP="00C63DE6">
            <w:pPr>
              <w:spacing w:before="0" w:line="240" w:lineRule="auto"/>
              <w:rPr>
                <w:rFonts w:ascii="Arial" w:eastAsia="Aptos" w:hAnsi="Arial" w:cs="Arial"/>
                <w:sz w:val="20"/>
                <w:szCs w:val="20"/>
                <w:lang w:val="sq-AL" w:eastAsia="en-US"/>
              </w:rPr>
            </w:pPr>
            <w:r w:rsidRPr="003E7289">
              <w:rPr>
                <w:rFonts w:ascii="Arial" w:eastAsia="Aptos" w:hAnsi="Arial" w:cs="Arial"/>
                <w:b/>
                <w:bCs/>
                <w:sz w:val="20"/>
                <w:szCs w:val="20"/>
                <w:lang w:val="sq-AL"/>
              </w:rPr>
              <w:lastRenderedPageBreak/>
              <w:t>Buxheti total për Objektivin specifik III.3</w:t>
            </w:r>
            <w:r w:rsidR="00E0225B" w:rsidRPr="003E7289">
              <w:rPr>
                <w:rFonts w:ascii="Arial" w:eastAsia="Aptos" w:hAnsi="Arial" w:cs="Arial"/>
                <w:b/>
                <w:bCs/>
                <w:sz w:val="20"/>
                <w:szCs w:val="20"/>
                <w:lang w:val="sq-AL"/>
              </w:rPr>
              <w:t>6</w:t>
            </w:r>
            <w:r w:rsidRPr="003E7289">
              <w:rPr>
                <w:rFonts w:ascii="Arial" w:eastAsia="Aptos" w:hAnsi="Arial" w:cs="Arial"/>
                <w:b/>
                <w:bCs/>
                <w:sz w:val="20"/>
                <w:szCs w:val="20"/>
                <w:lang w:val="sq-AL"/>
              </w:rPr>
              <w:t>:</w:t>
            </w:r>
          </w:p>
        </w:tc>
        <w:tc>
          <w:tcPr>
            <w:tcW w:w="3981" w:type="pct"/>
            <w:gridSpan w:val="16"/>
            <w:vAlign w:val="center"/>
          </w:tcPr>
          <w:p w14:paraId="0CD3B421" w14:textId="77777777" w:rsidR="00C63DE6" w:rsidRPr="003E7289" w:rsidRDefault="00C63DE6" w:rsidP="00C63DE6">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sz w:val="20"/>
                <w:szCs w:val="20"/>
                <w:lang w:val="sq-AL"/>
              </w:rPr>
              <w:t>2.750.000€</w:t>
            </w:r>
          </w:p>
        </w:tc>
      </w:tr>
      <w:tr w:rsidR="00A402D1" w:rsidRPr="003E7289" w14:paraId="1F8F5FC2" w14:textId="77777777" w:rsidTr="0039004D">
        <w:tc>
          <w:tcPr>
            <w:tcW w:w="1019" w:type="pct"/>
            <w:gridSpan w:val="5"/>
            <w:shd w:val="clear" w:color="auto" w:fill="C6E7F6"/>
          </w:tcPr>
          <w:p w14:paraId="3C80451B" w14:textId="1DAB04F4" w:rsidR="00C63DE6" w:rsidRPr="003E7289" w:rsidRDefault="00C63DE6" w:rsidP="00C63DE6">
            <w:pPr>
              <w:spacing w:before="0" w:line="240" w:lineRule="auto"/>
              <w:rPr>
                <w:rFonts w:ascii="Arial" w:eastAsia="Aptos" w:hAnsi="Arial" w:cs="Arial"/>
                <w:sz w:val="20"/>
                <w:szCs w:val="20"/>
                <w:lang w:val="sq-AL" w:eastAsia="en-US"/>
              </w:rPr>
            </w:pPr>
            <w:r w:rsidRPr="003E7289">
              <w:rPr>
                <w:rFonts w:ascii="Arial" w:eastAsia="Aptos" w:hAnsi="Arial" w:cs="Arial"/>
                <w:b/>
                <w:bCs/>
                <w:sz w:val="20"/>
                <w:szCs w:val="20"/>
                <w:lang w:val="sq-AL"/>
              </w:rPr>
              <w:t>Nga kjo, kapital:</w:t>
            </w:r>
          </w:p>
        </w:tc>
        <w:tc>
          <w:tcPr>
            <w:tcW w:w="3981" w:type="pct"/>
            <w:gridSpan w:val="16"/>
            <w:vAlign w:val="center"/>
          </w:tcPr>
          <w:p w14:paraId="1FE7ED82" w14:textId="51E63309" w:rsidR="00C63DE6" w:rsidRPr="003E7289" w:rsidRDefault="00C63DE6" w:rsidP="00C63DE6">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sz w:val="20"/>
                <w:szCs w:val="20"/>
                <w:lang w:val="sq-AL"/>
              </w:rPr>
              <w:t>2.000.000€</w:t>
            </w:r>
          </w:p>
        </w:tc>
      </w:tr>
      <w:tr w:rsidR="00A402D1" w:rsidRPr="003E7289" w14:paraId="100AD335" w14:textId="77777777" w:rsidTr="0039004D">
        <w:tc>
          <w:tcPr>
            <w:tcW w:w="1019" w:type="pct"/>
            <w:gridSpan w:val="5"/>
            <w:shd w:val="clear" w:color="auto" w:fill="C6E7F6"/>
          </w:tcPr>
          <w:p w14:paraId="5A594C8C" w14:textId="57379253" w:rsidR="00C63DE6" w:rsidRPr="003E7289" w:rsidRDefault="00C63DE6" w:rsidP="00C63DE6">
            <w:pPr>
              <w:spacing w:before="0" w:line="240" w:lineRule="auto"/>
              <w:rPr>
                <w:rFonts w:ascii="Arial" w:eastAsia="Aptos" w:hAnsi="Arial" w:cs="Arial"/>
                <w:b/>
                <w:bCs/>
                <w:sz w:val="20"/>
                <w:szCs w:val="20"/>
                <w:lang w:val="sq-AL" w:eastAsia="en-US"/>
              </w:rPr>
            </w:pPr>
            <w:r w:rsidRPr="003E7289">
              <w:rPr>
                <w:rFonts w:ascii="Arial" w:eastAsia="Aptos" w:hAnsi="Arial" w:cs="Arial"/>
                <w:b/>
                <w:bCs/>
                <w:sz w:val="20"/>
                <w:szCs w:val="20"/>
                <w:lang w:val="sq-AL"/>
              </w:rPr>
              <w:t>Nga kjo, shpenzime korrente:</w:t>
            </w:r>
          </w:p>
        </w:tc>
        <w:tc>
          <w:tcPr>
            <w:tcW w:w="3981" w:type="pct"/>
            <w:gridSpan w:val="16"/>
            <w:vAlign w:val="center"/>
          </w:tcPr>
          <w:p w14:paraId="2EDA841B" w14:textId="27663081" w:rsidR="00C63DE6" w:rsidRPr="003E7289" w:rsidRDefault="00C63DE6" w:rsidP="00C63DE6">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sz w:val="20"/>
                <w:szCs w:val="20"/>
                <w:lang w:val="sq-AL"/>
              </w:rPr>
              <w:t>750.000€</w:t>
            </w:r>
          </w:p>
        </w:tc>
      </w:tr>
      <w:tr w:rsidR="00C632D0" w:rsidRPr="003E7289" w14:paraId="309C3A68" w14:textId="77777777" w:rsidTr="008D5D24">
        <w:trPr>
          <w:trHeight w:val="126"/>
        </w:trPr>
        <w:tc>
          <w:tcPr>
            <w:tcW w:w="330" w:type="pct"/>
            <w:gridSpan w:val="2"/>
            <w:shd w:val="clear" w:color="auto" w:fill="84CCEC"/>
            <w:vAlign w:val="center"/>
          </w:tcPr>
          <w:p w14:paraId="0A55521A" w14:textId="0AA4CE1F" w:rsidR="00C632D0" w:rsidRPr="003E7289" w:rsidRDefault="00C632D0" w:rsidP="00C632D0">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III.3</w:t>
            </w:r>
            <w:r w:rsidR="00E0225B" w:rsidRPr="003E7289">
              <w:rPr>
                <w:rFonts w:ascii="Arial" w:eastAsia="Aptos" w:hAnsi="Arial" w:cs="Arial"/>
                <w:b/>
                <w:bCs/>
                <w:sz w:val="20"/>
                <w:szCs w:val="20"/>
                <w:lang w:val="sq-AL"/>
              </w:rPr>
              <w:t>7</w:t>
            </w:r>
          </w:p>
        </w:tc>
        <w:tc>
          <w:tcPr>
            <w:tcW w:w="4670" w:type="pct"/>
            <w:gridSpan w:val="19"/>
            <w:shd w:val="clear" w:color="auto" w:fill="84CCEC"/>
            <w:vAlign w:val="center"/>
          </w:tcPr>
          <w:p w14:paraId="063B6B9E" w14:textId="48D4C5FF" w:rsidR="00C632D0" w:rsidRPr="003E7289" w:rsidRDefault="00CF4C50" w:rsidP="00C632D0">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Fuqizimi i kapaciteteve për monitorim, zbulim të hershëm dhe reagim të shpejtë ndaj zjarreve në pyje</w:t>
            </w:r>
          </w:p>
        </w:tc>
      </w:tr>
      <w:tr w:rsidR="00702B19" w:rsidRPr="003E7289" w14:paraId="63B6E3BC" w14:textId="77777777" w:rsidTr="0039004D">
        <w:tc>
          <w:tcPr>
            <w:tcW w:w="1019" w:type="pct"/>
            <w:gridSpan w:val="5"/>
            <w:vAlign w:val="center"/>
          </w:tcPr>
          <w:p w14:paraId="74796F7C" w14:textId="063E29F9" w:rsidR="0039004D" w:rsidRPr="003E7289" w:rsidRDefault="0039004D" w:rsidP="0039004D">
            <w:pPr>
              <w:autoSpaceDE w:val="0"/>
              <w:autoSpaceDN w:val="0"/>
              <w:adjustRightInd w:val="0"/>
              <w:spacing w:before="0" w:line="240" w:lineRule="auto"/>
              <w:jc w:val="center"/>
              <w:rPr>
                <w:rFonts w:ascii="Arial" w:eastAsia="Aptos" w:hAnsi="Arial" w:cs="Arial"/>
                <w:b/>
                <w:bCs/>
                <w:sz w:val="20"/>
                <w:szCs w:val="20"/>
                <w:lang w:val="sq-AL" w:eastAsia="en-US"/>
              </w:rPr>
            </w:pPr>
            <w:r w:rsidRPr="003E7289">
              <w:rPr>
                <w:rFonts w:ascii="Arial" w:eastAsia="Myriad Pro" w:hAnsi="Arial" w:cs="Arial"/>
                <w:b/>
                <w:bCs/>
                <w:sz w:val="20"/>
                <w:szCs w:val="20"/>
                <w:lang w:val="sq-AL"/>
              </w:rPr>
              <w:lastRenderedPageBreak/>
              <w:t>Mbulimi dhe efektiviteti i sistemit të paralajmërimit të hershëm dhe reagimit të shpejtë për zjarret në pyje.</w:t>
            </w:r>
          </w:p>
        </w:tc>
        <w:tc>
          <w:tcPr>
            <w:tcW w:w="602" w:type="pct"/>
            <w:gridSpan w:val="2"/>
            <w:vAlign w:val="center"/>
          </w:tcPr>
          <w:p w14:paraId="71B6E1BA" w14:textId="4D1FD0A1" w:rsidR="0039004D" w:rsidRPr="003E7289" w:rsidRDefault="0039004D" w:rsidP="0039004D">
            <w:pPr>
              <w:spacing w:before="0" w:line="240" w:lineRule="auto"/>
              <w:rPr>
                <w:rFonts w:ascii="Arial" w:eastAsia="Aptos" w:hAnsi="Arial" w:cs="Arial"/>
                <w:sz w:val="20"/>
                <w:szCs w:val="20"/>
                <w:highlight w:val="yellow"/>
                <w:lang w:val="sq-AL" w:eastAsia="en-US"/>
              </w:rPr>
            </w:pPr>
            <w:r w:rsidRPr="003E7289">
              <w:rPr>
                <w:rFonts w:ascii="Arial" w:eastAsia="Myriad Pro" w:hAnsi="Arial" w:cs="Arial"/>
                <w:sz w:val="20"/>
                <w:szCs w:val="20"/>
                <w:lang w:val="sq-AL"/>
              </w:rPr>
              <w:t>Aftësi e kufizuar zbulimi dhe reagimi; qasje manuale dhe e fragmentuar.</w:t>
            </w:r>
          </w:p>
        </w:tc>
        <w:tc>
          <w:tcPr>
            <w:tcW w:w="1125" w:type="pct"/>
            <w:gridSpan w:val="7"/>
            <w:vAlign w:val="center"/>
          </w:tcPr>
          <w:p w14:paraId="0FFE9C2D" w14:textId="321428D3" w:rsidR="0039004D" w:rsidRPr="003E7289" w:rsidRDefault="0039004D" w:rsidP="0039004D">
            <w:pPr>
              <w:spacing w:before="0" w:line="240" w:lineRule="auto"/>
              <w:rPr>
                <w:rFonts w:ascii="Arial" w:eastAsia="Aptos" w:hAnsi="Arial" w:cs="Arial"/>
                <w:sz w:val="20"/>
                <w:szCs w:val="20"/>
                <w:highlight w:val="yellow"/>
                <w:lang w:val="sq-AL" w:eastAsia="en-US"/>
              </w:rPr>
            </w:pPr>
            <w:r w:rsidRPr="003E7289">
              <w:rPr>
                <w:rFonts w:ascii="Arial" w:eastAsia="Myriad Pro" w:hAnsi="Arial" w:cs="Arial"/>
                <w:sz w:val="20"/>
                <w:szCs w:val="20"/>
                <w:lang w:val="sq-AL"/>
              </w:rPr>
              <w:t>Sisteme të vendosura dhe funksionale të paralajmërimit të hershëm për zjarret në pyje që mbulojnë të gjitha zonat pyjore me rrezik të lartë; ndërtim i konsiderueshëm i kapaciteteve në proces.</w:t>
            </w:r>
          </w:p>
        </w:tc>
        <w:tc>
          <w:tcPr>
            <w:tcW w:w="567" w:type="pct"/>
            <w:gridSpan w:val="2"/>
            <w:vAlign w:val="center"/>
          </w:tcPr>
          <w:p w14:paraId="35BA2AB6" w14:textId="1B45638F" w:rsidR="0039004D" w:rsidRPr="003E7289" w:rsidRDefault="0039004D" w:rsidP="0039004D">
            <w:pPr>
              <w:spacing w:before="0" w:line="240" w:lineRule="auto"/>
              <w:rPr>
                <w:rFonts w:ascii="Arial" w:eastAsia="Aptos" w:hAnsi="Arial" w:cs="Arial"/>
                <w:sz w:val="20"/>
                <w:szCs w:val="20"/>
                <w:highlight w:val="yellow"/>
                <w:lang w:val="sq-AL" w:eastAsia="en-US"/>
              </w:rPr>
            </w:pPr>
            <w:r w:rsidRPr="003E7289">
              <w:rPr>
                <w:rFonts w:ascii="Arial" w:eastAsia="Myriad Pro" w:hAnsi="Arial" w:cs="Arial"/>
                <w:sz w:val="20"/>
                <w:szCs w:val="20"/>
                <w:lang w:val="sq-AL"/>
              </w:rPr>
              <w:t>Sisteme gjithëpërfshirëse dhe të automatizuara të monitorimit të zjarreve në pyje janë plotësisht funksionale, duke mundësuar reagim të shpejtë në të gjitha pyjet me rrezik të lartë.</w:t>
            </w:r>
          </w:p>
        </w:tc>
        <w:tc>
          <w:tcPr>
            <w:tcW w:w="1687" w:type="pct"/>
            <w:gridSpan w:val="5"/>
            <w:vAlign w:val="center"/>
          </w:tcPr>
          <w:p w14:paraId="42056315" w14:textId="07B022A3" w:rsidR="0039004D" w:rsidRPr="003E7289" w:rsidRDefault="0039004D" w:rsidP="0039004D">
            <w:pPr>
              <w:spacing w:before="0" w:line="240" w:lineRule="auto"/>
              <w:rPr>
                <w:rFonts w:ascii="Arial" w:eastAsia="Aptos" w:hAnsi="Arial" w:cs="Arial"/>
                <w:sz w:val="20"/>
                <w:szCs w:val="20"/>
                <w:highlight w:val="yellow"/>
                <w:lang w:val="sq-AL" w:eastAsia="en-US"/>
              </w:rPr>
            </w:pPr>
            <w:r w:rsidRPr="003E7289">
              <w:rPr>
                <w:rFonts w:ascii="Arial" w:eastAsia="Myriad Pro" w:hAnsi="Arial" w:cs="Arial"/>
                <w:sz w:val="20"/>
                <w:szCs w:val="20"/>
                <w:lang w:val="sq-AL"/>
              </w:rPr>
              <w:t>Paralajmërimi i hershëm për zjarret në pyje është plotësisht i integruar me strategjinë kombëtare për reduktimin e rrezikut nga fatkeqësitë; zbulim i automatizuar, kohë minimale reagimi, zjarre të kontrolluara në mënyrë efektive.</w:t>
            </w:r>
          </w:p>
        </w:tc>
      </w:tr>
      <w:tr w:rsidR="00691972" w:rsidRPr="003E7289" w14:paraId="23AF4EC7" w14:textId="77777777" w:rsidTr="0039004D">
        <w:trPr>
          <w:trHeight w:val="368"/>
        </w:trPr>
        <w:tc>
          <w:tcPr>
            <w:tcW w:w="330" w:type="pct"/>
            <w:gridSpan w:val="2"/>
            <w:vMerge w:val="restart"/>
            <w:shd w:val="clear" w:color="auto" w:fill="C6E7F6"/>
            <w:vAlign w:val="center"/>
          </w:tcPr>
          <w:p w14:paraId="7A4B8B98" w14:textId="20A7EA4A" w:rsidR="000D1635" w:rsidRPr="003E7289" w:rsidRDefault="000D1635" w:rsidP="000D1635">
            <w:pPr>
              <w:autoSpaceDE w:val="0"/>
              <w:autoSpaceDN w:val="0"/>
              <w:adjustRightInd w:val="0"/>
              <w:spacing w:before="0" w:line="240" w:lineRule="auto"/>
              <w:jc w:val="center"/>
              <w:rPr>
                <w:rFonts w:ascii="Arial" w:eastAsia="Yu Mincho" w:hAnsi="Arial" w:cs="Arial"/>
                <w:b/>
                <w:bCs/>
                <w:i/>
                <w:iCs/>
                <w:color w:val="000000"/>
                <w:sz w:val="20"/>
                <w:szCs w:val="20"/>
                <w:highlight w:val="green"/>
                <w:lang w:val="sq-AL"/>
              </w:rPr>
            </w:pPr>
            <w:r w:rsidRPr="003E7289">
              <w:rPr>
                <w:rFonts w:ascii="Arial" w:eastAsia="Aptos" w:hAnsi="Arial" w:cs="Arial"/>
                <w:b/>
                <w:bCs/>
                <w:sz w:val="20"/>
                <w:szCs w:val="20"/>
                <w:lang w:val="sq-AL"/>
              </w:rPr>
              <w:t>Nr.</w:t>
            </w:r>
          </w:p>
        </w:tc>
        <w:tc>
          <w:tcPr>
            <w:tcW w:w="690" w:type="pct"/>
            <w:gridSpan w:val="3"/>
            <w:vMerge w:val="restart"/>
            <w:shd w:val="clear" w:color="auto" w:fill="C6E7F6"/>
            <w:vAlign w:val="center"/>
          </w:tcPr>
          <w:p w14:paraId="3F37406D" w14:textId="2FB0A05D" w:rsidR="000D1635" w:rsidRPr="003E7289" w:rsidRDefault="000D1635" w:rsidP="000D1635">
            <w:pPr>
              <w:autoSpaceDE w:val="0"/>
              <w:autoSpaceDN w:val="0"/>
              <w:adjustRightInd w:val="0"/>
              <w:spacing w:before="0" w:line="240" w:lineRule="auto"/>
              <w:jc w:val="center"/>
              <w:rPr>
                <w:rFonts w:ascii="Arial" w:eastAsia="Yu Mincho" w:hAnsi="Arial" w:cs="Arial"/>
                <w:b/>
                <w:bCs/>
                <w:i/>
                <w:iCs/>
                <w:color w:val="000000"/>
                <w:sz w:val="20"/>
                <w:szCs w:val="20"/>
                <w:highlight w:val="green"/>
                <w:lang w:val="sq-AL"/>
              </w:rPr>
            </w:pPr>
            <w:r w:rsidRPr="003E7289">
              <w:rPr>
                <w:rFonts w:ascii="Arial" w:eastAsia="Aptos" w:hAnsi="Arial" w:cs="Arial"/>
                <w:b/>
                <w:bCs/>
                <w:sz w:val="20"/>
                <w:szCs w:val="20"/>
                <w:lang w:val="sq-AL"/>
              </w:rPr>
              <w:t>Veprimi</w:t>
            </w:r>
          </w:p>
        </w:tc>
        <w:tc>
          <w:tcPr>
            <w:tcW w:w="602" w:type="pct"/>
            <w:gridSpan w:val="2"/>
            <w:vMerge w:val="restart"/>
            <w:shd w:val="clear" w:color="auto" w:fill="C6E7F6"/>
            <w:vAlign w:val="center"/>
          </w:tcPr>
          <w:p w14:paraId="45AF7954" w14:textId="21927E31" w:rsidR="000D1635" w:rsidRPr="003E7289" w:rsidRDefault="000D1635" w:rsidP="000D1635">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Afati I fundit</w:t>
            </w:r>
          </w:p>
        </w:tc>
        <w:tc>
          <w:tcPr>
            <w:tcW w:w="1125" w:type="pct"/>
            <w:gridSpan w:val="7"/>
            <w:shd w:val="clear" w:color="auto" w:fill="C6E7F6"/>
            <w:vAlign w:val="center"/>
          </w:tcPr>
          <w:p w14:paraId="77CE5C49" w14:textId="7408D48D" w:rsidR="000D1635" w:rsidRPr="003E7289" w:rsidRDefault="000D1635" w:rsidP="000D1635">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Buxheti</w:t>
            </w:r>
          </w:p>
        </w:tc>
        <w:tc>
          <w:tcPr>
            <w:tcW w:w="567" w:type="pct"/>
            <w:gridSpan w:val="2"/>
            <w:vMerge w:val="restart"/>
            <w:shd w:val="clear" w:color="auto" w:fill="C6E7F6"/>
            <w:vAlign w:val="center"/>
          </w:tcPr>
          <w:p w14:paraId="42B75561" w14:textId="520401F8" w:rsidR="000D1635" w:rsidRPr="003E7289" w:rsidRDefault="000D1635" w:rsidP="000D1635">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Burimi i financimit</w:t>
            </w:r>
          </w:p>
        </w:tc>
        <w:tc>
          <w:tcPr>
            <w:tcW w:w="686" w:type="pct"/>
            <w:vMerge w:val="restart"/>
            <w:shd w:val="clear" w:color="auto" w:fill="C6E7F6"/>
            <w:vAlign w:val="center"/>
          </w:tcPr>
          <w:p w14:paraId="0E5343A2" w14:textId="01F19F87" w:rsidR="000D1635" w:rsidRPr="003E7289" w:rsidRDefault="000D1635" w:rsidP="000D1635">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Institucionet përgjegjëse dhe partnere</w:t>
            </w:r>
          </w:p>
        </w:tc>
        <w:tc>
          <w:tcPr>
            <w:tcW w:w="545" w:type="pct"/>
            <w:gridSpan w:val="2"/>
            <w:vMerge w:val="restart"/>
            <w:shd w:val="clear" w:color="auto" w:fill="C6E7F6"/>
            <w:vAlign w:val="center"/>
          </w:tcPr>
          <w:p w14:paraId="2B5645B7" w14:textId="60C0ECCE" w:rsidR="000D1635" w:rsidRPr="003E7289" w:rsidRDefault="000D1635" w:rsidP="000D1635">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Rezultati i pritur</w:t>
            </w:r>
          </w:p>
        </w:tc>
        <w:tc>
          <w:tcPr>
            <w:tcW w:w="456" w:type="pct"/>
            <w:gridSpan w:val="2"/>
            <w:vMerge w:val="restart"/>
            <w:shd w:val="clear" w:color="auto" w:fill="C6E7F6"/>
            <w:vAlign w:val="center"/>
          </w:tcPr>
          <w:p w14:paraId="27BD493C" w14:textId="7122019D" w:rsidR="000D1635" w:rsidRPr="003E7289" w:rsidRDefault="000D1635" w:rsidP="000D1635">
            <w:pPr>
              <w:spacing w:before="0" w:line="240" w:lineRule="auto"/>
              <w:jc w:val="center"/>
              <w:rPr>
                <w:rFonts w:ascii="Arial" w:eastAsia="Aptos" w:hAnsi="Arial" w:cs="Arial"/>
                <w:b/>
                <w:bCs/>
                <w:sz w:val="20"/>
                <w:szCs w:val="20"/>
                <w:highlight w:val="yellow"/>
                <w:lang w:val="sq-AL" w:eastAsia="en-US"/>
              </w:rPr>
            </w:pPr>
            <w:r w:rsidRPr="003E7289">
              <w:rPr>
                <w:rFonts w:ascii="Arial" w:eastAsia="Aptos" w:hAnsi="Arial" w:cs="Arial"/>
                <w:b/>
                <w:bCs/>
                <w:sz w:val="20"/>
                <w:szCs w:val="20"/>
                <w:lang w:val="sq-AL"/>
              </w:rPr>
              <w:t>Dokumenti strategjik referues</w:t>
            </w:r>
          </w:p>
        </w:tc>
      </w:tr>
      <w:tr w:rsidR="00691972" w:rsidRPr="003E7289" w14:paraId="4030C923" w14:textId="77777777" w:rsidTr="0039004D">
        <w:trPr>
          <w:trHeight w:val="367"/>
        </w:trPr>
        <w:tc>
          <w:tcPr>
            <w:tcW w:w="330" w:type="pct"/>
            <w:gridSpan w:val="2"/>
            <w:vMerge/>
            <w:shd w:val="clear" w:color="auto" w:fill="C6E7F6"/>
            <w:vAlign w:val="center"/>
          </w:tcPr>
          <w:p w14:paraId="176DE2D1" w14:textId="77777777" w:rsidR="00C632D0" w:rsidRPr="003E7289" w:rsidRDefault="00C632D0" w:rsidP="00C632D0">
            <w:pPr>
              <w:autoSpaceDE w:val="0"/>
              <w:autoSpaceDN w:val="0"/>
              <w:adjustRightInd w:val="0"/>
              <w:spacing w:before="0" w:line="240" w:lineRule="auto"/>
              <w:jc w:val="center"/>
              <w:rPr>
                <w:rFonts w:ascii="Arial" w:eastAsia="Yu Mincho" w:hAnsi="Arial" w:cs="Arial"/>
                <w:b/>
                <w:bCs/>
                <w:color w:val="000000"/>
                <w:sz w:val="20"/>
                <w:szCs w:val="20"/>
                <w:lang w:val="sq-AL"/>
              </w:rPr>
            </w:pPr>
          </w:p>
        </w:tc>
        <w:tc>
          <w:tcPr>
            <w:tcW w:w="690" w:type="pct"/>
            <w:gridSpan w:val="3"/>
            <w:vMerge/>
            <w:shd w:val="clear" w:color="auto" w:fill="C6E7F6"/>
            <w:vAlign w:val="center"/>
          </w:tcPr>
          <w:p w14:paraId="6DA31A14" w14:textId="77777777" w:rsidR="00C632D0" w:rsidRPr="003E7289" w:rsidRDefault="00C632D0" w:rsidP="00C632D0">
            <w:pPr>
              <w:autoSpaceDE w:val="0"/>
              <w:autoSpaceDN w:val="0"/>
              <w:adjustRightInd w:val="0"/>
              <w:spacing w:before="0" w:line="240" w:lineRule="auto"/>
              <w:jc w:val="center"/>
              <w:rPr>
                <w:rFonts w:ascii="Arial" w:eastAsia="Yu Mincho" w:hAnsi="Arial" w:cs="Arial"/>
                <w:b/>
                <w:bCs/>
                <w:color w:val="000000"/>
                <w:sz w:val="20"/>
                <w:szCs w:val="20"/>
                <w:lang w:val="sq-AL"/>
              </w:rPr>
            </w:pPr>
          </w:p>
        </w:tc>
        <w:tc>
          <w:tcPr>
            <w:tcW w:w="602" w:type="pct"/>
            <w:gridSpan w:val="2"/>
            <w:vMerge/>
            <w:shd w:val="clear" w:color="auto" w:fill="C6E7F6"/>
            <w:vAlign w:val="center"/>
          </w:tcPr>
          <w:p w14:paraId="252C6D46" w14:textId="77777777" w:rsidR="00C632D0" w:rsidRPr="003E7289" w:rsidRDefault="00C632D0" w:rsidP="00C632D0">
            <w:pPr>
              <w:spacing w:before="0" w:line="240" w:lineRule="auto"/>
              <w:jc w:val="center"/>
              <w:rPr>
                <w:rFonts w:ascii="Arial" w:eastAsia="Aptos" w:hAnsi="Arial" w:cs="Arial"/>
                <w:b/>
                <w:bCs/>
                <w:sz w:val="20"/>
                <w:szCs w:val="20"/>
                <w:lang w:val="sq-AL" w:eastAsia="en-US"/>
              </w:rPr>
            </w:pPr>
          </w:p>
        </w:tc>
        <w:tc>
          <w:tcPr>
            <w:tcW w:w="339" w:type="pct"/>
            <w:gridSpan w:val="2"/>
            <w:shd w:val="clear" w:color="auto" w:fill="C6E7F6"/>
            <w:vAlign w:val="center"/>
          </w:tcPr>
          <w:p w14:paraId="3468E195" w14:textId="77777777" w:rsidR="00C632D0" w:rsidRPr="003E7289" w:rsidRDefault="00C632D0" w:rsidP="00C632D0">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2026</w:t>
            </w:r>
          </w:p>
        </w:tc>
        <w:tc>
          <w:tcPr>
            <w:tcW w:w="394" w:type="pct"/>
            <w:gridSpan w:val="3"/>
            <w:shd w:val="clear" w:color="auto" w:fill="C6E7F6"/>
            <w:vAlign w:val="center"/>
          </w:tcPr>
          <w:p w14:paraId="36A2F216" w14:textId="77777777" w:rsidR="00C632D0" w:rsidRPr="003E7289" w:rsidRDefault="00C632D0" w:rsidP="00C632D0">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2027</w:t>
            </w:r>
          </w:p>
        </w:tc>
        <w:tc>
          <w:tcPr>
            <w:tcW w:w="392" w:type="pct"/>
            <w:gridSpan w:val="2"/>
            <w:shd w:val="clear" w:color="auto" w:fill="C6E7F6"/>
            <w:vAlign w:val="center"/>
          </w:tcPr>
          <w:p w14:paraId="242E117B" w14:textId="77777777" w:rsidR="00C632D0" w:rsidRPr="003E7289" w:rsidRDefault="00C632D0" w:rsidP="00C632D0">
            <w:pPr>
              <w:spacing w:before="0" w:line="240" w:lineRule="auto"/>
              <w:jc w:val="center"/>
              <w:rPr>
                <w:rFonts w:ascii="Arial" w:eastAsia="Aptos" w:hAnsi="Arial" w:cs="Arial"/>
                <w:b/>
                <w:bCs/>
                <w:sz w:val="20"/>
                <w:szCs w:val="20"/>
                <w:lang w:val="sq-AL" w:eastAsia="en-US"/>
              </w:rPr>
            </w:pPr>
            <w:r w:rsidRPr="003E7289">
              <w:rPr>
                <w:rFonts w:ascii="Arial" w:eastAsia="Aptos" w:hAnsi="Arial" w:cs="Arial"/>
                <w:b/>
                <w:bCs/>
                <w:sz w:val="20"/>
                <w:szCs w:val="20"/>
                <w:lang w:val="sq-AL"/>
              </w:rPr>
              <w:t>2028</w:t>
            </w:r>
          </w:p>
        </w:tc>
        <w:tc>
          <w:tcPr>
            <w:tcW w:w="567" w:type="pct"/>
            <w:gridSpan w:val="2"/>
            <w:vMerge/>
            <w:shd w:val="clear" w:color="auto" w:fill="C6E7F6"/>
            <w:vAlign w:val="center"/>
          </w:tcPr>
          <w:p w14:paraId="16616D35" w14:textId="77777777" w:rsidR="00C632D0" w:rsidRPr="003E7289" w:rsidRDefault="00C632D0" w:rsidP="00C632D0">
            <w:pPr>
              <w:spacing w:before="0" w:line="240" w:lineRule="auto"/>
              <w:jc w:val="center"/>
              <w:rPr>
                <w:rFonts w:ascii="Arial" w:eastAsia="Aptos" w:hAnsi="Arial" w:cs="Arial"/>
                <w:b/>
                <w:bCs/>
                <w:sz w:val="20"/>
                <w:szCs w:val="20"/>
                <w:lang w:val="sq-AL" w:eastAsia="en-US"/>
              </w:rPr>
            </w:pPr>
          </w:p>
        </w:tc>
        <w:tc>
          <w:tcPr>
            <w:tcW w:w="686" w:type="pct"/>
            <w:vMerge/>
            <w:shd w:val="clear" w:color="auto" w:fill="C6E7F6"/>
            <w:vAlign w:val="center"/>
          </w:tcPr>
          <w:p w14:paraId="32A755B5" w14:textId="77777777" w:rsidR="00C632D0" w:rsidRPr="003E7289" w:rsidRDefault="00C632D0" w:rsidP="00C632D0">
            <w:pPr>
              <w:spacing w:before="0" w:line="240" w:lineRule="auto"/>
              <w:jc w:val="center"/>
              <w:rPr>
                <w:rFonts w:ascii="Arial" w:eastAsia="Aptos" w:hAnsi="Arial" w:cs="Arial"/>
                <w:b/>
                <w:bCs/>
                <w:sz w:val="20"/>
                <w:szCs w:val="20"/>
                <w:lang w:val="sq-AL" w:eastAsia="en-US"/>
              </w:rPr>
            </w:pPr>
          </w:p>
        </w:tc>
        <w:tc>
          <w:tcPr>
            <w:tcW w:w="545" w:type="pct"/>
            <w:gridSpan w:val="2"/>
            <w:vMerge/>
            <w:shd w:val="clear" w:color="auto" w:fill="C6E7F6"/>
            <w:vAlign w:val="center"/>
          </w:tcPr>
          <w:p w14:paraId="588FD738" w14:textId="77777777" w:rsidR="00C632D0" w:rsidRPr="003E7289" w:rsidRDefault="00C632D0" w:rsidP="00C632D0">
            <w:pPr>
              <w:spacing w:before="0" w:line="240" w:lineRule="auto"/>
              <w:jc w:val="center"/>
              <w:rPr>
                <w:rFonts w:ascii="Arial" w:eastAsia="Aptos" w:hAnsi="Arial" w:cs="Arial"/>
                <w:b/>
                <w:bCs/>
                <w:sz w:val="20"/>
                <w:szCs w:val="20"/>
                <w:lang w:val="sq-AL" w:eastAsia="en-US"/>
              </w:rPr>
            </w:pPr>
          </w:p>
        </w:tc>
        <w:tc>
          <w:tcPr>
            <w:tcW w:w="456" w:type="pct"/>
            <w:gridSpan w:val="2"/>
            <w:vMerge/>
            <w:shd w:val="clear" w:color="auto" w:fill="C6E7F6"/>
            <w:vAlign w:val="center"/>
          </w:tcPr>
          <w:p w14:paraId="214070B6" w14:textId="77777777" w:rsidR="00C632D0" w:rsidRPr="003E7289" w:rsidRDefault="00C632D0" w:rsidP="00C632D0">
            <w:pPr>
              <w:spacing w:before="0" w:line="240" w:lineRule="auto"/>
              <w:jc w:val="center"/>
              <w:rPr>
                <w:rFonts w:ascii="Arial" w:eastAsia="Aptos" w:hAnsi="Arial" w:cs="Arial"/>
                <w:b/>
                <w:bCs/>
                <w:sz w:val="20"/>
                <w:szCs w:val="20"/>
                <w:lang w:val="sq-AL" w:eastAsia="en-US"/>
              </w:rPr>
            </w:pPr>
          </w:p>
        </w:tc>
      </w:tr>
      <w:tr w:rsidR="00691972" w:rsidRPr="003E7289" w14:paraId="1FE43692" w14:textId="77777777" w:rsidTr="0039004D">
        <w:trPr>
          <w:trHeight w:val="367"/>
        </w:trPr>
        <w:tc>
          <w:tcPr>
            <w:tcW w:w="330" w:type="pct"/>
            <w:gridSpan w:val="2"/>
            <w:vAlign w:val="center"/>
          </w:tcPr>
          <w:p w14:paraId="2AA12772" w14:textId="6F842302" w:rsidR="00CC340D" w:rsidRPr="003E7289" w:rsidRDefault="00CC340D" w:rsidP="00CC340D">
            <w:pPr>
              <w:autoSpaceDE w:val="0"/>
              <w:autoSpaceDN w:val="0"/>
              <w:adjustRightInd w:val="0"/>
              <w:spacing w:before="0" w:line="240" w:lineRule="auto"/>
              <w:jc w:val="center"/>
              <w:rPr>
                <w:rFonts w:ascii="Arial" w:eastAsia="Yu Mincho" w:hAnsi="Arial" w:cs="Arial"/>
                <w:b/>
                <w:bCs/>
                <w:color w:val="000000"/>
                <w:sz w:val="20"/>
                <w:szCs w:val="20"/>
                <w:lang w:val="sq-AL"/>
              </w:rPr>
            </w:pPr>
            <w:r w:rsidRPr="003E7289">
              <w:rPr>
                <w:rFonts w:ascii="Arial" w:eastAsia="Yu Mincho" w:hAnsi="Arial" w:cs="Arial"/>
                <w:b/>
                <w:bCs/>
                <w:color w:val="000000"/>
                <w:sz w:val="20"/>
                <w:szCs w:val="20"/>
                <w:lang w:val="sq-AL"/>
              </w:rPr>
              <w:t>III.3</w:t>
            </w:r>
            <w:r w:rsidR="00E0225B" w:rsidRPr="003E7289">
              <w:rPr>
                <w:rFonts w:ascii="Arial" w:eastAsia="Yu Mincho" w:hAnsi="Arial" w:cs="Arial"/>
                <w:b/>
                <w:bCs/>
                <w:color w:val="000000"/>
                <w:sz w:val="20"/>
                <w:szCs w:val="20"/>
                <w:lang w:val="sq-AL"/>
              </w:rPr>
              <w:t>7</w:t>
            </w:r>
            <w:r w:rsidRPr="003E7289">
              <w:rPr>
                <w:rFonts w:ascii="Arial" w:eastAsia="Yu Mincho" w:hAnsi="Arial" w:cs="Arial"/>
                <w:b/>
                <w:bCs/>
                <w:color w:val="000000"/>
                <w:sz w:val="20"/>
                <w:szCs w:val="20"/>
                <w:lang w:val="sq-AL"/>
              </w:rPr>
              <w:t>.1</w:t>
            </w:r>
          </w:p>
        </w:tc>
        <w:tc>
          <w:tcPr>
            <w:tcW w:w="690" w:type="pct"/>
            <w:gridSpan w:val="3"/>
            <w:vAlign w:val="center"/>
          </w:tcPr>
          <w:p w14:paraId="03731131" w14:textId="4C1FD8E8" w:rsidR="00CC340D" w:rsidRPr="003E7289" w:rsidRDefault="0039004D" w:rsidP="0039004D">
            <w:pPr>
              <w:autoSpaceDE w:val="0"/>
              <w:autoSpaceDN w:val="0"/>
              <w:adjustRightInd w:val="0"/>
              <w:spacing w:before="0" w:line="240" w:lineRule="auto"/>
              <w:jc w:val="center"/>
              <w:rPr>
                <w:rFonts w:ascii="Arial" w:eastAsia="Yu Mincho" w:hAnsi="Arial" w:cs="Arial"/>
                <w:b/>
                <w:bCs/>
                <w:color w:val="000000"/>
                <w:sz w:val="20"/>
                <w:szCs w:val="20"/>
                <w:lang w:val="sq-AL"/>
              </w:rPr>
            </w:pPr>
            <w:r w:rsidRPr="003E7289">
              <w:rPr>
                <w:rFonts w:ascii="Arial" w:eastAsia="Yu Mincho" w:hAnsi="Arial" w:cs="Arial"/>
                <w:b/>
                <w:bCs/>
                <w:color w:val="000000"/>
                <w:sz w:val="20"/>
                <w:szCs w:val="20"/>
                <w:lang w:val="sq-AL"/>
              </w:rPr>
              <w:t>Krijimi i protokolleve të paralajmërimit të hershëm dhe hartës së rreziku</w:t>
            </w:r>
            <w:r w:rsidRPr="003E7289">
              <w:rPr>
                <w:rFonts w:ascii="Arial" w:eastAsia="Yu Mincho" w:hAnsi="Arial" w:cs="Arial"/>
                <w:b/>
                <w:bCs/>
                <w:color w:val="000000"/>
                <w:sz w:val="20"/>
                <w:szCs w:val="20"/>
                <w:lang w:val="sq-AL"/>
              </w:rPr>
              <w:lastRenderedPageBreak/>
              <w:t>t për zjarret në pyje në zonat me rrezik të lartë</w:t>
            </w:r>
          </w:p>
        </w:tc>
        <w:tc>
          <w:tcPr>
            <w:tcW w:w="602" w:type="pct"/>
            <w:gridSpan w:val="2"/>
            <w:vAlign w:val="center"/>
          </w:tcPr>
          <w:p w14:paraId="706730EE" w14:textId="77777777"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2028</w:t>
            </w:r>
          </w:p>
        </w:tc>
        <w:tc>
          <w:tcPr>
            <w:tcW w:w="339" w:type="pct"/>
            <w:gridSpan w:val="2"/>
            <w:vAlign w:val="center"/>
          </w:tcPr>
          <w:p w14:paraId="41CD1A24" w14:textId="0C55B85B"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900</w:t>
            </w:r>
            <w:r w:rsidRPr="003E7289">
              <w:rPr>
                <w:rFonts w:ascii="Arial" w:eastAsia="Aptos" w:hAnsi="Arial" w:cs="Arial"/>
                <w:sz w:val="20"/>
                <w:szCs w:val="20"/>
                <w:lang w:val="sq-AL" w:eastAsia="en-US"/>
              </w:rPr>
              <w:t>.</w:t>
            </w:r>
            <w:r w:rsidRPr="003E7289">
              <w:rPr>
                <w:rFonts w:ascii="Arial" w:eastAsia="Aptos" w:hAnsi="Arial" w:cs="Arial"/>
                <w:sz w:val="20"/>
                <w:szCs w:val="20"/>
                <w:lang w:val="sq-AL"/>
              </w:rPr>
              <w:t>000€</w:t>
            </w:r>
          </w:p>
        </w:tc>
        <w:tc>
          <w:tcPr>
            <w:tcW w:w="394" w:type="pct"/>
            <w:gridSpan w:val="3"/>
            <w:vAlign w:val="center"/>
          </w:tcPr>
          <w:p w14:paraId="74709E55"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392" w:type="pct"/>
            <w:gridSpan w:val="2"/>
            <w:vAlign w:val="center"/>
          </w:tcPr>
          <w:p w14:paraId="1F77191E"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567" w:type="pct"/>
            <w:gridSpan w:val="2"/>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9571E" w:rsidRPr="003E7289" w14:paraId="1EFD62DC" w14:textId="77777777" w:rsidTr="00D9571E">
              <w:trPr>
                <w:tblCellSpacing w:w="15" w:type="dxa"/>
              </w:trPr>
              <w:tc>
                <w:tcPr>
                  <w:tcW w:w="0" w:type="auto"/>
                  <w:vAlign w:val="center"/>
                  <w:hideMark/>
                </w:tcPr>
                <w:p w14:paraId="2AF548FA" w14:textId="77777777" w:rsidR="00D9571E" w:rsidRPr="003E7289" w:rsidRDefault="00D9571E" w:rsidP="00D9571E">
                  <w:pPr>
                    <w:spacing w:before="0" w:after="0" w:line="240" w:lineRule="auto"/>
                    <w:jc w:val="center"/>
                    <w:rPr>
                      <w:rFonts w:ascii="Arial" w:eastAsia="Aptos" w:hAnsi="Arial" w:cs="Arial"/>
                      <w:sz w:val="20"/>
                      <w:szCs w:val="20"/>
                      <w:lang w:val="sq-AL"/>
                    </w:rPr>
                  </w:pPr>
                </w:p>
              </w:tc>
            </w:tr>
          </w:tbl>
          <w:p w14:paraId="79C642B2" w14:textId="77777777" w:rsidR="00D9571E" w:rsidRPr="003E7289" w:rsidRDefault="00D9571E" w:rsidP="00D9571E">
            <w:pPr>
              <w:spacing w:before="0" w:line="240" w:lineRule="auto"/>
              <w:jc w:val="center"/>
              <w:rPr>
                <w:rFonts w:ascii="Arial" w:eastAsia="Aptos" w:hAnsi="Arial" w:cs="Arial"/>
                <w:vanish/>
                <w:sz w:val="20"/>
                <w:szCs w:val="20"/>
                <w:lang w:val="sq-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0"/>
            </w:tblGrid>
            <w:tr w:rsidR="00D9571E" w:rsidRPr="003E7289" w14:paraId="16F0740C" w14:textId="77777777" w:rsidTr="00D9571E">
              <w:trPr>
                <w:tblCellSpacing w:w="15" w:type="dxa"/>
              </w:trPr>
              <w:tc>
                <w:tcPr>
                  <w:tcW w:w="0" w:type="auto"/>
                  <w:vAlign w:val="center"/>
                  <w:hideMark/>
                </w:tcPr>
                <w:p w14:paraId="45F9B062" w14:textId="77777777" w:rsidR="00D9571E" w:rsidRPr="003E7289" w:rsidRDefault="00D9571E" w:rsidP="00D9571E">
                  <w:pPr>
                    <w:spacing w:before="0" w:after="0" w:line="240" w:lineRule="auto"/>
                    <w:jc w:val="center"/>
                    <w:rPr>
                      <w:rFonts w:ascii="Arial" w:eastAsia="Aptos" w:hAnsi="Arial" w:cs="Arial"/>
                      <w:sz w:val="20"/>
                      <w:szCs w:val="20"/>
                      <w:lang w:val="sq-AL"/>
                    </w:rPr>
                  </w:pPr>
                  <w:r w:rsidRPr="003E7289">
                    <w:rPr>
                      <w:rFonts w:ascii="Arial" w:eastAsia="Aptos" w:hAnsi="Arial" w:cs="Arial"/>
                      <w:sz w:val="20"/>
                      <w:szCs w:val="20"/>
                      <w:lang w:val="sq-AL"/>
                    </w:rPr>
                    <w:t>Buxheti Kombëtar</w:t>
                  </w:r>
                </w:p>
              </w:tc>
            </w:tr>
          </w:tbl>
          <w:p w14:paraId="370B5FA7" w14:textId="21A0BF09" w:rsidR="00CC340D" w:rsidRPr="003E7289" w:rsidRDefault="00D9571E" w:rsidP="00D9571E">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eastAsia="en-US"/>
              </w:rPr>
              <w:t xml:space="preserve"> </w:t>
            </w:r>
          </w:p>
        </w:tc>
        <w:tc>
          <w:tcPr>
            <w:tcW w:w="686" w:type="pct"/>
            <w:vAlign w:val="center"/>
          </w:tcPr>
          <w:p w14:paraId="4A6155A5" w14:textId="0D0146F5" w:rsidR="00CC340D" w:rsidRPr="003E7289" w:rsidRDefault="00D9571E" w:rsidP="00D9571E">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 xml:space="preserve">MBZHR, </w:t>
            </w:r>
            <w:r w:rsidR="00880E70" w:rsidRPr="003E7289">
              <w:rPr>
                <w:rFonts w:ascii="Arial" w:eastAsia="Aptos" w:hAnsi="Arial" w:cs="Arial"/>
                <w:sz w:val="20"/>
                <w:szCs w:val="20"/>
                <w:lang w:val="sq-AL"/>
              </w:rPr>
              <w:t xml:space="preserve">Agjencia e Menaxhimit Emergjent  </w:t>
            </w:r>
            <w:r w:rsidRPr="003E7289">
              <w:rPr>
                <w:rFonts w:ascii="Arial" w:eastAsia="Aptos" w:hAnsi="Arial" w:cs="Arial"/>
                <w:sz w:val="20"/>
                <w:szCs w:val="20"/>
                <w:lang w:val="sq-AL"/>
              </w:rPr>
              <w:t xml:space="preserve">, </w:t>
            </w:r>
            <w:r w:rsidRPr="003E7289">
              <w:rPr>
                <w:rFonts w:ascii="Arial" w:eastAsia="Aptos" w:hAnsi="Arial" w:cs="Arial"/>
                <w:sz w:val="20"/>
                <w:szCs w:val="20"/>
                <w:lang w:val="sq-AL"/>
              </w:rPr>
              <w:lastRenderedPageBreak/>
              <w:t>Agjencia e Pyjeve të Kosovës, komunat</w:t>
            </w:r>
          </w:p>
        </w:tc>
        <w:tc>
          <w:tcPr>
            <w:tcW w:w="545" w:type="pct"/>
            <w:gridSpan w:val="2"/>
            <w:vAlign w:val="center"/>
          </w:tcPr>
          <w:p w14:paraId="39DE222C" w14:textId="4D8DCE97" w:rsidR="00CC340D" w:rsidRPr="003E7289" w:rsidRDefault="00D9571E" w:rsidP="00D9571E">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Protokollet e paralajmërimit të hershëm dhe hartat e rrezi</w:t>
            </w:r>
            <w:r w:rsidRPr="003E7289">
              <w:rPr>
                <w:rFonts w:ascii="Arial" w:eastAsia="Aptos" w:hAnsi="Arial" w:cs="Arial"/>
                <w:sz w:val="20"/>
                <w:szCs w:val="20"/>
                <w:lang w:val="sq-AL"/>
              </w:rPr>
              <w:lastRenderedPageBreak/>
              <w:t xml:space="preserve">kut të zjarreve janë funksionale në të gjitha zonat e identifikuara me rrezik të lartë </w:t>
            </w:r>
          </w:p>
        </w:tc>
        <w:tc>
          <w:tcPr>
            <w:tcW w:w="456" w:type="pct"/>
            <w:gridSpan w:val="2"/>
            <w:vAlign w:val="center"/>
          </w:tcPr>
          <w:p w14:paraId="19D1C7A1" w14:textId="106AD25A" w:rsidR="00CC340D" w:rsidRPr="003E7289" w:rsidRDefault="0039004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Propozim i ri</w:t>
            </w:r>
          </w:p>
        </w:tc>
      </w:tr>
      <w:tr w:rsidR="00691972" w:rsidRPr="003E7289" w14:paraId="017C5132" w14:textId="77777777" w:rsidTr="0039004D">
        <w:trPr>
          <w:trHeight w:val="367"/>
        </w:trPr>
        <w:tc>
          <w:tcPr>
            <w:tcW w:w="330" w:type="pct"/>
            <w:gridSpan w:val="2"/>
            <w:vAlign w:val="center"/>
          </w:tcPr>
          <w:p w14:paraId="110E32AB" w14:textId="3B3FFE92" w:rsidR="00CC340D" w:rsidRPr="003E7289" w:rsidRDefault="00CC340D" w:rsidP="00CC340D">
            <w:pPr>
              <w:autoSpaceDE w:val="0"/>
              <w:autoSpaceDN w:val="0"/>
              <w:adjustRightInd w:val="0"/>
              <w:spacing w:before="0" w:line="240" w:lineRule="auto"/>
              <w:jc w:val="center"/>
              <w:rPr>
                <w:rFonts w:ascii="Arial" w:eastAsia="Yu Mincho" w:hAnsi="Arial" w:cs="Arial"/>
                <w:b/>
                <w:bCs/>
                <w:color w:val="000000"/>
                <w:sz w:val="20"/>
                <w:szCs w:val="20"/>
                <w:lang w:val="sq-AL"/>
              </w:rPr>
            </w:pPr>
            <w:r w:rsidRPr="003E7289">
              <w:rPr>
                <w:rFonts w:ascii="Arial" w:eastAsia="Yu Mincho" w:hAnsi="Arial" w:cs="Arial"/>
                <w:b/>
                <w:bCs/>
                <w:color w:val="000000"/>
                <w:sz w:val="20"/>
                <w:szCs w:val="20"/>
                <w:lang w:val="sq-AL"/>
              </w:rPr>
              <w:lastRenderedPageBreak/>
              <w:t>III.3</w:t>
            </w:r>
            <w:r w:rsidR="00E0225B" w:rsidRPr="003E7289">
              <w:rPr>
                <w:rFonts w:ascii="Arial" w:eastAsia="Yu Mincho" w:hAnsi="Arial" w:cs="Arial"/>
                <w:b/>
                <w:bCs/>
                <w:color w:val="000000"/>
                <w:sz w:val="20"/>
                <w:szCs w:val="20"/>
                <w:lang w:val="sq-AL"/>
              </w:rPr>
              <w:t>7</w:t>
            </w:r>
            <w:r w:rsidRPr="003E7289">
              <w:rPr>
                <w:rFonts w:ascii="Arial" w:eastAsia="Yu Mincho" w:hAnsi="Arial" w:cs="Arial"/>
                <w:b/>
                <w:bCs/>
                <w:color w:val="000000"/>
                <w:sz w:val="20"/>
                <w:szCs w:val="20"/>
                <w:lang w:val="sq-AL"/>
              </w:rPr>
              <w:t>.2</w:t>
            </w:r>
          </w:p>
        </w:tc>
        <w:tc>
          <w:tcPr>
            <w:tcW w:w="690" w:type="pct"/>
            <w:gridSpan w:val="3"/>
            <w:vAlign w:val="center"/>
          </w:tcPr>
          <w:p w14:paraId="68BA835D" w14:textId="2E4B9929" w:rsidR="00CC340D" w:rsidRPr="003E7289" w:rsidRDefault="00D9571E" w:rsidP="00D9571E">
            <w:pPr>
              <w:autoSpaceDE w:val="0"/>
              <w:autoSpaceDN w:val="0"/>
              <w:adjustRightInd w:val="0"/>
              <w:spacing w:before="0" w:line="240" w:lineRule="auto"/>
              <w:jc w:val="center"/>
              <w:rPr>
                <w:rFonts w:ascii="Arial" w:eastAsia="Yu Mincho" w:hAnsi="Arial" w:cs="Arial"/>
                <w:b/>
                <w:bCs/>
                <w:color w:val="000000"/>
                <w:sz w:val="20"/>
                <w:szCs w:val="20"/>
                <w:lang w:val="sq-AL"/>
              </w:rPr>
            </w:pPr>
            <w:r w:rsidRPr="003E7289">
              <w:rPr>
                <w:rFonts w:ascii="Arial" w:eastAsia="Yu Mincho" w:hAnsi="Arial" w:cs="Arial"/>
                <w:b/>
                <w:bCs/>
                <w:color w:val="000000"/>
                <w:sz w:val="20"/>
                <w:szCs w:val="20"/>
                <w:lang w:val="sq-AL"/>
              </w:rPr>
              <w:t>Vendosja e sensorëve të largët dhe sistemeve të monitorimit të zjarreve në pyje të lidhura me satelit në zonat prioritare</w:t>
            </w:r>
          </w:p>
        </w:tc>
        <w:tc>
          <w:tcPr>
            <w:tcW w:w="602" w:type="pct"/>
            <w:gridSpan w:val="2"/>
            <w:vAlign w:val="center"/>
          </w:tcPr>
          <w:p w14:paraId="564E7E4B" w14:textId="77777777"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2030</w:t>
            </w:r>
          </w:p>
        </w:tc>
        <w:tc>
          <w:tcPr>
            <w:tcW w:w="339" w:type="pct"/>
            <w:gridSpan w:val="2"/>
            <w:vAlign w:val="center"/>
          </w:tcPr>
          <w:p w14:paraId="1C4FF896"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394" w:type="pct"/>
            <w:gridSpan w:val="3"/>
            <w:vAlign w:val="center"/>
          </w:tcPr>
          <w:p w14:paraId="43005734" w14:textId="0D6B4EBF"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1</w:t>
            </w:r>
            <w:r w:rsidRPr="003E7289">
              <w:rPr>
                <w:rFonts w:ascii="Arial" w:eastAsia="Aptos" w:hAnsi="Arial" w:cs="Arial"/>
                <w:sz w:val="20"/>
                <w:szCs w:val="20"/>
                <w:lang w:val="sq-AL" w:eastAsia="en-US"/>
              </w:rPr>
              <w:t>.</w:t>
            </w:r>
            <w:r w:rsidRPr="003E7289">
              <w:rPr>
                <w:rFonts w:ascii="Arial" w:eastAsia="Aptos" w:hAnsi="Arial" w:cs="Arial"/>
                <w:sz w:val="20"/>
                <w:szCs w:val="20"/>
                <w:lang w:val="sq-AL"/>
              </w:rPr>
              <w:t>500</w:t>
            </w:r>
            <w:r w:rsidRPr="003E7289">
              <w:rPr>
                <w:rFonts w:ascii="Arial" w:eastAsia="Aptos" w:hAnsi="Arial" w:cs="Arial"/>
                <w:sz w:val="20"/>
                <w:szCs w:val="20"/>
                <w:lang w:val="sq-AL" w:eastAsia="en-US"/>
              </w:rPr>
              <w:t>.</w:t>
            </w:r>
            <w:r w:rsidRPr="003E7289">
              <w:rPr>
                <w:rFonts w:ascii="Arial" w:eastAsia="Aptos" w:hAnsi="Arial" w:cs="Arial"/>
                <w:sz w:val="20"/>
                <w:szCs w:val="20"/>
                <w:lang w:val="sq-AL"/>
              </w:rPr>
              <w:t>000€</w:t>
            </w:r>
          </w:p>
        </w:tc>
        <w:tc>
          <w:tcPr>
            <w:tcW w:w="392" w:type="pct"/>
            <w:gridSpan w:val="2"/>
            <w:vAlign w:val="center"/>
          </w:tcPr>
          <w:p w14:paraId="7F1E2F04"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567" w:type="pct"/>
            <w:gridSpan w:val="2"/>
            <w:vAlign w:val="center"/>
          </w:tcPr>
          <w:p w14:paraId="43FEB772" w14:textId="0C119414" w:rsidR="00CC340D" w:rsidRPr="003E7289" w:rsidRDefault="00D9571E" w:rsidP="00D9571E">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EU IPA III, Buxheti Kombëtar</w:t>
            </w:r>
          </w:p>
        </w:tc>
        <w:tc>
          <w:tcPr>
            <w:tcW w:w="686" w:type="pct"/>
            <w:vAlign w:val="center"/>
          </w:tcPr>
          <w:p w14:paraId="1DD06828" w14:textId="3B213C24" w:rsidR="00CC340D" w:rsidRPr="003E7289" w:rsidRDefault="00D9571E" w:rsidP="00D9571E">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 xml:space="preserve">MBZHR, </w:t>
            </w:r>
            <w:r w:rsidR="00880E70" w:rsidRPr="003E7289">
              <w:rPr>
                <w:rFonts w:ascii="Arial" w:eastAsia="Aptos" w:hAnsi="Arial" w:cs="Arial"/>
                <w:sz w:val="20"/>
                <w:szCs w:val="20"/>
                <w:lang w:val="sq-AL"/>
              </w:rPr>
              <w:t xml:space="preserve">Agjencia e Menaxhimit Emergjent  </w:t>
            </w:r>
            <w:r w:rsidRPr="003E7289">
              <w:rPr>
                <w:rFonts w:ascii="Arial" w:eastAsia="Aptos" w:hAnsi="Arial" w:cs="Arial"/>
                <w:sz w:val="20"/>
                <w:szCs w:val="20"/>
                <w:lang w:val="sq-AL"/>
              </w:rPr>
              <w:t>, Agjencia e Pyjeve të Kosovës, kom</w:t>
            </w:r>
            <w:r w:rsidRPr="003E7289">
              <w:rPr>
                <w:rFonts w:ascii="Arial" w:eastAsia="Aptos" w:hAnsi="Arial" w:cs="Arial"/>
                <w:sz w:val="20"/>
                <w:szCs w:val="20"/>
                <w:lang w:val="sq-AL"/>
              </w:rPr>
              <w:lastRenderedPageBreak/>
              <w:t>unat</w:t>
            </w:r>
            <w:r w:rsidR="00880E70" w:rsidRPr="003E7289">
              <w:rPr>
                <w:rFonts w:ascii="Arial" w:eastAsia="Aptos" w:hAnsi="Arial" w:cs="Arial"/>
                <w:sz w:val="20"/>
                <w:szCs w:val="20"/>
                <w:lang w:val="sq-AL"/>
              </w:rPr>
              <w:t>, MMPHI</w:t>
            </w:r>
          </w:p>
        </w:tc>
        <w:tc>
          <w:tcPr>
            <w:tcW w:w="545" w:type="pct"/>
            <w:gridSpan w:val="2"/>
            <w:vAlign w:val="center"/>
          </w:tcPr>
          <w:p w14:paraId="5F3894E8" w14:textId="70EA2FBA" w:rsidR="00CC340D" w:rsidRPr="003E7289" w:rsidRDefault="00D9571E" w:rsidP="00D9571E">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 xml:space="preserve">Sistemet automatike për zbulimin e zjarreve funksionale në të gjitha zonat me rrezik të lartë; bashkëpunim i </w:t>
            </w:r>
            <w:r w:rsidRPr="003E7289">
              <w:rPr>
                <w:rFonts w:ascii="Arial" w:eastAsia="Aptos" w:hAnsi="Arial" w:cs="Arial"/>
                <w:sz w:val="20"/>
                <w:szCs w:val="20"/>
                <w:lang w:val="sq-AL"/>
              </w:rPr>
              <w:lastRenderedPageBreak/>
              <w:t>përmirësuar me shërbimet emergjente</w:t>
            </w:r>
          </w:p>
        </w:tc>
        <w:tc>
          <w:tcPr>
            <w:tcW w:w="456" w:type="pct"/>
            <w:gridSpan w:val="2"/>
            <w:vAlign w:val="center"/>
          </w:tcPr>
          <w:p w14:paraId="18B561F9" w14:textId="45214159" w:rsidR="00CC340D" w:rsidRPr="003E7289" w:rsidRDefault="0039004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Propozim i ri</w:t>
            </w:r>
          </w:p>
        </w:tc>
      </w:tr>
      <w:tr w:rsidR="00691972" w:rsidRPr="003E7289" w14:paraId="7B197DF7" w14:textId="77777777" w:rsidTr="0039004D">
        <w:trPr>
          <w:trHeight w:val="367"/>
        </w:trPr>
        <w:tc>
          <w:tcPr>
            <w:tcW w:w="330" w:type="pct"/>
            <w:gridSpan w:val="2"/>
            <w:vAlign w:val="center"/>
          </w:tcPr>
          <w:p w14:paraId="1943A66F" w14:textId="21160C6B" w:rsidR="00CC340D" w:rsidRPr="003E7289" w:rsidRDefault="00CC340D" w:rsidP="00CC340D">
            <w:pPr>
              <w:autoSpaceDE w:val="0"/>
              <w:autoSpaceDN w:val="0"/>
              <w:adjustRightInd w:val="0"/>
              <w:spacing w:before="0" w:line="240" w:lineRule="auto"/>
              <w:jc w:val="center"/>
              <w:rPr>
                <w:rFonts w:ascii="Arial" w:eastAsia="Yu Mincho" w:hAnsi="Arial" w:cs="Arial"/>
                <w:b/>
                <w:bCs/>
                <w:color w:val="000000"/>
                <w:sz w:val="20"/>
                <w:szCs w:val="20"/>
                <w:lang w:val="sq-AL"/>
              </w:rPr>
            </w:pPr>
            <w:r w:rsidRPr="003E7289">
              <w:rPr>
                <w:rFonts w:ascii="Arial" w:eastAsia="Yu Mincho" w:hAnsi="Arial" w:cs="Arial"/>
                <w:b/>
                <w:bCs/>
                <w:color w:val="000000"/>
                <w:sz w:val="20"/>
                <w:szCs w:val="20"/>
                <w:lang w:val="sq-AL"/>
              </w:rPr>
              <w:lastRenderedPageBreak/>
              <w:t>III.3</w:t>
            </w:r>
            <w:r w:rsidR="00E0225B" w:rsidRPr="003E7289">
              <w:rPr>
                <w:rFonts w:ascii="Arial" w:eastAsia="Yu Mincho" w:hAnsi="Arial" w:cs="Arial"/>
                <w:b/>
                <w:bCs/>
                <w:color w:val="000000"/>
                <w:sz w:val="20"/>
                <w:szCs w:val="20"/>
                <w:lang w:val="sq-AL"/>
              </w:rPr>
              <w:t>7</w:t>
            </w:r>
            <w:r w:rsidRPr="003E7289">
              <w:rPr>
                <w:rFonts w:ascii="Arial" w:eastAsia="Yu Mincho" w:hAnsi="Arial" w:cs="Arial"/>
                <w:b/>
                <w:bCs/>
                <w:color w:val="000000"/>
                <w:sz w:val="20"/>
                <w:szCs w:val="20"/>
                <w:lang w:val="sq-AL"/>
              </w:rPr>
              <w:t>.3</w:t>
            </w:r>
          </w:p>
        </w:tc>
        <w:tc>
          <w:tcPr>
            <w:tcW w:w="690" w:type="pct"/>
            <w:gridSpan w:val="3"/>
            <w:vAlign w:val="center"/>
          </w:tcPr>
          <w:p w14:paraId="5354BDCD" w14:textId="55B11355" w:rsidR="00CC340D" w:rsidRPr="003E7289" w:rsidRDefault="00D9571E" w:rsidP="00D9571E">
            <w:pPr>
              <w:autoSpaceDE w:val="0"/>
              <w:autoSpaceDN w:val="0"/>
              <w:adjustRightInd w:val="0"/>
              <w:spacing w:before="0" w:line="240" w:lineRule="auto"/>
              <w:jc w:val="center"/>
              <w:rPr>
                <w:rFonts w:ascii="Arial" w:eastAsia="Yu Mincho" w:hAnsi="Arial" w:cs="Arial"/>
                <w:b/>
                <w:bCs/>
                <w:color w:val="000000"/>
                <w:sz w:val="20"/>
                <w:szCs w:val="20"/>
                <w:lang w:val="sq-AL"/>
              </w:rPr>
            </w:pPr>
            <w:r w:rsidRPr="003E7289">
              <w:rPr>
                <w:rFonts w:ascii="Arial" w:eastAsia="Yu Mincho" w:hAnsi="Arial" w:cs="Arial"/>
                <w:b/>
                <w:bCs/>
                <w:color w:val="000000"/>
                <w:sz w:val="20"/>
                <w:szCs w:val="20"/>
                <w:lang w:val="sq-AL"/>
              </w:rPr>
              <w:t>Integrimi i paralajmërimit të hershëm për zjarre në pyje në sistemin kombëtar për zvogëlimin e rrezikut nga fatkeqësitë dhe simulimi i reagimit</w:t>
            </w:r>
          </w:p>
        </w:tc>
        <w:tc>
          <w:tcPr>
            <w:tcW w:w="602" w:type="pct"/>
            <w:gridSpan w:val="2"/>
            <w:vAlign w:val="center"/>
          </w:tcPr>
          <w:p w14:paraId="75023FC4" w14:textId="77777777"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2032</w:t>
            </w:r>
          </w:p>
        </w:tc>
        <w:tc>
          <w:tcPr>
            <w:tcW w:w="339" w:type="pct"/>
            <w:gridSpan w:val="2"/>
            <w:vAlign w:val="center"/>
          </w:tcPr>
          <w:p w14:paraId="72554613"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394" w:type="pct"/>
            <w:gridSpan w:val="3"/>
            <w:vAlign w:val="center"/>
          </w:tcPr>
          <w:p w14:paraId="4C6E3B1E" w14:textId="77777777" w:rsidR="00CC340D" w:rsidRPr="003E7289" w:rsidRDefault="00CC340D" w:rsidP="00CC340D">
            <w:pPr>
              <w:spacing w:before="0" w:line="240" w:lineRule="auto"/>
              <w:jc w:val="center"/>
              <w:rPr>
                <w:rFonts w:ascii="Arial" w:eastAsia="Aptos" w:hAnsi="Arial" w:cs="Arial"/>
                <w:sz w:val="20"/>
                <w:szCs w:val="20"/>
                <w:lang w:val="sq-AL" w:eastAsia="en-US"/>
              </w:rPr>
            </w:pPr>
          </w:p>
        </w:tc>
        <w:tc>
          <w:tcPr>
            <w:tcW w:w="392" w:type="pct"/>
            <w:gridSpan w:val="2"/>
            <w:vAlign w:val="center"/>
          </w:tcPr>
          <w:p w14:paraId="3BDEBD40" w14:textId="117299DB" w:rsidR="00CC340D" w:rsidRPr="003E7289" w:rsidRDefault="00CC340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1</w:t>
            </w:r>
            <w:r w:rsidRPr="003E7289">
              <w:rPr>
                <w:rFonts w:ascii="Arial" w:eastAsia="Aptos" w:hAnsi="Arial" w:cs="Arial"/>
                <w:sz w:val="20"/>
                <w:szCs w:val="20"/>
                <w:lang w:val="sq-AL" w:eastAsia="en-US"/>
              </w:rPr>
              <w:t>.</w:t>
            </w:r>
            <w:r w:rsidRPr="003E7289">
              <w:rPr>
                <w:rFonts w:ascii="Arial" w:eastAsia="Aptos" w:hAnsi="Arial" w:cs="Arial"/>
                <w:sz w:val="20"/>
                <w:szCs w:val="20"/>
                <w:lang w:val="sq-AL"/>
              </w:rPr>
              <w:t>300</w:t>
            </w:r>
            <w:r w:rsidRPr="003E7289">
              <w:rPr>
                <w:rFonts w:ascii="Arial" w:eastAsia="Aptos" w:hAnsi="Arial" w:cs="Arial"/>
                <w:sz w:val="20"/>
                <w:szCs w:val="20"/>
                <w:lang w:val="sq-AL" w:eastAsia="en-US"/>
              </w:rPr>
              <w:t>.</w:t>
            </w:r>
            <w:r w:rsidRPr="003E7289">
              <w:rPr>
                <w:rFonts w:ascii="Arial" w:eastAsia="Aptos" w:hAnsi="Arial" w:cs="Arial"/>
                <w:sz w:val="20"/>
                <w:szCs w:val="20"/>
                <w:lang w:val="sq-AL"/>
              </w:rPr>
              <w:t>000€</w:t>
            </w:r>
          </w:p>
        </w:tc>
        <w:tc>
          <w:tcPr>
            <w:tcW w:w="567" w:type="pct"/>
            <w:gridSpan w:val="2"/>
            <w:vAlign w:val="center"/>
          </w:tcPr>
          <w:p w14:paraId="6B0F016F" w14:textId="4641C229" w:rsidR="00CC340D" w:rsidRPr="003E7289" w:rsidRDefault="00D9571E" w:rsidP="00D9571E">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EU IPA III, Buxheti Kombëtar</w:t>
            </w:r>
          </w:p>
        </w:tc>
        <w:tc>
          <w:tcPr>
            <w:tcW w:w="686" w:type="pct"/>
            <w:vAlign w:val="center"/>
          </w:tcPr>
          <w:p w14:paraId="39B70094" w14:textId="64FD1656" w:rsidR="00CC340D" w:rsidRPr="003E7289" w:rsidRDefault="00D9571E" w:rsidP="00D9571E">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 xml:space="preserve">MBZHR, </w:t>
            </w:r>
            <w:r w:rsidR="00880E70" w:rsidRPr="003E7289">
              <w:rPr>
                <w:rFonts w:ascii="Arial" w:eastAsia="Aptos" w:hAnsi="Arial" w:cs="Arial"/>
                <w:sz w:val="20"/>
                <w:szCs w:val="20"/>
                <w:lang w:val="sq-AL"/>
              </w:rPr>
              <w:t xml:space="preserve">Agjencia e Menaxhimit Emergjent </w:t>
            </w:r>
            <w:r w:rsidRPr="003E7289">
              <w:rPr>
                <w:rFonts w:ascii="Arial" w:eastAsia="Aptos" w:hAnsi="Arial" w:cs="Arial"/>
                <w:sz w:val="20"/>
                <w:szCs w:val="20"/>
                <w:lang w:val="sq-AL"/>
              </w:rPr>
              <w:t>, Agjencia e Pyjeve të Kosovës, komunat</w:t>
            </w:r>
            <w:r w:rsidR="00880E70" w:rsidRPr="003E7289">
              <w:rPr>
                <w:rFonts w:ascii="Arial" w:eastAsia="Aptos" w:hAnsi="Arial" w:cs="Arial"/>
                <w:sz w:val="20"/>
                <w:szCs w:val="20"/>
                <w:lang w:val="sq-AL"/>
              </w:rPr>
              <w:t>, IHMK</w:t>
            </w:r>
          </w:p>
        </w:tc>
        <w:tc>
          <w:tcPr>
            <w:tcW w:w="545" w:type="pct"/>
            <w:gridSpan w:val="2"/>
            <w:vAlign w:val="center"/>
          </w:tcPr>
          <w:p w14:paraId="3C9DEDFB" w14:textId="36FC5255" w:rsidR="00CC340D" w:rsidRPr="003E7289" w:rsidRDefault="00D9571E" w:rsidP="00D9571E">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 xml:space="preserve">Sistemi i integruar për paralajmërim të hershëm për zjarre funksional nën strategjinë kombëtare, me protokolle të testuara të reagimit </w:t>
            </w:r>
            <w:r w:rsidRPr="003E7289">
              <w:rPr>
                <w:rFonts w:ascii="Arial" w:eastAsia="Aptos" w:hAnsi="Arial" w:cs="Arial"/>
                <w:sz w:val="20"/>
                <w:szCs w:val="20"/>
                <w:lang w:val="sq-AL"/>
              </w:rPr>
              <w:lastRenderedPageBreak/>
              <w:t>dhe vonesë minimale nga zbulimi në ndërhyrje</w:t>
            </w:r>
            <w:r w:rsidR="00CC340D" w:rsidRPr="003E7289">
              <w:rPr>
                <w:rFonts w:ascii="Arial" w:eastAsia="Aptos" w:hAnsi="Arial" w:cs="Arial"/>
                <w:sz w:val="20"/>
                <w:szCs w:val="20"/>
                <w:lang w:val="sq-AL"/>
              </w:rPr>
              <w:t>.</w:t>
            </w:r>
          </w:p>
        </w:tc>
        <w:tc>
          <w:tcPr>
            <w:tcW w:w="456" w:type="pct"/>
            <w:gridSpan w:val="2"/>
            <w:vAlign w:val="center"/>
          </w:tcPr>
          <w:p w14:paraId="11BF8337" w14:textId="2831F548" w:rsidR="00CC340D" w:rsidRPr="003E7289" w:rsidRDefault="0039004D" w:rsidP="00CC340D">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lastRenderedPageBreak/>
              <w:t>Propozim i ri</w:t>
            </w:r>
          </w:p>
        </w:tc>
      </w:tr>
      <w:tr w:rsidR="00A402D1" w:rsidRPr="003E7289" w14:paraId="5701313D" w14:textId="77777777" w:rsidTr="0039004D">
        <w:trPr>
          <w:trHeight w:val="367"/>
        </w:trPr>
        <w:tc>
          <w:tcPr>
            <w:tcW w:w="1019" w:type="pct"/>
            <w:gridSpan w:val="5"/>
            <w:shd w:val="clear" w:color="auto" w:fill="C6E7F6"/>
            <w:vAlign w:val="center"/>
          </w:tcPr>
          <w:p w14:paraId="1C025449" w14:textId="65E7357E" w:rsidR="00C63DE6" w:rsidRPr="003E7289" w:rsidRDefault="00C63DE6" w:rsidP="00C63DE6">
            <w:pPr>
              <w:autoSpaceDE w:val="0"/>
              <w:autoSpaceDN w:val="0"/>
              <w:adjustRightInd w:val="0"/>
              <w:spacing w:before="0" w:line="240" w:lineRule="auto"/>
              <w:rPr>
                <w:rFonts w:ascii="Arial" w:eastAsia="Yu Mincho" w:hAnsi="Arial" w:cs="Arial"/>
                <w:b/>
                <w:bCs/>
                <w:color w:val="000000"/>
                <w:sz w:val="20"/>
                <w:szCs w:val="20"/>
                <w:lang w:val="sq-AL"/>
              </w:rPr>
            </w:pPr>
            <w:r w:rsidRPr="003E7289">
              <w:rPr>
                <w:rFonts w:ascii="Arial" w:eastAsia="Aptos" w:hAnsi="Arial" w:cs="Arial"/>
                <w:b/>
                <w:bCs/>
                <w:sz w:val="20"/>
                <w:szCs w:val="20"/>
                <w:lang w:val="sq-AL"/>
              </w:rPr>
              <w:lastRenderedPageBreak/>
              <w:t>Buxheti total për Objektivin specifik III.3</w:t>
            </w:r>
            <w:r w:rsidR="00E0225B" w:rsidRPr="003E7289">
              <w:rPr>
                <w:rFonts w:ascii="Arial" w:eastAsia="Aptos" w:hAnsi="Arial" w:cs="Arial"/>
                <w:b/>
                <w:bCs/>
                <w:sz w:val="20"/>
                <w:szCs w:val="20"/>
                <w:lang w:val="sq-AL"/>
              </w:rPr>
              <w:t>7</w:t>
            </w:r>
            <w:r w:rsidRPr="003E7289">
              <w:rPr>
                <w:rFonts w:ascii="Arial" w:eastAsia="Aptos" w:hAnsi="Arial" w:cs="Arial"/>
                <w:b/>
                <w:bCs/>
                <w:sz w:val="20"/>
                <w:szCs w:val="20"/>
                <w:lang w:val="sq-AL"/>
              </w:rPr>
              <w:t>:</w:t>
            </w:r>
          </w:p>
        </w:tc>
        <w:tc>
          <w:tcPr>
            <w:tcW w:w="3981" w:type="pct"/>
            <w:gridSpan w:val="16"/>
            <w:vAlign w:val="center"/>
          </w:tcPr>
          <w:p w14:paraId="20682932" w14:textId="77777777" w:rsidR="00C63DE6" w:rsidRPr="003E7289" w:rsidRDefault="00C63DE6" w:rsidP="00C63DE6">
            <w:pPr>
              <w:spacing w:before="0" w:line="240" w:lineRule="auto"/>
              <w:jc w:val="center"/>
              <w:rPr>
                <w:rFonts w:ascii="Arial" w:eastAsia="Aptos" w:hAnsi="Arial" w:cs="Arial"/>
                <w:sz w:val="20"/>
                <w:szCs w:val="20"/>
                <w:lang w:val="sq-AL" w:eastAsia="en-US"/>
              </w:rPr>
            </w:pPr>
            <w:r w:rsidRPr="003E7289">
              <w:rPr>
                <w:rFonts w:ascii="Arial" w:eastAsia="Aptos" w:hAnsi="Arial" w:cs="Arial"/>
                <w:sz w:val="20"/>
                <w:szCs w:val="20"/>
                <w:lang w:val="sq-AL"/>
              </w:rPr>
              <w:t>3.700.000 €</w:t>
            </w:r>
          </w:p>
        </w:tc>
      </w:tr>
      <w:tr w:rsidR="00A402D1" w:rsidRPr="003E7289" w14:paraId="4EE204C9" w14:textId="77777777" w:rsidTr="0039004D">
        <w:trPr>
          <w:trHeight w:val="367"/>
        </w:trPr>
        <w:tc>
          <w:tcPr>
            <w:tcW w:w="1019" w:type="pct"/>
            <w:gridSpan w:val="5"/>
            <w:shd w:val="clear" w:color="auto" w:fill="C6E7F6"/>
          </w:tcPr>
          <w:p w14:paraId="63CAD556" w14:textId="1B79B7FD" w:rsidR="00C63DE6" w:rsidRPr="003E7289" w:rsidRDefault="00C63DE6" w:rsidP="00C63DE6">
            <w:pPr>
              <w:autoSpaceDE w:val="0"/>
              <w:autoSpaceDN w:val="0"/>
              <w:adjustRightInd w:val="0"/>
              <w:spacing w:before="0" w:line="240" w:lineRule="auto"/>
              <w:rPr>
                <w:rFonts w:ascii="Arial" w:eastAsia="Yu Mincho" w:hAnsi="Arial" w:cs="Arial"/>
                <w:b/>
                <w:bCs/>
                <w:color w:val="000000"/>
                <w:sz w:val="20"/>
                <w:szCs w:val="20"/>
                <w:lang w:val="sq-AL"/>
              </w:rPr>
            </w:pPr>
            <w:r w:rsidRPr="003E7289">
              <w:rPr>
                <w:rFonts w:ascii="Arial" w:eastAsia="Aptos" w:hAnsi="Arial" w:cs="Arial"/>
                <w:b/>
                <w:bCs/>
                <w:sz w:val="20"/>
                <w:szCs w:val="20"/>
                <w:lang w:val="sq-AL"/>
              </w:rPr>
              <w:t>Nga kjo, kapital:</w:t>
            </w:r>
          </w:p>
        </w:tc>
        <w:tc>
          <w:tcPr>
            <w:tcW w:w="3981" w:type="pct"/>
            <w:gridSpan w:val="16"/>
            <w:vAlign w:val="center"/>
          </w:tcPr>
          <w:p w14:paraId="77673ED2" w14:textId="5021CE36" w:rsidR="00C63DE6" w:rsidRPr="003E7289" w:rsidRDefault="00C63DE6" w:rsidP="00C63DE6">
            <w:pPr>
              <w:spacing w:before="0" w:line="240" w:lineRule="auto"/>
              <w:jc w:val="center"/>
              <w:rPr>
                <w:rFonts w:ascii="Arial" w:eastAsia="Aptos" w:hAnsi="Arial" w:cs="Arial"/>
                <w:b/>
                <w:bCs/>
                <w:sz w:val="20"/>
                <w:szCs w:val="20"/>
                <w:lang w:val="sq-AL" w:eastAsia="en-US"/>
              </w:rPr>
            </w:pPr>
            <w:r w:rsidRPr="003E7289">
              <w:rPr>
                <w:rFonts w:ascii="Arial" w:eastAsia="Aptos" w:hAnsi="Arial" w:cs="Arial"/>
                <w:sz w:val="20"/>
                <w:szCs w:val="20"/>
                <w:lang w:val="sq-AL"/>
              </w:rPr>
              <w:t>2.800.000 €</w:t>
            </w:r>
          </w:p>
        </w:tc>
      </w:tr>
      <w:tr w:rsidR="00A402D1" w:rsidRPr="003E7289" w14:paraId="1C945EFD" w14:textId="77777777" w:rsidTr="0039004D">
        <w:trPr>
          <w:trHeight w:val="367"/>
        </w:trPr>
        <w:tc>
          <w:tcPr>
            <w:tcW w:w="1019" w:type="pct"/>
            <w:gridSpan w:val="5"/>
            <w:shd w:val="clear" w:color="auto" w:fill="C6E7F6"/>
          </w:tcPr>
          <w:p w14:paraId="4FDE6EA8" w14:textId="7BEAAC6C" w:rsidR="00C63DE6" w:rsidRPr="003E7289" w:rsidRDefault="00C63DE6" w:rsidP="00C63DE6">
            <w:pPr>
              <w:autoSpaceDE w:val="0"/>
              <w:autoSpaceDN w:val="0"/>
              <w:adjustRightInd w:val="0"/>
              <w:spacing w:before="0" w:line="240" w:lineRule="auto"/>
              <w:rPr>
                <w:rFonts w:ascii="Arial" w:eastAsia="Yu Mincho" w:hAnsi="Arial" w:cs="Arial"/>
                <w:b/>
                <w:bCs/>
                <w:color w:val="000000"/>
                <w:sz w:val="20"/>
                <w:szCs w:val="20"/>
                <w:lang w:val="sq-AL"/>
              </w:rPr>
            </w:pPr>
            <w:r w:rsidRPr="003E7289">
              <w:rPr>
                <w:rFonts w:ascii="Arial" w:eastAsia="Aptos" w:hAnsi="Arial" w:cs="Arial"/>
                <w:b/>
                <w:bCs/>
                <w:sz w:val="20"/>
                <w:szCs w:val="20"/>
                <w:lang w:val="sq-AL"/>
              </w:rPr>
              <w:t>Nga kjo, shpenzime korrente:</w:t>
            </w:r>
          </w:p>
        </w:tc>
        <w:tc>
          <w:tcPr>
            <w:tcW w:w="3981" w:type="pct"/>
            <w:gridSpan w:val="16"/>
            <w:vAlign w:val="center"/>
          </w:tcPr>
          <w:p w14:paraId="2348027E" w14:textId="5FCCF913" w:rsidR="00C63DE6" w:rsidRPr="003E7289" w:rsidRDefault="00C63DE6" w:rsidP="00C63DE6">
            <w:pPr>
              <w:spacing w:before="0" w:line="240" w:lineRule="auto"/>
              <w:jc w:val="center"/>
              <w:rPr>
                <w:rFonts w:ascii="Arial" w:eastAsia="Aptos" w:hAnsi="Arial" w:cs="Arial"/>
                <w:b/>
                <w:bCs/>
                <w:sz w:val="20"/>
                <w:szCs w:val="20"/>
                <w:lang w:val="sq-AL" w:eastAsia="en-US"/>
              </w:rPr>
            </w:pPr>
            <w:r w:rsidRPr="003E7289">
              <w:rPr>
                <w:rFonts w:ascii="Arial" w:eastAsia="Aptos" w:hAnsi="Arial" w:cs="Arial"/>
                <w:sz w:val="20"/>
                <w:szCs w:val="20"/>
                <w:lang w:val="sq-AL"/>
              </w:rPr>
              <w:t>900.000 €</w:t>
            </w:r>
          </w:p>
        </w:tc>
      </w:tr>
    </w:tbl>
    <w:p w14:paraId="78C9842C" w14:textId="77777777" w:rsidR="008531FD" w:rsidRPr="003E7289" w:rsidRDefault="008531FD" w:rsidP="008531FD">
      <w:pPr>
        <w:rPr>
          <w:rFonts w:ascii="Arial" w:hAnsi="Arial" w:cs="Arial"/>
          <w:lang w:val="sq-AL"/>
        </w:rPr>
      </w:pPr>
      <w:bookmarkStart w:id="133" w:name="_Annex_IV:_Health"/>
      <w:bookmarkEnd w:id="133"/>
    </w:p>
    <w:p w14:paraId="7371AA78" w14:textId="77777777" w:rsidR="008531FD" w:rsidRPr="003E7289" w:rsidRDefault="008531FD">
      <w:pPr>
        <w:spacing w:before="0" w:line="278" w:lineRule="auto"/>
        <w:rPr>
          <w:rFonts w:ascii="Arial" w:eastAsiaTheme="majorEastAsia" w:hAnsi="Arial" w:cs="Arial"/>
          <w:b/>
          <w:bCs/>
          <w:color w:val="22635D"/>
          <w:sz w:val="40"/>
          <w:szCs w:val="40"/>
          <w:lang w:val="sq-AL"/>
        </w:rPr>
      </w:pPr>
      <w:r w:rsidRPr="003E7289">
        <w:rPr>
          <w:rFonts w:ascii="Arial" w:hAnsi="Arial" w:cs="Arial"/>
          <w:b/>
          <w:bCs/>
          <w:color w:val="22635D"/>
          <w:lang w:val="sq-AL"/>
        </w:rPr>
        <w:br w:type="page"/>
      </w:r>
    </w:p>
    <w:p w14:paraId="74FA94F0" w14:textId="6042B7FE" w:rsidR="00721CEA" w:rsidRPr="003E7289" w:rsidRDefault="00D9571E" w:rsidP="000A2344">
      <w:pPr>
        <w:pStyle w:val="Heading1"/>
        <w:rPr>
          <w:rFonts w:ascii="Arial" w:hAnsi="Arial" w:cs="Arial"/>
          <w:b/>
          <w:bCs/>
          <w:color w:val="22635D"/>
          <w:lang w:val="sq-AL"/>
        </w:rPr>
      </w:pPr>
      <w:bookmarkStart w:id="134" w:name="_Ref203472620"/>
      <w:bookmarkStart w:id="135" w:name="_Toc211532728"/>
      <w:r w:rsidRPr="003E7289">
        <w:rPr>
          <w:rFonts w:ascii="Arial" w:hAnsi="Arial" w:cs="Arial"/>
          <w:b/>
          <w:bCs/>
          <w:color w:val="22635D"/>
          <w:lang w:val="sq-AL"/>
        </w:rPr>
        <w:lastRenderedPageBreak/>
        <w:t>Shtojca IV: Plani i Veprimit për Përshtatjen e Sektorit të Shëndetësisë dhe Socia</w:t>
      </w:r>
      <w:bookmarkEnd w:id="134"/>
      <w:r w:rsidRPr="003E7289">
        <w:rPr>
          <w:rFonts w:ascii="Arial" w:hAnsi="Arial" w:cs="Arial"/>
          <w:b/>
          <w:bCs/>
          <w:color w:val="22635D"/>
          <w:lang w:val="sq-AL"/>
        </w:rPr>
        <w:t>l</w:t>
      </w:r>
      <w:bookmarkEnd w:id="135"/>
    </w:p>
    <w:p w14:paraId="6E8D4127" w14:textId="14E3B36E" w:rsidR="003769F4" w:rsidRPr="003E7289" w:rsidRDefault="00670674" w:rsidP="0097040B">
      <w:pPr>
        <w:pStyle w:val="Caption"/>
        <w:spacing w:after="0"/>
        <w:jc w:val="right"/>
        <w:rPr>
          <w:rFonts w:ascii="Arial" w:hAnsi="Arial" w:cs="Arial"/>
          <w:color w:val="auto"/>
          <w:lang w:val="sq-AL"/>
        </w:rPr>
      </w:pPr>
      <w:r w:rsidRPr="003E7289">
        <w:rPr>
          <w:rFonts w:ascii="Arial" w:hAnsi="Arial" w:cs="Arial"/>
          <w:color w:val="auto"/>
          <w:lang w:val="sq-AL"/>
        </w:rPr>
        <w:t>MMPHI</w:t>
      </w:r>
      <w:r w:rsidR="008E2C5E" w:rsidRPr="003E7289">
        <w:rPr>
          <w:rFonts w:ascii="Arial" w:hAnsi="Arial" w:cs="Arial"/>
          <w:color w:val="auto"/>
          <w:lang w:val="sq-AL"/>
        </w:rPr>
        <w:t>, 2025</w:t>
      </w:r>
      <w:r w:rsidR="003769F4" w:rsidRPr="003E7289">
        <w:rPr>
          <w:rFonts w:ascii="Arial" w:hAnsi="Arial" w:cs="Arial"/>
          <w:color w:val="auto"/>
          <w:lang w:val="sq-AL"/>
        </w:rPr>
        <w:t>.</w:t>
      </w:r>
    </w:p>
    <w:p w14:paraId="389D4239" w14:textId="51DF4B94" w:rsidR="0097040B" w:rsidRPr="003E7289" w:rsidRDefault="0097040B" w:rsidP="00C65386">
      <w:pPr>
        <w:pStyle w:val="Caption"/>
        <w:keepNext/>
        <w:rPr>
          <w:rFonts w:ascii="Arial" w:hAnsi="Arial" w:cs="Arial"/>
        </w:rPr>
      </w:pPr>
      <w:bookmarkStart w:id="136" w:name="_Toc211532739"/>
      <w:r w:rsidRPr="003E7289">
        <w:rPr>
          <w:rFonts w:ascii="Arial" w:hAnsi="Arial" w:cs="Arial"/>
        </w:rPr>
        <w:t xml:space="preserve">Tabela </w:t>
      </w:r>
      <w:r w:rsidRPr="003E7289">
        <w:rPr>
          <w:rFonts w:ascii="Arial" w:hAnsi="Arial" w:cs="Arial"/>
        </w:rPr>
        <w:fldChar w:fldCharType="begin"/>
      </w:r>
      <w:r w:rsidRPr="003E7289">
        <w:rPr>
          <w:rFonts w:ascii="Arial" w:hAnsi="Arial" w:cs="Arial"/>
        </w:rPr>
        <w:instrText xml:space="preserve"> SEQ Tabela \* ARABIC </w:instrText>
      </w:r>
      <w:r w:rsidRPr="003E7289">
        <w:rPr>
          <w:rFonts w:ascii="Arial" w:hAnsi="Arial" w:cs="Arial"/>
        </w:rPr>
        <w:fldChar w:fldCharType="separate"/>
      </w:r>
      <w:r w:rsidR="00C62DE9">
        <w:rPr>
          <w:rFonts w:ascii="Arial" w:hAnsi="Arial" w:cs="Arial"/>
          <w:noProof/>
        </w:rPr>
        <w:t>12</w:t>
      </w:r>
      <w:r w:rsidRPr="003E7289">
        <w:rPr>
          <w:rFonts w:ascii="Arial" w:hAnsi="Arial" w:cs="Arial"/>
          <w:noProof/>
        </w:rPr>
        <w:fldChar w:fldCharType="end"/>
      </w:r>
      <w:r w:rsidRPr="003E7289">
        <w:rPr>
          <w:rFonts w:ascii="Arial" w:hAnsi="Arial" w:cs="Arial"/>
        </w:rPr>
        <w:t>. Plani i Veprimit për Sektorin e Shëndetësisë dhe Social. Burimi: MMPHI, 2025.</w:t>
      </w:r>
      <w:bookmarkEnd w:id="136"/>
    </w:p>
    <w:tbl>
      <w:tblPr>
        <w:tblStyle w:val="TableGrid"/>
        <w:tblW w:w="15168" w:type="dxa"/>
        <w:tblInd w:w="-5" w:type="dxa"/>
        <w:tblBorders>
          <w:top w:val="single" w:sz="4" w:space="0" w:color="0F4761"/>
          <w:left w:val="single" w:sz="4" w:space="0" w:color="0F4761"/>
          <w:bottom w:val="single" w:sz="4" w:space="0" w:color="0F4761"/>
          <w:right w:val="single" w:sz="4" w:space="0" w:color="0F4761"/>
          <w:insideH w:val="single" w:sz="4" w:space="0" w:color="0F4761"/>
          <w:insideV w:val="single" w:sz="4" w:space="0" w:color="0F4761"/>
        </w:tblBorders>
        <w:tblLayout w:type="fixed"/>
        <w:tblLook w:val="04A0" w:firstRow="1" w:lastRow="0" w:firstColumn="1" w:lastColumn="0" w:noHBand="0" w:noVBand="1"/>
      </w:tblPr>
      <w:tblGrid>
        <w:gridCol w:w="993"/>
        <w:gridCol w:w="1978"/>
        <w:gridCol w:w="6"/>
        <w:gridCol w:w="1701"/>
        <w:gridCol w:w="851"/>
        <w:gridCol w:w="992"/>
        <w:gridCol w:w="850"/>
        <w:gridCol w:w="1560"/>
        <w:gridCol w:w="1417"/>
        <w:gridCol w:w="1276"/>
        <w:gridCol w:w="3544"/>
      </w:tblGrid>
      <w:tr w:rsidR="00D617FD" w:rsidRPr="003E7289" w14:paraId="06F11980" w14:textId="77777777" w:rsidTr="00A70686">
        <w:tc>
          <w:tcPr>
            <w:tcW w:w="993" w:type="dxa"/>
            <w:shd w:val="clear" w:color="auto" w:fill="22635D"/>
            <w:vAlign w:val="center"/>
          </w:tcPr>
          <w:p w14:paraId="07817AA3" w14:textId="232F794B" w:rsidR="00D617FD" w:rsidRPr="003E7289" w:rsidRDefault="00D617FD" w:rsidP="00D617FD">
            <w:pPr>
              <w:pStyle w:val="Default"/>
              <w:jc w:val="center"/>
              <w:rPr>
                <w:rFonts w:ascii="Arial" w:eastAsiaTheme="minorHAnsi" w:hAnsi="Arial" w:cs="Arial"/>
                <w:b/>
                <w:bCs/>
                <w:color w:val="FFFFFF" w:themeColor="background1"/>
                <w:kern w:val="2"/>
                <w:sz w:val="20"/>
                <w:szCs w:val="20"/>
                <w:lang w:val="sq-AL" w:eastAsia="en-US"/>
              </w:rPr>
            </w:pPr>
            <w:r w:rsidRPr="003E7289">
              <w:rPr>
                <w:rFonts w:ascii="Arial" w:hAnsi="Arial" w:cs="Arial"/>
                <w:b/>
                <w:bCs/>
                <w:color w:val="FFFFFF" w:themeColor="background1"/>
                <w:kern w:val="2"/>
                <w:sz w:val="20"/>
                <w:szCs w:val="20"/>
                <w:lang w:val="sq-AL"/>
              </w:rPr>
              <w:t>Nr.</w:t>
            </w:r>
          </w:p>
        </w:tc>
        <w:tc>
          <w:tcPr>
            <w:tcW w:w="1978" w:type="dxa"/>
            <w:shd w:val="clear" w:color="auto" w:fill="22635D"/>
            <w:vAlign w:val="center"/>
          </w:tcPr>
          <w:p w14:paraId="0D4A86ED" w14:textId="794B7FDE" w:rsidR="00D617FD" w:rsidRPr="003E7289" w:rsidRDefault="00D617FD" w:rsidP="00D617FD">
            <w:pPr>
              <w:pStyle w:val="Default"/>
              <w:jc w:val="center"/>
              <w:rPr>
                <w:rFonts w:ascii="Arial" w:eastAsiaTheme="minorHAnsi" w:hAnsi="Arial" w:cs="Arial"/>
                <w:b/>
                <w:bCs/>
                <w:color w:val="FFFFFF" w:themeColor="background1"/>
                <w:kern w:val="2"/>
                <w:sz w:val="20"/>
                <w:szCs w:val="20"/>
                <w:lang w:val="sq-AL" w:eastAsia="en-US"/>
              </w:rPr>
            </w:pPr>
            <w:r w:rsidRPr="003E7289">
              <w:rPr>
                <w:rFonts w:ascii="Arial" w:hAnsi="Arial" w:cs="Arial"/>
                <w:b/>
                <w:bCs/>
                <w:color w:val="FFFFFF" w:themeColor="background1"/>
                <w:kern w:val="2"/>
                <w:sz w:val="20"/>
                <w:szCs w:val="20"/>
                <w:lang w:val="sq-AL"/>
              </w:rPr>
              <w:t>Objektivat strategjik dhe specifikë, treguesit, prioritetet kryesore të përshtatjes dhe veprime</w:t>
            </w:r>
          </w:p>
        </w:tc>
        <w:tc>
          <w:tcPr>
            <w:tcW w:w="1707" w:type="dxa"/>
            <w:gridSpan w:val="2"/>
            <w:shd w:val="clear" w:color="auto" w:fill="22635D"/>
            <w:vAlign w:val="center"/>
          </w:tcPr>
          <w:p w14:paraId="7F26DF0D" w14:textId="13F85E1E" w:rsidR="00D617FD" w:rsidRPr="003E7289" w:rsidRDefault="00D617FD" w:rsidP="00D617FD">
            <w:pPr>
              <w:pStyle w:val="Default"/>
              <w:jc w:val="center"/>
              <w:rPr>
                <w:rFonts w:ascii="Arial" w:eastAsiaTheme="minorHAnsi" w:hAnsi="Arial" w:cs="Arial"/>
                <w:b/>
                <w:bCs/>
                <w:color w:val="FFFFFF" w:themeColor="background1"/>
                <w:kern w:val="2"/>
                <w:sz w:val="20"/>
                <w:szCs w:val="20"/>
                <w:lang w:val="sq-AL" w:eastAsia="en-US"/>
              </w:rPr>
            </w:pPr>
            <w:r w:rsidRPr="003E7289">
              <w:rPr>
                <w:rFonts w:ascii="Arial" w:hAnsi="Arial" w:cs="Arial"/>
                <w:b/>
                <w:bCs/>
                <w:color w:val="FFFFFF" w:themeColor="background1"/>
                <w:kern w:val="2"/>
                <w:sz w:val="20"/>
                <w:szCs w:val="20"/>
                <w:lang w:val="sq-AL"/>
              </w:rPr>
              <w:t>Vlera bazë</w:t>
            </w:r>
          </w:p>
        </w:tc>
        <w:tc>
          <w:tcPr>
            <w:tcW w:w="2693" w:type="dxa"/>
            <w:gridSpan w:val="3"/>
            <w:shd w:val="clear" w:color="auto" w:fill="22635D"/>
            <w:vAlign w:val="center"/>
          </w:tcPr>
          <w:p w14:paraId="2B36CC29" w14:textId="77777777" w:rsidR="00D617FD" w:rsidRPr="003E7289" w:rsidRDefault="00D617FD" w:rsidP="00D617FD">
            <w:pPr>
              <w:autoSpaceDE w:val="0"/>
              <w:autoSpaceDN w:val="0"/>
              <w:adjustRightInd w:val="0"/>
              <w:spacing w:before="0" w:line="240" w:lineRule="auto"/>
              <w:jc w:val="center"/>
              <w:rPr>
                <w:rFonts w:ascii="Arial" w:hAnsi="Arial" w:cs="Arial"/>
                <w:b/>
                <w:bCs/>
                <w:color w:val="FFFFFF" w:themeColor="background1"/>
                <w:sz w:val="20"/>
                <w:szCs w:val="20"/>
                <w:lang w:val="sq-AL"/>
              </w:rPr>
            </w:pPr>
          </w:p>
          <w:p w14:paraId="70430DEB" w14:textId="77777777" w:rsidR="00D617FD" w:rsidRPr="003E7289" w:rsidRDefault="00D617FD" w:rsidP="00D617FD">
            <w:pPr>
              <w:autoSpaceDE w:val="0"/>
              <w:autoSpaceDN w:val="0"/>
              <w:adjustRightInd w:val="0"/>
              <w:spacing w:before="0" w:line="240" w:lineRule="auto"/>
              <w:jc w:val="center"/>
              <w:rPr>
                <w:rFonts w:ascii="Arial" w:hAnsi="Arial" w:cs="Arial"/>
                <w:b/>
                <w:bCs/>
                <w:color w:val="FFFFFF" w:themeColor="background1"/>
                <w:sz w:val="20"/>
                <w:szCs w:val="20"/>
                <w:lang w:val="sq-AL"/>
              </w:rPr>
            </w:pPr>
            <w:r w:rsidRPr="003E7289">
              <w:rPr>
                <w:rFonts w:ascii="Arial" w:hAnsi="Arial" w:cs="Arial"/>
                <w:b/>
                <w:bCs/>
                <w:color w:val="FFFFFF" w:themeColor="background1"/>
                <w:sz w:val="20"/>
                <w:szCs w:val="20"/>
                <w:lang w:val="sq-AL"/>
              </w:rPr>
              <w:t>Objektivi i përkohshëm [2030]</w:t>
            </w:r>
          </w:p>
          <w:p w14:paraId="1147F554" w14:textId="3A3F589A" w:rsidR="00D617FD" w:rsidRPr="003E7289" w:rsidRDefault="00D617FD" w:rsidP="00D617FD">
            <w:pPr>
              <w:pStyle w:val="Default"/>
              <w:jc w:val="center"/>
              <w:rPr>
                <w:rFonts w:ascii="Arial" w:eastAsiaTheme="minorHAnsi" w:hAnsi="Arial" w:cs="Arial"/>
                <w:b/>
                <w:bCs/>
                <w:color w:val="FFFFFF" w:themeColor="background1"/>
                <w:kern w:val="2"/>
                <w:sz w:val="20"/>
                <w:szCs w:val="20"/>
                <w:lang w:val="sq-AL" w:eastAsia="en-US"/>
              </w:rPr>
            </w:pPr>
          </w:p>
        </w:tc>
        <w:tc>
          <w:tcPr>
            <w:tcW w:w="1560" w:type="dxa"/>
            <w:shd w:val="clear" w:color="auto" w:fill="22635D"/>
            <w:vAlign w:val="center"/>
          </w:tcPr>
          <w:p w14:paraId="109B57E2" w14:textId="7A7C9B40" w:rsidR="00D617FD" w:rsidRPr="003E7289" w:rsidRDefault="00D617FD" w:rsidP="00D617FD">
            <w:pPr>
              <w:pStyle w:val="Default"/>
              <w:jc w:val="center"/>
              <w:rPr>
                <w:rFonts w:ascii="Arial" w:eastAsiaTheme="minorHAnsi" w:hAnsi="Arial" w:cs="Arial"/>
                <w:b/>
                <w:bCs/>
                <w:color w:val="FFFFFF" w:themeColor="background1"/>
                <w:kern w:val="2"/>
                <w:sz w:val="20"/>
                <w:szCs w:val="20"/>
                <w:lang w:val="sq-AL" w:eastAsia="en-US"/>
              </w:rPr>
            </w:pPr>
            <w:r w:rsidRPr="003E7289">
              <w:rPr>
                <w:rFonts w:ascii="Arial" w:hAnsi="Arial" w:cs="Arial"/>
                <w:b/>
                <w:bCs/>
                <w:color w:val="FFFFFF" w:themeColor="background1"/>
                <w:kern w:val="2"/>
                <w:sz w:val="20"/>
                <w:szCs w:val="20"/>
                <w:lang w:val="sq-AL"/>
              </w:rPr>
              <w:t>Objektivi i vitit të fundit [2040]</w:t>
            </w:r>
          </w:p>
        </w:tc>
        <w:tc>
          <w:tcPr>
            <w:tcW w:w="6237" w:type="dxa"/>
            <w:gridSpan w:val="3"/>
            <w:shd w:val="clear" w:color="auto" w:fill="22635D"/>
            <w:vAlign w:val="center"/>
          </w:tcPr>
          <w:p w14:paraId="32872DB4" w14:textId="1D355420" w:rsidR="00D617FD" w:rsidRPr="003E7289" w:rsidRDefault="00D617FD" w:rsidP="00D617FD">
            <w:pPr>
              <w:pStyle w:val="Default"/>
              <w:jc w:val="center"/>
              <w:rPr>
                <w:rFonts w:ascii="Arial" w:eastAsiaTheme="minorHAnsi" w:hAnsi="Arial" w:cs="Arial"/>
                <w:b/>
                <w:bCs/>
                <w:color w:val="FFFFFF" w:themeColor="background1"/>
                <w:kern w:val="2"/>
                <w:sz w:val="20"/>
                <w:szCs w:val="20"/>
                <w:lang w:val="sq-AL" w:eastAsia="en-US"/>
              </w:rPr>
            </w:pPr>
            <w:r w:rsidRPr="003E7289">
              <w:rPr>
                <w:rFonts w:ascii="Arial" w:hAnsi="Arial" w:cs="Arial"/>
                <w:b/>
                <w:bCs/>
                <w:color w:val="FFFFFF" w:themeColor="background1"/>
                <w:kern w:val="2"/>
                <w:sz w:val="20"/>
                <w:szCs w:val="20"/>
                <w:lang w:val="sq-AL"/>
              </w:rPr>
              <w:t>Rezultati</w:t>
            </w:r>
          </w:p>
        </w:tc>
      </w:tr>
      <w:tr w:rsidR="006D0672" w:rsidRPr="003E7289" w14:paraId="07D2D59F" w14:textId="77777777" w:rsidTr="00A70686">
        <w:tc>
          <w:tcPr>
            <w:tcW w:w="15168" w:type="dxa"/>
            <w:gridSpan w:val="11"/>
            <w:shd w:val="clear" w:color="auto" w:fill="ACE2DD"/>
            <w:vAlign w:val="center"/>
          </w:tcPr>
          <w:p w14:paraId="638BDE0F" w14:textId="6DA28310" w:rsidR="006D0672" w:rsidRPr="003E7289" w:rsidRDefault="00D617FD" w:rsidP="00A70686">
            <w:pPr>
              <w:spacing w:before="0" w:line="240" w:lineRule="auto"/>
              <w:rPr>
                <w:rFonts w:ascii="Arial" w:hAnsi="Arial" w:cs="Arial"/>
                <w:sz w:val="20"/>
                <w:szCs w:val="20"/>
                <w:highlight w:val="yellow"/>
                <w:lang w:val="sq-AL"/>
              </w:rPr>
            </w:pPr>
            <w:r w:rsidRPr="003E7289">
              <w:rPr>
                <w:rFonts w:ascii="Arial" w:hAnsi="Arial" w:cs="Arial"/>
                <w:b/>
                <w:bCs/>
                <w:sz w:val="20"/>
                <w:szCs w:val="20"/>
                <w:lang w:val="sq-AL"/>
              </w:rPr>
              <w:t>Objektivi strategjik</w:t>
            </w:r>
            <w:r w:rsidR="003769F4" w:rsidRPr="003E7289">
              <w:rPr>
                <w:rFonts w:ascii="Arial" w:hAnsi="Arial" w:cs="Arial"/>
                <w:b/>
                <w:bCs/>
                <w:sz w:val="20"/>
                <w:szCs w:val="20"/>
                <w:lang w:val="sq-AL"/>
              </w:rPr>
              <w:t xml:space="preserve"> IV</w:t>
            </w:r>
            <w:r w:rsidR="006D0672" w:rsidRPr="003E7289">
              <w:rPr>
                <w:rFonts w:ascii="Arial" w:hAnsi="Arial" w:cs="Arial"/>
                <w:b/>
                <w:bCs/>
                <w:sz w:val="20"/>
                <w:szCs w:val="20"/>
                <w:lang w:val="sq-AL"/>
              </w:rPr>
              <w:t>:</w:t>
            </w:r>
            <w:r w:rsidR="006D0672" w:rsidRPr="003E7289">
              <w:rPr>
                <w:rFonts w:ascii="Arial" w:hAnsi="Arial" w:cs="Arial"/>
                <w:kern w:val="0"/>
                <w:sz w:val="20"/>
                <w:szCs w:val="20"/>
                <w:lang w:val="sq-AL"/>
                <w14:ligatures w14:val="none"/>
              </w:rPr>
              <w:t xml:space="preserve"> </w:t>
            </w:r>
            <w:r w:rsidR="00D9571E" w:rsidRPr="003E7289">
              <w:rPr>
                <w:rFonts w:ascii="Arial" w:hAnsi="Arial" w:cs="Arial"/>
                <w:kern w:val="0"/>
                <w:sz w:val="20"/>
                <w:szCs w:val="20"/>
                <w:lang w:val="sq-AL"/>
                <w14:ligatures w14:val="none"/>
              </w:rPr>
              <w:t>Zhvillimi i një sistemi gjithëpërfshirës shëndetësor dhe social të qëndrueshëm ndaj klimës, që mbron të gjithë qytetarët dhe mjetet e tyre të jetesës nga rreziqet klimatike dhe kërcënimet shëndetësore, përfshirë ata që jetojnë në zona me rrezik të lartë dhe popullatat e ardhshme, duke mbështetur njëkohësisht objektivat e Strategjisë për Sektorin e Shëndetësisë në drejtim të përmirësimit të cilësisë së shërbimeve, qasjes dhe promovimit të shëndetit.</w:t>
            </w:r>
          </w:p>
        </w:tc>
      </w:tr>
      <w:tr w:rsidR="006D0672" w:rsidRPr="003E7289" w14:paraId="4A6D8480" w14:textId="77777777" w:rsidTr="00A70686">
        <w:trPr>
          <w:trHeight w:val="248"/>
        </w:trPr>
        <w:tc>
          <w:tcPr>
            <w:tcW w:w="2977" w:type="dxa"/>
            <w:gridSpan w:val="3"/>
            <w:vAlign w:val="center"/>
          </w:tcPr>
          <w:p w14:paraId="3E59E504" w14:textId="03819F9B" w:rsidR="006D0672" w:rsidRPr="003E7289" w:rsidRDefault="00D9571E" w:rsidP="00A402D1">
            <w:pPr>
              <w:spacing w:before="0" w:line="240" w:lineRule="auto"/>
              <w:rPr>
                <w:rFonts w:ascii="Arial" w:hAnsi="Arial" w:cs="Arial"/>
                <w:b/>
                <w:bCs/>
                <w:sz w:val="20"/>
                <w:szCs w:val="20"/>
                <w:highlight w:val="green"/>
                <w:lang w:val="sq-AL"/>
              </w:rPr>
            </w:pPr>
            <w:r w:rsidRPr="003E7289">
              <w:rPr>
                <w:rFonts w:ascii="Arial" w:hAnsi="Arial" w:cs="Arial"/>
                <w:b/>
                <w:bCs/>
                <w:sz w:val="20"/>
                <w:szCs w:val="20"/>
                <w:lang w:val="sq-AL"/>
              </w:rPr>
              <w:t>Përqindja e Objektivave Specifikë të prioritarizuar nën Objektivin Strategjik IV që janë plotësisht të zbatuar ose të operacionalizuar</w:t>
            </w:r>
          </w:p>
        </w:tc>
        <w:tc>
          <w:tcPr>
            <w:tcW w:w="1701" w:type="dxa"/>
            <w:vAlign w:val="center"/>
          </w:tcPr>
          <w:p w14:paraId="19B3A365" w14:textId="77777777" w:rsidR="006D0672" w:rsidRPr="003E7289" w:rsidRDefault="006D0672" w:rsidP="00A70686">
            <w:pPr>
              <w:spacing w:before="0" w:line="240" w:lineRule="auto"/>
              <w:jc w:val="center"/>
              <w:rPr>
                <w:rFonts w:ascii="Arial" w:hAnsi="Arial" w:cs="Arial"/>
                <w:sz w:val="20"/>
                <w:szCs w:val="20"/>
                <w:lang w:val="sq-AL"/>
              </w:rPr>
            </w:pPr>
            <w:r w:rsidRPr="003E7289">
              <w:rPr>
                <w:rFonts w:ascii="Arial" w:hAnsi="Arial" w:cs="Arial"/>
                <w:sz w:val="20"/>
                <w:szCs w:val="20"/>
                <w:lang w:val="sq-AL"/>
              </w:rPr>
              <w:t>0%</w:t>
            </w:r>
          </w:p>
        </w:tc>
        <w:tc>
          <w:tcPr>
            <w:tcW w:w="2693" w:type="dxa"/>
            <w:gridSpan w:val="3"/>
            <w:vAlign w:val="center"/>
          </w:tcPr>
          <w:p w14:paraId="1B902479" w14:textId="77777777" w:rsidR="006D0672" w:rsidRPr="003E7289" w:rsidRDefault="006D0672" w:rsidP="00A70686">
            <w:pPr>
              <w:spacing w:before="0" w:line="240" w:lineRule="auto"/>
              <w:jc w:val="center"/>
              <w:rPr>
                <w:rFonts w:ascii="Arial" w:hAnsi="Arial" w:cs="Arial"/>
                <w:sz w:val="20"/>
                <w:szCs w:val="20"/>
                <w:lang w:val="sq-AL"/>
              </w:rPr>
            </w:pPr>
            <w:r w:rsidRPr="003E7289">
              <w:rPr>
                <w:rFonts w:ascii="Arial" w:hAnsi="Arial" w:cs="Arial"/>
                <w:sz w:val="20"/>
                <w:szCs w:val="20"/>
                <w:lang w:val="sq-AL"/>
              </w:rPr>
              <w:t>35%</w:t>
            </w:r>
          </w:p>
        </w:tc>
        <w:tc>
          <w:tcPr>
            <w:tcW w:w="1560" w:type="dxa"/>
            <w:vAlign w:val="center"/>
          </w:tcPr>
          <w:p w14:paraId="03D3F414" w14:textId="77777777" w:rsidR="006D0672" w:rsidRPr="003E7289" w:rsidRDefault="006D0672" w:rsidP="00A70686">
            <w:pPr>
              <w:spacing w:before="0" w:line="240" w:lineRule="auto"/>
              <w:jc w:val="center"/>
              <w:rPr>
                <w:rFonts w:ascii="Arial" w:hAnsi="Arial" w:cs="Arial"/>
                <w:sz w:val="20"/>
                <w:szCs w:val="20"/>
                <w:lang w:val="sq-AL"/>
              </w:rPr>
            </w:pPr>
            <w:r w:rsidRPr="003E7289">
              <w:rPr>
                <w:rFonts w:ascii="Arial" w:hAnsi="Arial" w:cs="Arial"/>
                <w:sz w:val="20"/>
                <w:szCs w:val="20"/>
                <w:lang w:val="sq-AL"/>
              </w:rPr>
              <w:t>100%</w:t>
            </w:r>
          </w:p>
        </w:tc>
        <w:tc>
          <w:tcPr>
            <w:tcW w:w="6237" w:type="dxa"/>
            <w:gridSpan w:val="3"/>
            <w:vAlign w:val="center"/>
          </w:tcPr>
          <w:p w14:paraId="754746A1" w14:textId="1431970A" w:rsidR="006D0672" w:rsidRPr="003E7289" w:rsidRDefault="00D9571E" w:rsidP="00A402D1">
            <w:pPr>
              <w:spacing w:before="0" w:line="240" w:lineRule="auto"/>
              <w:rPr>
                <w:rFonts w:ascii="Arial" w:hAnsi="Arial" w:cs="Arial"/>
                <w:sz w:val="20"/>
                <w:szCs w:val="20"/>
                <w:lang w:val="sq-AL"/>
              </w:rPr>
            </w:pPr>
            <w:r w:rsidRPr="003E7289">
              <w:rPr>
                <w:rFonts w:ascii="Arial" w:hAnsi="Arial" w:cs="Arial"/>
                <w:sz w:val="20"/>
                <w:szCs w:val="20"/>
                <w:lang w:val="sq-AL"/>
              </w:rPr>
              <w:t>Krijimi dhe zbatimi i një sistemi gjithëpërfshirës të shëndetësisë dhe mbrojtjes sociale, të qëndrueshëm ndaj ndryshimeve klimatike, që mbron të gjithë qytetarët dhe mjetet e tyre të jetesës nga rreziqet klimatike dhe kërcënimet për shëndetin.</w:t>
            </w:r>
          </w:p>
        </w:tc>
      </w:tr>
      <w:tr w:rsidR="006D0672" w:rsidRPr="003E7289" w14:paraId="7DDBE195" w14:textId="77777777" w:rsidTr="00A70686">
        <w:tc>
          <w:tcPr>
            <w:tcW w:w="15168" w:type="dxa"/>
            <w:gridSpan w:val="11"/>
            <w:shd w:val="clear" w:color="auto" w:fill="0F4761"/>
            <w:vAlign w:val="center"/>
          </w:tcPr>
          <w:p w14:paraId="6680FFA2" w14:textId="71FC0DB2" w:rsidR="006D0672" w:rsidRPr="003E7289" w:rsidRDefault="0040465B" w:rsidP="00A70686">
            <w:pPr>
              <w:spacing w:before="0" w:line="240" w:lineRule="auto"/>
              <w:jc w:val="center"/>
              <w:rPr>
                <w:rFonts w:ascii="Arial" w:hAnsi="Arial" w:cs="Arial"/>
                <w:b/>
                <w:bCs/>
                <w:color w:val="FFFFFF" w:themeColor="background1"/>
                <w:sz w:val="20"/>
                <w:szCs w:val="20"/>
                <w:lang w:val="sq-AL"/>
              </w:rPr>
            </w:pPr>
            <w:r w:rsidRPr="003E7289">
              <w:rPr>
                <w:rFonts w:ascii="Arial" w:hAnsi="Arial" w:cs="Arial"/>
                <w:b/>
                <w:bCs/>
                <w:color w:val="FFFFFF" w:themeColor="background1"/>
                <w:sz w:val="20"/>
                <w:szCs w:val="20"/>
                <w:lang w:val="sq-AL"/>
              </w:rPr>
              <w:t>Prioriteti kyç për përshtatje</w:t>
            </w:r>
            <w:r w:rsidR="006D0672" w:rsidRPr="003E7289">
              <w:rPr>
                <w:rFonts w:ascii="Arial" w:hAnsi="Arial" w:cs="Arial"/>
                <w:b/>
                <w:bCs/>
                <w:color w:val="FFFFFF" w:themeColor="background1"/>
                <w:sz w:val="20"/>
                <w:szCs w:val="20"/>
                <w:lang w:val="sq-AL"/>
              </w:rPr>
              <w:t xml:space="preserve">: </w:t>
            </w:r>
            <w:r w:rsidR="00E0225B" w:rsidRPr="003E7289">
              <w:rPr>
                <w:rFonts w:ascii="Arial" w:hAnsi="Arial" w:cs="Arial"/>
                <w:b/>
                <w:bCs/>
                <w:color w:val="FFFFFF" w:themeColor="background1"/>
                <w:sz w:val="20"/>
                <w:szCs w:val="20"/>
                <w:lang w:val="sq-AL"/>
              </w:rPr>
              <w:t>Forcimi i sistemeve dhe shërbimeve shëndetësore të qëndrueshme ndaj klimës</w:t>
            </w:r>
          </w:p>
        </w:tc>
      </w:tr>
      <w:tr w:rsidR="006D0672" w:rsidRPr="003E7289" w14:paraId="373136E8" w14:textId="77777777" w:rsidTr="00A70686">
        <w:tc>
          <w:tcPr>
            <w:tcW w:w="993" w:type="dxa"/>
            <w:shd w:val="clear" w:color="auto" w:fill="84CCEC"/>
            <w:vAlign w:val="center"/>
          </w:tcPr>
          <w:p w14:paraId="776A1B5E" w14:textId="6DA64738" w:rsidR="006D0672" w:rsidRPr="003E7289" w:rsidRDefault="006D0672" w:rsidP="00A70686">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IV.3</w:t>
            </w:r>
            <w:r w:rsidR="00E0225B" w:rsidRPr="003E7289">
              <w:rPr>
                <w:rFonts w:ascii="Arial" w:hAnsi="Arial" w:cs="Arial"/>
                <w:b/>
                <w:bCs/>
                <w:sz w:val="20"/>
                <w:szCs w:val="20"/>
                <w:lang w:val="sq-AL"/>
              </w:rPr>
              <w:t>9</w:t>
            </w:r>
          </w:p>
        </w:tc>
        <w:tc>
          <w:tcPr>
            <w:tcW w:w="14175" w:type="dxa"/>
            <w:gridSpan w:val="10"/>
            <w:shd w:val="clear" w:color="auto" w:fill="84CCEC"/>
            <w:vAlign w:val="center"/>
          </w:tcPr>
          <w:p w14:paraId="3CA8EA4C" w14:textId="62038D9B" w:rsidR="006D0672" w:rsidRPr="003E7289" w:rsidRDefault="00D9571E" w:rsidP="00A70686">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Rinovimi i objekteve shëndetësore për qëndrueshmëri ndaj ndryshimeve klimatike</w:t>
            </w:r>
          </w:p>
        </w:tc>
      </w:tr>
      <w:tr w:rsidR="00D9571E" w:rsidRPr="003E7289" w14:paraId="656FE15E" w14:textId="77777777" w:rsidTr="00A70686">
        <w:tc>
          <w:tcPr>
            <w:tcW w:w="2971" w:type="dxa"/>
            <w:gridSpan w:val="2"/>
            <w:vAlign w:val="center"/>
          </w:tcPr>
          <w:p w14:paraId="76143F30" w14:textId="5F2D4EA4" w:rsidR="00D9571E" w:rsidRPr="003E7289" w:rsidRDefault="00D9571E" w:rsidP="00D9571E">
            <w:pPr>
              <w:pStyle w:val="Default"/>
              <w:jc w:val="center"/>
              <w:rPr>
                <w:rFonts w:ascii="Arial" w:hAnsi="Arial" w:cs="Arial"/>
                <w:b/>
                <w:bCs/>
                <w:color w:val="auto"/>
                <w:kern w:val="2"/>
                <w:sz w:val="20"/>
                <w:szCs w:val="20"/>
                <w:lang w:val="sq-AL"/>
              </w:rPr>
            </w:pPr>
            <w:r w:rsidRPr="003E7289">
              <w:rPr>
                <w:rFonts w:ascii="Arial" w:hAnsi="Arial" w:cs="Arial"/>
                <w:b/>
                <w:bCs/>
                <w:color w:val="auto"/>
                <w:kern w:val="2"/>
                <w:sz w:val="20"/>
                <w:szCs w:val="20"/>
                <w:lang w:val="sq-AL"/>
              </w:rPr>
              <w:t>% e institucioneve të kujdesit shëndetësor që përmbushin standardet e qëndrueshmërisë ndaj klimës (në infrastrukturë, energji, WASH).</w:t>
            </w:r>
          </w:p>
        </w:tc>
        <w:tc>
          <w:tcPr>
            <w:tcW w:w="1707" w:type="dxa"/>
            <w:gridSpan w:val="2"/>
            <w:vAlign w:val="center"/>
          </w:tcPr>
          <w:p w14:paraId="01C91DA3" w14:textId="77777777"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0 %</w:t>
            </w:r>
          </w:p>
        </w:tc>
        <w:tc>
          <w:tcPr>
            <w:tcW w:w="2693" w:type="dxa"/>
            <w:gridSpan w:val="3"/>
            <w:vAlign w:val="center"/>
          </w:tcPr>
          <w:p w14:paraId="1B8299CF" w14:textId="77777777"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70 %</w:t>
            </w:r>
          </w:p>
        </w:tc>
        <w:tc>
          <w:tcPr>
            <w:tcW w:w="1560" w:type="dxa"/>
            <w:vAlign w:val="center"/>
          </w:tcPr>
          <w:p w14:paraId="7C535864" w14:textId="77777777"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100 %</w:t>
            </w:r>
          </w:p>
        </w:tc>
        <w:tc>
          <w:tcPr>
            <w:tcW w:w="6237" w:type="dxa"/>
            <w:gridSpan w:val="3"/>
            <w:vAlign w:val="center"/>
          </w:tcPr>
          <w:p w14:paraId="2472DC08" w14:textId="3490B117" w:rsidR="00D9571E" w:rsidRPr="003E7289" w:rsidRDefault="00D9571E" w:rsidP="00D9571E">
            <w:pPr>
              <w:spacing w:before="0" w:line="240" w:lineRule="auto"/>
              <w:rPr>
                <w:rFonts w:ascii="Arial" w:hAnsi="Arial" w:cs="Arial"/>
                <w:sz w:val="20"/>
                <w:szCs w:val="20"/>
                <w:lang w:val="sq-AL"/>
              </w:rPr>
            </w:pPr>
            <w:r w:rsidRPr="003E7289">
              <w:rPr>
                <w:rFonts w:ascii="Arial" w:hAnsi="Arial" w:cs="Arial"/>
                <w:sz w:val="20"/>
                <w:szCs w:val="20"/>
                <w:lang w:val="sq-AL"/>
              </w:rPr>
              <w:t>Të gjitha strukturat e kujdesit shëndetësor përmbushin kërkesat e qëndrueshmërisë ndaj klimës (në infrastrukturë, energji, WASH)</w:t>
            </w:r>
          </w:p>
        </w:tc>
      </w:tr>
      <w:tr w:rsidR="00D9571E" w:rsidRPr="003E7289" w14:paraId="440FFD9C" w14:textId="77777777" w:rsidTr="00A70686">
        <w:trPr>
          <w:trHeight w:val="195"/>
        </w:trPr>
        <w:tc>
          <w:tcPr>
            <w:tcW w:w="993" w:type="dxa"/>
            <w:vMerge w:val="restart"/>
            <w:shd w:val="clear" w:color="auto" w:fill="C6E7F6"/>
            <w:vAlign w:val="center"/>
          </w:tcPr>
          <w:p w14:paraId="1025B169" w14:textId="285E65E3"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Nr.</w:t>
            </w:r>
          </w:p>
        </w:tc>
        <w:tc>
          <w:tcPr>
            <w:tcW w:w="1978" w:type="dxa"/>
            <w:vMerge w:val="restart"/>
            <w:shd w:val="clear" w:color="auto" w:fill="C6E7F6"/>
            <w:vAlign w:val="center"/>
          </w:tcPr>
          <w:p w14:paraId="1113CFF4" w14:textId="2AEA35BB" w:rsidR="00D9571E" w:rsidRPr="003E7289" w:rsidRDefault="00D9571E" w:rsidP="00D9571E">
            <w:pPr>
              <w:spacing w:before="0" w:line="240" w:lineRule="auto"/>
              <w:jc w:val="center"/>
              <w:rPr>
                <w:rFonts w:ascii="Arial" w:hAnsi="Arial" w:cs="Arial"/>
                <w:b/>
                <w:bCs/>
                <w:sz w:val="20"/>
                <w:szCs w:val="20"/>
                <w:highlight w:val="yellow"/>
                <w:lang w:val="sq-AL"/>
              </w:rPr>
            </w:pPr>
            <w:r w:rsidRPr="003E7289">
              <w:rPr>
                <w:rFonts w:ascii="Arial" w:eastAsia="Aptos" w:hAnsi="Arial" w:cs="Arial"/>
                <w:b/>
                <w:bCs/>
                <w:sz w:val="20"/>
                <w:szCs w:val="20"/>
                <w:lang w:val="sq-AL"/>
              </w:rPr>
              <w:t>Veprimi</w:t>
            </w:r>
          </w:p>
        </w:tc>
        <w:tc>
          <w:tcPr>
            <w:tcW w:w="1707" w:type="dxa"/>
            <w:gridSpan w:val="2"/>
            <w:vMerge w:val="restart"/>
            <w:shd w:val="clear" w:color="auto" w:fill="C6E7F6"/>
            <w:vAlign w:val="center"/>
          </w:tcPr>
          <w:p w14:paraId="401D9011" w14:textId="2B56B4D3"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Afati I fundit</w:t>
            </w:r>
          </w:p>
        </w:tc>
        <w:tc>
          <w:tcPr>
            <w:tcW w:w="2693" w:type="dxa"/>
            <w:gridSpan w:val="3"/>
            <w:shd w:val="clear" w:color="auto" w:fill="C6E7F6"/>
            <w:vAlign w:val="center"/>
          </w:tcPr>
          <w:p w14:paraId="492CC081" w14:textId="693FA8C1"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Buxheti</w:t>
            </w:r>
          </w:p>
        </w:tc>
        <w:tc>
          <w:tcPr>
            <w:tcW w:w="1560" w:type="dxa"/>
            <w:vMerge w:val="restart"/>
            <w:shd w:val="clear" w:color="auto" w:fill="C6E7F6"/>
            <w:vAlign w:val="center"/>
          </w:tcPr>
          <w:p w14:paraId="54E1F705" w14:textId="2AC66B77"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Burimi i financimit</w:t>
            </w:r>
          </w:p>
        </w:tc>
        <w:tc>
          <w:tcPr>
            <w:tcW w:w="1417" w:type="dxa"/>
            <w:vMerge w:val="restart"/>
            <w:shd w:val="clear" w:color="auto" w:fill="C6E7F6"/>
            <w:vAlign w:val="center"/>
          </w:tcPr>
          <w:p w14:paraId="7BCE52B4" w14:textId="669CCC63"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Institucionet përgjegjëse dhe partnere</w:t>
            </w:r>
          </w:p>
        </w:tc>
        <w:tc>
          <w:tcPr>
            <w:tcW w:w="1276" w:type="dxa"/>
            <w:vMerge w:val="restart"/>
            <w:shd w:val="clear" w:color="auto" w:fill="C6E7F6"/>
            <w:vAlign w:val="center"/>
          </w:tcPr>
          <w:p w14:paraId="3547C611" w14:textId="1BC38348"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Rezultati i pritur</w:t>
            </w:r>
          </w:p>
        </w:tc>
        <w:tc>
          <w:tcPr>
            <w:tcW w:w="3544" w:type="dxa"/>
            <w:vMerge w:val="restart"/>
            <w:shd w:val="clear" w:color="auto" w:fill="C6E7F6"/>
            <w:vAlign w:val="center"/>
          </w:tcPr>
          <w:p w14:paraId="1D864BA0" w14:textId="51E44BF8"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Dokumenti strategjik referues</w:t>
            </w:r>
          </w:p>
        </w:tc>
      </w:tr>
      <w:tr w:rsidR="00D9571E" w:rsidRPr="003E7289" w14:paraId="3D19AEA1" w14:textId="77777777" w:rsidTr="00A70686">
        <w:trPr>
          <w:trHeight w:val="195"/>
        </w:trPr>
        <w:tc>
          <w:tcPr>
            <w:tcW w:w="993" w:type="dxa"/>
            <w:vMerge/>
            <w:vAlign w:val="center"/>
          </w:tcPr>
          <w:p w14:paraId="34812443" w14:textId="77777777" w:rsidR="00D9571E" w:rsidRPr="003E7289" w:rsidRDefault="00D9571E" w:rsidP="00D9571E">
            <w:pPr>
              <w:spacing w:before="0" w:line="240" w:lineRule="auto"/>
              <w:jc w:val="center"/>
              <w:rPr>
                <w:rFonts w:ascii="Arial" w:hAnsi="Arial" w:cs="Arial"/>
                <w:sz w:val="20"/>
                <w:szCs w:val="20"/>
                <w:lang w:val="sq-AL"/>
              </w:rPr>
            </w:pPr>
          </w:p>
        </w:tc>
        <w:tc>
          <w:tcPr>
            <w:tcW w:w="1978" w:type="dxa"/>
            <w:vMerge/>
            <w:vAlign w:val="center"/>
          </w:tcPr>
          <w:p w14:paraId="5958E8F8" w14:textId="77777777" w:rsidR="00D9571E" w:rsidRPr="003E7289" w:rsidRDefault="00D9571E" w:rsidP="00D9571E">
            <w:pPr>
              <w:spacing w:before="0" w:line="240" w:lineRule="auto"/>
              <w:jc w:val="center"/>
              <w:rPr>
                <w:rFonts w:ascii="Arial" w:hAnsi="Arial" w:cs="Arial"/>
                <w:b/>
                <w:bCs/>
                <w:sz w:val="20"/>
                <w:szCs w:val="20"/>
                <w:lang w:val="sq-AL"/>
              </w:rPr>
            </w:pPr>
          </w:p>
        </w:tc>
        <w:tc>
          <w:tcPr>
            <w:tcW w:w="1707" w:type="dxa"/>
            <w:gridSpan w:val="2"/>
            <w:vMerge/>
            <w:vAlign w:val="center"/>
          </w:tcPr>
          <w:p w14:paraId="42EE48A3" w14:textId="77777777" w:rsidR="00D9571E" w:rsidRPr="003E7289" w:rsidRDefault="00D9571E" w:rsidP="00D9571E">
            <w:pPr>
              <w:spacing w:before="0" w:line="240" w:lineRule="auto"/>
              <w:jc w:val="center"/>
              <w:rPr>
                <w:rFonts w:ascii="Arial" w:hAnsi="Arial" w:cs="Arial"/>
                <w:b/>
                <w:bCs/>
                <w:sz w:val="20"/>
                <w:szCs w:val="20"/>
                <w:highlight w:val="yellow"/>
                <w:lang w:val="sq-AL"/>
              </w:rPr>
            </w:pPr>
          </w:p>
        </w:tc>
        <w:tc>
          <w:tcPr>
            <w:tcW w:w="851" w:type="dxa"/>
            <w:shd w:val="clear" w:color="auto" w:fill="C6E7F6"/>
            <w:vAlign w:val="center"/>
          </w:tcPr>
          <w:p w14:paraId="4A656730" w14:textId="77777777"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2026</w:t>
            </w:r>
          </w:p>
        </w:tc>
        <w:tc>
          <w:tcPr>
            <w:tcW w:w="992" w:type="dxa"/>
            <w:shd w:val="clear" w:color="auto" w:fill="C6E7F6"/>
            <w:vAlign w:val="center"/>
          </w:tcPr>
          <w:p w14:paraId="2F346B57" w14:textId="77777777"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2027</w:t>
            </w:r>
          </w:p>
        </w:tc>
        <w:tc>
          <w:tcPr>
            <w:tcW w:w="850" w:type="dxa"/>
            <w:shd w:val="clear" w:color="auto" w:fill="C6E7F6"/>
            <w:vAlign w:val="center"/>
          </w:tcPr>
          <w:p w14:paraId="0906A65A" w14:textId="77777777"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2028</w:t>
            </w:r>
          </w:p>
        </w:tc>
        <w:tc>
          <w:tcPr>
            <w:tcW w:w="1560" w:type="dxa"/>
            <w:vMerge/>
            <w:vAlign w:val="center"/>
          </w:tcPr>
          <w:p w14:paraId="5F287195" w14:textId="77777777" w:rsidR="00D9571E" w:rsidRPr="003E7289" w:rsidRDefault="00D9571E" w:rsidP="00D9571E">
            <w:pPr>
              <w:spacing w:before="0" w:line="240" w:lineRule="auto"/>
              <w:jc w:val="center"/>
              <w:rPr>
                <w:rFonts w:ascii="Arial" w:hAnsi="Arial" w:cs="Arial"/>
                <w:b/>
                <w:bCs/>
                <w:sz w:val="20"/>
                <w:szCs w:val="20"/>
                <w:highlight w:val="yellow"/>
                <w:lang w:val="sq-AL"/>
              </w:rPr>
            </w:pPr>
          </w:p>
        </w:tc>
        <w:tc>
          <w:tcPr>
            <w:tcW w:w="1417" w:type="dxa"/>
            <w:vMerge/>
            <w:vAlign w:val="center"/>
          </w:tcPr>
          <w:p w14:paraId="2D9A4562" w14:textId="77777777" w:rsidR="00D9571E" w:rsidRPr="003E7289" w:rsidRDefault="00D9571E" w:rsidP="00D9571E">
            <w:pPr>
              <w:spacing w:before="0" w:line="240" w:lineRule="auto"/>
              <w:jc w:val="center"/>
              <w:rPr>
                <w:rFonts w:ascii="Arial" w:hAnsi="Arial" w:cs="Arial"/>
                <w:b/>
                <w:bCs/>
                <w:sz w:val="20"/>
                <w:szCs w:val="20"/>
                <w:highlight w:val="yellow"/>
                <w:lang w:val="sq-AL"/>
              </w:rPr>
            </w:pPr>
          </w:p>
        </w:tc>
        <w:tc>
          <w:tcPr>
            <w:tcW w:w="1276" w:type="dxa"/>
            <w:vMerge/>
            <w:vAlign w:val="center"/>
          </w:tcPr>
          <w:p w14:paraId="12649BCB" w14:textId="77777777" w:rsidR="00D9571E" w:rsidRPr="003E7289" w:rsidRDefault="00D9571E" w:rsidP="00D9571E">
            <w:pPr>
              <w:spacing w:before="0" w:line="240" w:lineRule="auto"/>
              <w:jc w:val="center"/>
              <w:rPr>
                <w:rFonts w:ascii="Arial" w:hAnsi="Arial" w:cs="Arial"/>
                <w:b/>
                <w:bCs/>
                <w:sz w:val="20"/>
                <w:szCs w:val="20"/>
                <w:highlight w:val="yellow"/>
                <w:lang w:val="sq-AL"/>
              </w:rPr>
            </w:pPr>
          </w:p>
        </w:tc>
        <w:tc>
          <w:tcPr>
            <w:tcW w:w="3544" w:type="dxa"/>
            <w:vMerge/>
            <w:vAlign w:val="center"/>
          </w:tcPr>
          <w:p w14:paraId="38B97065" w14:textId="77777777" w:rsidR="00D9571E" w:rsidRPr="003E7289" w:rsidRDefault="00D9571E" w:rsidP="00D9571E">
            <w:pPr>
              <w:spacing w:before="0" w:line="240" w:lineRule="auto"/>
              <w:jc w:val="center"/>
              <w:rPr>
                <w:rFonts w:ascii="Arial" w:hAnsi="Arial" w:cs="Arial"/>
                <w:b/>
                <w:bCs/>
                <w:sz w:val="20"/>
                <w:szCs w:val="20"/>
                <w:highlight w:val="yellow"/>
                <w:lang w:val="sq-AL"/>
              </w:rPr>
            </w:pPr>
          </w:p>
        </w:tc>
      </w:tr>
      <w:tr w:rsidR="00D9571E" w:rsidRPr="003E7289" w14:paraId="1E589F91" w14:textId="77777777" w:rsidTr="003769F4">
        <w:trPr>
          <w:trHeight w:val="391"/>
        </w:trPr>
        <w:tc>
          <w:tcPr>
            <w:tcW w:w="993" w:type="dxa"/>
            <w:vAlign w:val="center"/>
          </w:tcPr>
          <w:p w14:paraId="1D4D2B76" w14:textId="1F071C5E"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IV.3</w:t>
            </w:r>
            <w:r w:rsidR="007464B3" w:rsidRPr="003E7289">
              <w:rPr>
                <w:rFonts w:ascii="Arial" w:hAnsi="Arial" w:cs="Arial"/>
                <w:b/>
                <w:bCs/>
                <w:sz w:val="20"/>
                <w:szCs w:val="20"/>
                <w:lang w:val="sq-AL"/>
              </w:rPr>
              <w:t>9</w:t>
            </w:r>
            <w:r w:rsidRPr="003E7289">
              <w:rPr>
                <w:rFonts w:ascii="Arial" w:hAnsi="Arial" w:cs="Arial"/>
                <w:b/>
                <w:bCs/>
                <w:sz w:val="20"/>
                <w:szCs w:val="20"/>
                <w:lang w:val="sq-AL"/>
              </w:rPr>
              <w:t>.1</w:t>
            </w:r>
          </w:p>
        </w:tc>
        <w:tc>
          <w:tcPr>
            <w:tcW w:w="1978" w:type="dxa"/>
            <w:vAlign w:val="center"/>
          </w:tcPr>
          <w:p w14:paraId="34890098" w14:textId="4AA38CB2"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Zhvillimi i standardeve për infrastrukturë të qëndrueshme ndaj klimës dhe auditimi fillestar</w:t>
            </w:r>
          </w:p>
        </w:tc>
        <w:tc>
          <w:tcPr>
            <w:tcW w:w="1707" w:type="dxa"/>
            <w:gridSpan w:val="2"/>
            <w:vAlign w:val="center"/>
          </w:tcPr>
          <w:p w14:paraId="06E89FF0" w14:textId="77777777"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2026</w:t>
            </w:r>
          </w:p>
        </w:tc>
        <w:tc>
          <w:tcPr>
            <w:tcW w:w="851" w:type="dxa"/>
            <w:vAlign w:val="center"/>
          </w:tcPr>
          <w:p w14:paraId="254C7010" w14:textId="77777777"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3.638€</w:t>
            </w:r>
          </w:p>
        </w:tc>
        <w:tc>
          <w:tcPr>
            <w:tcW w:w="992" w:type="dxa"/>
            <w:vAlign w:val="center"/>
          </w:tcPr>
          <w:p w14:paraId="0073E04C" w14:textId="77777777" w:rsidR="00D9571E" w:rsidRPr="003E7289" w:rsidRDefault="00D9571E" w:rsidP="00D9571E">
            <w:pPr>
              <w:spacing w:before="0" w:line="240" w:lineRule="auto"/>
              <w:jc w:val="center"/>
              <w:rPr>
                <w:rFonts w:ascii="Arial" w:hAnsi="Arial" w:cs="Arial"/>
                <w:sz w:val="20"/>
                <w:szCs w:val="20"/>
                <w:lang w:val="sq-AL"/>
              </w:rPr>
            </w:pPr>
          </w:p>
        </w:tc>
        <w:tc>
          <w:tcPr>
            <w:tcW w:w="850" w:type="dxa"/>
            <w:vAlign w:val="center"/>
          </w:tcPr>
          <w:p w14:paraId="787065D9" w14:textId="77777777" w:rsidR="00D9571E" w:rsidRPr="003E7289" w:rsidRDefault="00D9571E" w:rsidP="00D9571E">
            <w:pPr>
              <w:spacing w:before="0" w:line="240" w:lineRule="auto"/>
              <w:jc w:val="center"/>
              <w:rPr>
                <w:rFonts w:ascii="Arial" w:hAnsi="Arial" w:cs="Arial"/>
                <w:sz w:val="20"/>
                <w:szCs w:val="20"/>
                <w:lang w:val="sq-AL"/>
              </w:rPr>
            </w:pPr>
          </w:p>
        </w:tc>
        <w:tc>
          <w:tcPr>
            <w:tcW w:w="1560" w:type="dxa"/>
            <w:vAlign w:val="center"/>
          </w:tcPr>
          <w:p w14:paraId="0B00366A" w14:textId="6F44B0A9"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 xml:space="preserve">Global Environment Facility, EU IPA III, KfW/GIZ, Bashkëpunimi </w:t>
            </w:r>
            <w:r w:rsidRPr="003E7289">
              <w:rPr>
                <w:rFonts w:ascii="Arial" w:hAnsi="Arial" w:cs="Arial"/>
                <w:sz w:val="20"/>
                <w:szCs w:val="20"/>
                <w:lang w:val="sq-AL"/>
              </w:rPr>
              <w:lastRenderedPageBreak/>
              <w:t>Zviceran për Zhvillim</w:t>
            </w:r>
          </w:p>
        </w:tc>
        <w:tc>
          <w:tcPr>
            <w:tcW w:w="1417" w:type="dxa"/>
            <w:vAlign w:val="center"/>
          </w:tcPr>
          <w:p w14:paraId="13A995F4" w14:textId="0B705BCB"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lastRenderedPageBreak/>
              <w:t>Komisioni për Klimën dhe Shëndetin, Ministria e Shëndetësis</w:t>
            </w:r>
            <w:r w:rsidRPr="003E7289">
              <w:rPr>
                <w:rFonts w:ascii="Arial" w:hAnsi="Arial" w:cs="Arial"/>
                <w:sz w:val="20"/>
                <w:szCs w:val="20"/>
                <w:lang w:val="sq-AL"/>
              </w:rPr>
              <w:lastRenderedPageBreak/>
              <w:t>ë (MSH), Ministria e Mjedisit</w:t>
            </w:r>
          </w:p>
        </w:tc>
        <w:tc>
          <w:tcPr>
            <w:tcW w:w="1276" w:type="dxa"/>
            <w:vAlign w:val="center"/>
          </w:tcPr>
          <w:p w14:paraId="6BEA7F1D" w14:textId="68DAE44B"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lastRenderedPageBreak/>
              <w:t xml:space="preserve">Standardi i qëndrueshmërisë ndaj klimës miratohet; të gjitha </w:t>
            </w:r>
            <w:r w:rsidRPr="003E7289">
              <w:rPr>
                <w:rFonts w:ascii="Arial" w:hAnsi="Arial" w:cs="Arial"/>
                <w:sz w:val="20"/>
                <w:szCs w:val="20"/>
                <w:lang w:val="sq-AL"/>
              </w:rPr>
              <w:lastRenderedPageBreak/>
              <w:t>objektet shëndetësore janë të vlerësuara për rrezik.</w:t>
            </w:r>
          </w:p>
        </w:tc>
        <w:tc>
          <w:tcPr>
            <w:tcW w:w="3544" w:type="dxa"/>
            <w:vAlign w:val="center"/>
          </w:tcPr>
          <w:p w14:paraId="1E1B74B2" w14:textId="6ED800B6" w:rsidR="00D9571E" w:rsidRPr="003E7289" w:rsidRDefault="00BE39C7"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lastRenderedPageBreak/>
              <w:t>Strategjia</w:t>
            </w:r>
            <w:r w:rsidR="00D9571E" w:rsidRPr="003E7289">
              <w:rPr>
                <w:rFonts w:ascii="Arial" w:hAnsi="Arial" w:cs="Arial"/>
                <w:sz w:val="20"/>
                <w:szCs w:val="20"/>
                <w:lang w:val="sq-AL"/>
              </w:rPr>
              <w:t xml:space="preserve"> Sektoriale e Shëndetësisë 2025–2030</w:t>
            </w:r>
          </w:p>
        </w:tc>
      </w:tr>
      <w:tr w:rsidR="00D9571E" w:rsidRPr="003E7289" w14:paraId="17DE1A4F" w14:textId="77777777" w:rsidTr="003769F4">
        <w:tc>
          <w:tcPr>
            <w:tcW w:w="993" w:type="dxa"/>
            <w:vAlign w:val="center"/>
          </w:tcPr>
          <w:p w14:paraId="48EE3B6B" w14:textId="6FA039A7"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lastRenderedPageBreak/>
              <w:t>IV.3</w:t>
            </w:r>
            <w:r w:rsidR="007464B3" w:rsidRPr="003E7289">
              <w:rPr>
                <w:rFonts w:ascii="Arial" w:hAnsi="Arial" w:cs="Arial"/>
                <w:b/>
                <w:bCs/>
                <w:sz w:val="20"/>
                <w:szCs w:val="20"/>
                <w:lang w:val="sq-AL"/>
              </w:rPr>
              <w:t>9</w:t>
            </w:r>
            <w:r w:rsidRPr="003E7289">
              <w:rPr>
                <w:rFonts w:ascii="Arial" w:hAnsi="Arial" w:cs="Arial"/>
                <w:b/>
                <w:bCs/>
                <w:sz w:val="20"/>
                <w:szCs w:val="20"/>
                <w:lang w:val="sq-AL"/>
              </w:rPr>
              <w:t>.2</w:t>
            </w:r>
          </w:p>
        </w:tc>
        <w:tc>
          <w:tcPr>
            <w:tcW w:w="1978" w:type="dxa"/>
            <w:vAlign w:val="center"/>
          </w:tcPr>
          <w:p w14:paraId="766A451F" w14:textId="05D1552B"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Zbatimi i masave për energji të pastër dhe përmirësime në sistemin WASH (ujë, higjienë dhe kanalizim)</w:t>
            </w:r>
          </w:p>
        </w:tc>
        <w:tc>
          <w:tcPr>
            <w:tcW w:w="1707" w:type="dxa"/>
            <w:gridSpan w:val="2"/>
            <w:vAlign w:val="center"/>
          </w:tcPr>
          <w:p w14:paraId="65EA9A84" w14:textId="77777777"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2028</w:t>
            </w:r>
          </w:p>
        </w:tc>
        <w:tc>
          <w:tcPr>
            <w:tcW w:w="851" w:type="dxa"/>
            <w:vAlign w:val="center"/>
          </w:tcPr>
          <w:p w14:paraId="7436954A" w14:textId="77777777" w:rsidR="00D9571E" w:rsidRPr="003E7289" w:rsidRDefault="00D9571E" w:rsidP="00D9571E">
            <w:pPr>
              <w:spacing w:before="0" w:line="240" w:lineRule="auto"/>
              <w:jc w:val="center"/>
              <w:rPr>
                <w:rFonts w:ascii="Arial" w:hAnsi="Arial" w:cs="Arial"/>
                <w:sz w:val="20"/>
                <w:szCs w:val="20"/>
                <w:lang w:val="sq-AL"/>
              </w:rPr>
            </w:pPr>
          </w:p>
        </w:tc>
        <w:tc>
          <w:tcPr>
            <w:tcW w:w="992" w:type="dxa"/>
            <w:vAlign w:val="center"/>
          </w:tcPr>
          <w:p w14:paraId="6D0A21D4" w14:textId="77777777"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7.275€</w:t>
            </w:r>
          </w:p>
        </w:tc>
        <w:tc>
          <w:tcPr>
            <w:tcW w:w="850" w:type="dxa"/>
            <w:vAlign w:val="center"/>
          </w:tcPr>
          <w:p w14:paraId="38C0BC39" w14:textId="77777777" w:rsidR="00D9571E" w:rsidRPr="003E7289" w:rsidRDefault="00D9571E" w:rsidP="00D9571E">
            <w:pPr>
              <w:spacing w:before="0" w:line="240" w:lineRule="auto"/>
              <w:jc w:val="center"/>
              <w:rPr>
                <w:rFonts w:ascii="Arial" w:hAnsi="Arial" w:cs="Arial"/>
                <w:sz w:val="20"/>
                <w:szCs w:val="20"/>
                <w:lang w:val="sq-AL"/>
              </w:rPr>
            </w:pPr>
          </w:p>
        </w:tc>
        <w:tc>
          <w:tcPr>
            <w:tcW w:w="1560" w:type="dxa"/>
            <w:vAlign w:val="center"/>
          </w:tcPr>
          <w:p w14:paraId="5501BA70" w14:textId="106D7883"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Global Environment Facility, Banka Botërore, EU IPA III, Organizata Botërore e Shëndetësisë, KfW, Bashkëpunimi Zviceran për Zhvillim</w:t>
            </w:r>
          </w:p>
        </w:tc>
        <w:tc>
          <w:tcPr>
            <w:tcW w:w="1417" w:type="dxa"/>
            <w:vAlign w:val="center"/>
          </w:tcPr>
          <w:p w14:paraId="17E0691A" w14:textId="14917F83"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Komisioni për Klimën dhe Shëndetin, Ministria e Shëndetësisë (MSH), Ministria e Mjedisit</w:t>
            </w:r>
          </w:p>
        </w:tc>
        <w:tc>
          <w:tcPr>
            <w:tcW w:w="1276" w:type="dxa"/>
            <w:vAlign w:val="center"/>
          </w:tcPr>
          <w:p w14:paraId="172CD1B4" w14:textId="11CA3627"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50% e objekteve janë të përmirësuara për qëndrueshmëri energjetike dhe WASH.</w:t>
            </w:r>
          </w:p>
        </w:tc>
        <w:tc>
          <w:tcPr>
            <w:tcW w:w="3544" w:type="dxa"/>
            <w:vAlign w:val="center"/>
          </w:tcPr>
          <w:p w14:paraId="2D75B644" w14:textId="70D0BF77" w:rsidR="00D9571E" w:rsidRPr="003E7289" w:rsidRDefault="00BE39C7"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Strategjia</w:t>
            </w:r>
            <w:r w:rsidR="00D9571E" w:rsidRPr="003E7289">
              <w:rPr>
                <w:rFonts w:ascii="Arial" w:hAnsi="Arial" w:cs="Arial"/>
                <w:sz w:val="20"/>
                <w:szCs w:val="20"/>
                <w:lang w:val="sq-AL"/>
              </w:rPr>
              <w:t xml:space="preserve"> Sektoriale e Shëndetësisë 2025–2030</w:t>
            </w:r>
          </w:p>
        </w:tc>
      </w:tr>
      <w:tr w:rsidR="00D9571E" w:rsidRPr="003E7289" w14:paraId="2882BA63" w14:textId="77777777" w:rsidTr="003769F4">
        <w:tc>
          <w:tcPr>
            <w:tcW w:w="993" w:type="dxa"/>
            <w:vAlign w:val="center"/>
          </w:tcPr>
          <w:p w14:paraId="3EA406BE" w14:textId="134E258E"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IV.3</w:t>
            </w:r>
            <w:r w:rsidR="007464B3" w:rsidRPr="003E7289">
              <w:rPr>
                <w:rFonts w:ascii="Arial" w:hAnsi="Arial" w:cs="Arial"/>
                <w:b/>
                <w:bCs/>
                <w:sz w:val="20"/>
                <w:szCs w:val="20"/>
                <w:lang w:val="sq-AL"/>
              </w:rPr>
              <w:t>9</w:t>
            </w:r>
            <w:r w:rsidRPr="003E7289">
              <w:rPr>
                <w:rFonts w:ascii="Arial" w:hAnsi="Arial" w:cs="Arial"/>
                <w:b/>
                <w:bCs/>
                <w:sz w:val="20"/>
                <w:szCs w:val="20"/>
                <w:lang w:val="sq-AL"/>
              </w:rPr>
              <w:t>.3</w:t>
            </w:r>
          </w:p>
        </w:tc>
        <w:tc>
          <w:tcPr>
            <w:tcW w:w="1978" w:type="dxa"/>
            <w:vAlign w:val="center"/>
          </w:tcPr>
          <w:p w14:paraId="35A369C9" w14:textId="5E0BDED4" w:rsidR="00D9571E" w:rsidRPr="003E7289" w:rsidRDefault="006672E3" w:rsidP="00D9571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 xml:space="preserve">Shkallëzimi i projektit rezistues dhe institucionalizimi i mirëmbajtjes  </w:t>
            </w:r>
          </w:p>
        </w:tc>
        <w:tc>
          <w:tcPr>
            <w:tcW w:w="1707" w:type="dxa"/>
            <w:gridSpan w:val="2"/>
            <w:vAlign w:val="center"/>
          </w:tcPr>
          <w:p w14:paraId="591E17CA" w14:textId="77777777"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2040</w:t>
            </w:r>
          </w:p>
        </w:tc>
        <w:tc>
          <w:tcPr>
            <w:tcW w:w="851" w:type="dxa"/>
            <w:vAlign w:val="center"/>
          </w:tcPr>
          <w:p w14:paraId="72837D11" w14:textId="77777777" w:rsidR="00D9571E" w:rsidRPr="003E7289" w:rsidRDefault="00D9571E" w:rsidP="00D9571E">
            <w:pPr>
              <w:spacing w:before="0" w:line="240" w:lineRule="auto"/>
              <w:jc w:val="center"/>
              <w:rPr>
                <w:rFonts w:ascii="Arial" w:hAnsi="Arial" w:cs="Arial"/>
                <w:sz w:val="20"/>
                <w:szCs w:val="20"/>
                <w:lang w:val="sq-AL"/>
              </w:rPr>
            </w:pPr>
          </w:p>
        </w:tc>
        <w:tc>
          <w:tcPr>
            <w:tcW w:w="992" w:type="dxa"/>
            <w:vAlign w:val="center"/>
          </w:tcPr>
          <w:p w14:paraId="3961E977" w14:textId="77777777" w:rsidR="00D9571E" w:rsidRPr="003E7289" w:rsidRDefault="00D9571E" w:rsidP="00D9571E">
            <w:pPr>
              <w:spacing w:before="0" w:line="240" w:lineRule="auto"/>
              <w:jc w:val="center"/>
              <w:rPr>
                <w:rFonts w:ascii="Arial" w:hAnsi="Arial" w:cs="Arial"/>
                <w:sz w:val="20"/>
                <w:szCs w:val="20"/>
                <w:lang w:val="sq-AL"/>
              </w:rPr>
            </w:pPr>
          </w:p>
        </w:tc>
        <w:tc>
          <w:tcPr>
            <w:tcW w:w="850" w:type="dxa"/>
            <w:vAlign w:val="center"/>
          </w:tcPr>
          <w:p w14:paraId="7C465078" w14:textId="77777777"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3.638€</w:t>
            </w:r>
          </w:p>
        </w:tc>
        <w:tc>
          <w:tcPr>
            <w:tcW w:w="1560" w:type="dxa"/>
            <w:vAlign w:val="center"/>
          </w:tcPr>
          <w:p w14:paraId="308A0E6B" w14:textId="357C780F" w:rsidR="00D9571E" w:rsidRPr="003E7289" w:rsidRDefault="00D9571E" w:rsidP="00D9571E">
            <w:pPr>
              <w:spacing w:before="0" w:line="240" w:lineRule="auto"/>
              <w:jc w:val="center"/>
              <w:rPr>
                <w:rFonts w:ascii="Arial" w:hAnsi="Arial" w:cs="Arial"/>
                <w:color w:val="EE0000"/>
                <w:sz w:val="20"/>
                <w:szCs w:val="20"/>
                <w:lang w:val="sq-AL"/>
              </w:rPr>
            </w:pPr>
            <w:r w:rsidRPr="003E7289">
              <w:rPr>
                <w:rFonts w:ascii="Arial" w:hAnsi="Arial" w:cs="Arial"/>
                <w:color w:val="000000" w:themeColor="text1"/>
                <w:sz w:val="20"/>
                <w:szCs w:val="20"/>
                <w:lang w:val="sq-AL"/>
              </w:rPr>
              <w:t>Global Environment Facility, Banka Botërore, EU IPA III, Organizata Botërore e Shëndetësisë, KfW, Bashkëpunimi Zviceran për Zhvillim</w:t>
            </w:r>
          </w:p>
        </w:tc>
        <w:tc>
          <w:tcPr>
            <w:tcW w:w="1417" w:type="dxa"/>
            <w:vAlign w:val="center"/>
          </w:tcPr>
          <w:p w14:paraId="3B36A177" w14:textId="4E3FD7FB"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Komisioni për Klimën dhe Shëndetin, Ministria e Shëndetësisë (MSH), Ministria e Mjedisit</w:t>
            </w:r>
          </w:p>
        </w:tc>
        <w:tc>
          <w:tcPr>
            <w:tcW w:w="1276" w:type="dxa"/>
            <w:vAlign w:val="center"/>
          </w:tcPr>
          <w:p w14:paraId="39DD1691" w14:textId="162B71AF" w:rsidR="00D9571E" w:rsidRPr="003E7289" w:rsidRDefault="00D9571E" w:rsidP="00D9571E">
            <w:pPr>
              <w:spacing w:before="0" w:line="240" w:lineRule="auto"/>
              <w:jc w:val="center"/>
              <w:rPr>
                <w:rFonts w:ascii="Arial" w:hAnsi="Arial" w:cs="Arial"/>
                <w:color w:val="EE0000"/>
                <w:sz w:val="20"/>
                <w:szCs w:val="20"/>
                <w:lang w:val="sq-AL"/>
              </w:rPr>
            </w:pPr>
            <w:r w:rsidRPr="003E7289">
              <w:rPr>
                <w:rFonts w:ascii="Arial" w:hAnsi="Arial" w:cs="Arial"/>
                <w:sz w:val="20"/>
                <w:szCs w:val="20"/>
                <w:lang w:val="sq-AL"/>
              </w:rPr>
              <w:t>100% e objekteve janë të certifikuara si rezistente ndaj klimës.</w:t>
            </w:r>
          </w:p>
        </w:tc>
        <w:tc>
          <w:tcPr>
            <w:tcW w:w="3544" w:type="dxa"/>
            <w:vAlign w:val="center"/>
          </w:tcPr>
          <w:p w14:paraId="71B78553" w14:textId="38036CA9" w:rsidR="00D9571E" w:rsidRPr="003E7289" w:rsidRDefault="00BE39C7" w:rsidP="00D9571E">
            <w:pPr>
              <w:spacing w:before="0" w:line="240" w:lineRule="auto"/>
              <w:jc w:val="center"/>
              <w:rPr>
                <w:rFonts w:ascii="Arial" w:hAnsi="Arial" w:cs="Arial"/>
                <w:b/>
                <w:bCs/>
                <w:color w:val="EE0000"/>
                <w:sz w:val="20"/>
                <w:szCs w:val="20"/>
                <w:lang w:val="sq-AL"/>
              </w:rPr>
            </w:pPr>
            <w:r w:rsidRPr="003E7289">
              <w:rPr>
                <w:rFonts w:ascii="Arial" w:hAnsi="Arial" w:cs="Arial"/>
                <w:sz w:val="20"/>
                <w:szCs w:val="20"/>
                <w:lang w:val="sq-AL"/>
              </w:rPr>
              <w:t>Strategjia</w:t>
            </w:r>
            <w:r w:rsidR="00D9571E" w:rsidRPr="003E7289">
              <w:rPr>
                <w:rFonts w:ascii="Arial" w:hAnsi="Arial" w:cs="Arial"/>
                <w:sz w:val="20"/>
                <w:szCs w:val="20"/>
                <w:lang w:val="sq-AL"/>
              </w:rPr>
              <w:t xml:space="preserve"> Sektoriale e Shëndetësisë 2025–2030</w:t>
            </w:r>
          </w:p>
        </w:tc>
      </w:tr>
      <w:tr w:rsidR="00D9571E" w:rsidRPr="003E7289" w14:paraId="139ECB4E" w14:textId="77777777" w:rsidTr="00A70686">
        <w:tc>
          <w:tcPr>
            <w:tcW w:w="2971" w:type="dxa"/>
            <w:gridSpan w:val="2"/>
            <w:shd w:val="clear" w:color="auto" w:fill="C6E7F6"/>
            <w:vAlign w:val="center"/>
          </w:tcPr>
          <w:p w14:paraId="3A353DE9" w14:textId="766C7272" w:rsidR="00D9571E" w:rsidRPr="003E7289" w:rsidRDefault="00D9571E" w:rsidP="00D9571E">
            <w:pPr>
              <w:spacing w:before="0" w:line="240" w:lineRule="auto"/>
              <w:rPr>
                <w:rFonts w:ascii="Arial" w:hAnsi="Arial" w:cs="Arial"/>
                <w:b/>
                <w:bCs/>
                <w:sz w:val="20"/>
                <w:szCs w:val="20"/>
                <w:lang w:val="sq-AL"/>
              </w:rPr>
            </w:pPr>
            <w:r w:rsidRPr="003E7289">
              <w:rPr>
                <w:rFonts w:ascii="Arial" w:eastAsia="Aptos" w:hAnsi="Arial" w:cs="Arial"/>
                <w:b/>
                <w:bCs/>
                <w:sz w:val="20"/>
                <w:szCs w:val="20"/>
                <w:lang w:val="sq-AL"/>
              </w:rPr>
              <w:t>Buxheti total për Objektivin specifik IV.3</w:t>
            </w:r>
            <w:r w:rsidR="007464B3" w:rsidRPr="003E7289">
              <w:rPr>
                <w:rFonts w:ascii="Arial" w:eastAsia="Aptos" w:hAnsi="Arial" w:cs="Arial"/>
                <w:b/>
                <w:bCs/>
                <w:sz w:val="20"/>
                <w:szCs w:val="20"/>
                <w:lang w:val="sq-AL"/>
              </w:rPr>
              <w:t>9</w:t>
            </w:r>
            <w:r w:rsidRPr="003E7289">
              <w:rPr>
                <w:rFonts w:ascii="Arial" w:eastAsia="Aptos" w:hAnsi="Arial" w:cs="Arial"/>
                <w:b/>
                <w:bCs/>
                <w:sz w:val="20"/>
                <w:szCs w:val="20"/>
                <w:lang w:val="sq-AL"/>
              </w:rPr>
              <w:t>:</w:t>
            </w:r>
          </w:p>
        </w:tc>
        <w:tc>
          <w:tcPr>
            <w:tcW w:w="12197" w:type="dxa"/>
            <w:gridSpan w:val="9"/>
            <w:vAlign w:val="center"/>
          </w:tcPr>
          <w:p w14:paraId="2794D43C" w14:textId="77777777"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14.550€</w:t>
            </w:r>
          </w:p>
        </w:tc>
      </w:tr>
      <w:tr w:rsidR="00D9571E" w:rsidRPr="003E7289" w14:paraId="303B9195" w14:textId="77777777" w:rsidTr="00A70686">
        <w:tc>
          <w:tcPr>
            <w:tcW w:w="2971" w:type="dxa"/>
            <w:gridSpan w:val="2"/>
            <w:shd w:val="clear" w:color="auto" w:fill="C6E7F6"/>
          </w:tcPr>
          <w:p w14:paraId="4DEA2A14" w14:textId="25CAC2C7" w:rsidR="00D9571E" w:rsidRPr="003E7289" w:rsidRDefault="00D9571E" w:rsidP="00D9571E">
            <w:pPr>
              <w:spacing w:before="0" w:line="240" w:lineRule="auto"/>
              <w:rPr>
                <w:rFonts w:ascii="Arial" w:hAnsi="Arial" w:cs="Arial"/>
                <w:b/>
                <w:bCs/>
                <w:sz w:val="20"/>
                <w:szCs w:val="20"/>
                <w:lang w:val="sq-AL"/>
              </w:rPr>
            </w:pPr>
            <w:r w:rsidRPr="003E7289">
              <w:rPr>
                <w:rFonts w:ascii="Arial" w:eastAsia="Aptos" w:hAnsi="Arial" w:cs="Arial"/>
                <w:b/>
                <w:bCs/>
                <w:sz w:val="20"/>
                <w:szCs w:val="20"/>
                <w:lang w:val="sq-AL"/>
              </w:rPr>
              <w:t>Nga kjo, kapital:</w:t>
            </w:r>
          </w:p>
        </w:tc>
        <w:tc>
          <w:tcPr>
            <w:tcW w:w="12197" w:type="dxa"/>
            <w:gridSpan w:val="9"/>
            <w:vAlign w:val="center"/>
          </w:tcPr>
          <w:p w14:paraId="2B5D2AB1" w14:textId="72AE0FED" w:rsidR="00D9571E" w:rsidRPr="003E7289" w:rsidRDefault="00D9571E" w:rsidP="00D9571E">
            <w:pPr>
              <w:spacing w:before="0" w:line="240" w:lineRule="auto"/>
              <w:jc w:val="center"/>
              <w:rPr>
                <w:rFonts w:ascii="Arial" w:hAnsi="Arial" w:cs="Arial"/>
                <w:b/>
                <w:bCs/>
                <w:color w:val="EE0000"/>
                <w:sz w:val="20"/>
                <w:szCs w:val="20"/>
                <w:highlight w:val="yellow"/>
                <w:lang w:val="sq-AL"/>
              </w:rPr>
            </w:pPr>
            <w:r w:rsidRPr="003E7289">
              <w:rPr>
                <w:rFonts w:ascii="Arial" w:hAnsi="Arial" w:cs="Arial"/>
                <w:sz w:val="20"/>
                <w:szCs w:val="20"/>
                <w:lang w:val="sq-AL"/>
              </w:rPr>
              <w:t>14.550€</w:t>
            </w:r>
          </w:p>
        </w:tc>
      </w:tr>
      <w:tr w:rsidR="00D9571E" w:rsidRPr="003E7289" w14:paraId="58CE497E" w14:textId="77777777" w:rsidTr="00A70686">
        <w:tc>
          <w:tcPr>
            <w:tcW w:w="2971" w:type="dxa"/>
            <w:gridSpan w:val="2"/>
            <w:shd w:val="clear" w:color="auto" w:fill="C6E7F6"/>
          </w:tcPr>
          <w:p w14:paraId="784CCD54" w14:textId="67115FDB" w:rsidR="00D9571E" w:rsidRPr="003E7289" w:rsidRDefault="00D9571E" w:rsidP="00D9571E">
            <w:pPr>
              <w:spacing w:before="0" w:line="240" w:lineRule="auto"/>
              <w:rPr>
                <w:rFonts w:ascii="Arial" w:hAnsi="Arial" w:cs="Arial"/>
                <w:b/>
                <w:bCs/>
                <w:sz w:val="20"/>
                <w:szCs w:val="20"/>
                <w:lang w:val="sq-AL"/>
              </w:rPr>
            </w:pPr>
            <w:r w:rsidRPr="003E7289">
              <w:rPr>
                <w:rFonts w:ascii="Arial" w:eastAsia="Aptos" w:hAnsi="Arial" w:cs="Arial"/>
                <w:b/>
                <w:bCs/>
                <w:sz w:val="20"/>
                <w:szCs w:val="20"/>
                <w:lang w:val="sq-AL"/>
              </w:rPr>
              <w:t>Nga kjo, shpenzime korrente:</w:t>
            </w:r>
          </w:p>
        </w:tc>
        <w:tc>
          <w:tcPr>
            <w:tcW w:w="12197" w:type="dxa"/>
            <w:gridSpan w:val="9"/>
            <w:vAlign w:val="center"/>
          </w:tcPr>
          <w:p w14:paraId="356E054E" w14:textId="4E529463" w:rsidR="00D9571E" w:rsidRPr="003E7289" w:rsidRDefault="00D9571E" w:rsidP="00D9571E">
            <w:pPr>
              <w:spacing w:before="0" w:line="240" w:lineRule="auto"/>
              <w:jc w:val="center"/>
              <w:rPr>
                <w:rFonts w:ascii="Arial" w:hAnsi="Arial" w:cs="Arial"/>
                <w:color w:val="EE0000"/>
                <w:sz w:val="20"/>
                <w:szCs w:val="20"/>
                <w:highlight w:val="yellow"/>
                <w:lang w:val="sq-AL"/>
              </w:rPr>
            </w:pPr>
            <w:r w:rsidRPr="003E7289">
              <w:rPr>
                <w:rFonts w:ascii="Arial" w:hAnsi="Arial" w:cs="Arial"/>
                <w:sz w:val="20"/>
                <w:szCs w:val="20"/>
                <w:lang w:val="sq-AL"/>
              </w:rPr>
              <w:t>-</w:t>
            </w:r>
          </w:p>
        </w:tc>
      </w:tr>
      <w:tr w:rsidR="00D9571E" w:rsidRPr="003E7289" w14:paraId="012D3BB5" w14:textId="77777777" w:rsidTr="00A70686">
        <w:tc>
          <w:tcPr>
            <w:tcW w:w="993" w:type="dxa"/>
            <w:shd w:val="clear" w:color="auto" w:fill="84CCEC"/>
            <w:vAlign w:val="center"/>
          </w:tcPr>
          <w:p w14:paraId="7CE63D89" w14:textId="396F8490"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IV.</w:t>
            </w:r>
            <w:r w:rsidR="007464B3" w:rsidRPr="003E7289">
              <w:rPr>
                <w:rFonts w:ascii="Arial" w:hAnsi="Arial" w:cs="Arial"/>
                <w:b/>
                <w:bCs/>
                <w:sz w:val="20"/>
                <w:szCs w:val="20"/>
                <w:lang w:val="sq-AL"/>
              </w:rPr>
              <w:t>40</w:t>
            </w:r>
          </w:p>
        </w:tc>
        <w:tc>
          <w:tcPr>
            <w:tcW w:w="14175" w:type="dxa"/>
            <w:gridSpan w:val="10"/>
            <w:shd w:val="clear" w:color="auto" w:fill="84CCEC"/>
            <w:vAlign w:val="center"/>
          </w:tcPr>
          <w:p w14:paraId="27D3BE03" w14:textId="394723E9"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Trajnimi i personelit shëndetësor mbi protokollet për klimën dhe shëndetin</w:t>
            </w:r>
          </w:p>
        </w:tc>
      </w:tr>
      <w:tr w:rsidR="00D9571E" w:rsidRPr="003E7289" w14:paraId="47C2C0B4" w14:textId="77777777" w:rsidTr="00A70686">
        <w:tc>
          <w:tcPr>
            <w:tcW w:w="2971" w:type="dxa"/>
            <w:gridSpan w:val="2"/>
            <w:vAlign w:val="center"/>
          </w:tcPr>
          <w:p w14:paraId="3F582E39" w14:textId="257E4EE5" w:rsidR="00D9571E" w:rsidRPr="003E7289" w:rsidRDefault="00D9571E" w:rsidP="00D9571E">
            <w:pPr>
              <w:pStyle w:val="Default"/>
              <w:jc w:val="center"/>
              <w:rPr>
                <w:rFonts w:ascii="Arial" w:hAnsi="Arial" w:cs="Arial"/>
                <w:b/>
                <w:bCs/>
                <w:color w:val="auto"/>
                <w:kern w:val="2"/>
                <w:sz w:val="20"/>
                <w:szCs w:val="20"/>
                <w:lang w:val="sq-AL"/>
              </w:rPr>
            </w:pPr>
            <w:r w:rsidRPr="003E7289">
              <w:rPr>
                <w:rFonts w:ascii="Arial" w:hAnsi="Arial" w:cs="Arial"/>
                <w:b/>
                <w:bCs/>
                <w:color w:val="auto"/>
                <w:kern w:val="2"/>
                <w:sz w:val="20"/>
                <w:szCs w:val="20"/>
                <w:lang w:val="sq-AL"/>
              </w:rPr>
              <w:t>Numri i punonjësve të shëndetësisë (përfshirë punonjësit e shëndetësisë në komunitet) të trajnuar në çështjet shëndetësore që lidhen me klimën dhe reagimin ndaj emergjencave.</w:t>
            </w:r>
          </w:p>
        </w:tc>
        <w:tc>
          <w:tcPr>
            <w:tcW w:w="1707" w:type="dxa"/>
            <w:gridSpan w:val="2"/>
            <w:vAlign w:val="center"/>
          </w:tcPr>
          <w:p w14:paraId="34F225A3" w14:textId="77777777"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0</w:t>
            </w:r>
          </w:p>
        </w:tc>
        <w:tc>
          <w:tcPr>
            <w:tcW w:w="2693" w:type="dxa"/>
            <w:gridSpan w:val="3"/>
            <w:vAlign w:val="center"/>
          </w:tcPr>
          <w:p w14:paraId="489AB6DB" w14:textId="77777777"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1.000</w:t>
            </w:r>
          </w:p>
        </w:tc>
        <w:tc>
          <w:tcPr>
            <w:tcW w:w="1560" w:type="dxa"/>
            <w:vAlign w:val="center"/>
          </w:tcPr>
          <w:p w14:paraId="7265C4D3" w14:textId="77777777"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2.000</w:t>
            </w:r>
          </w:p>
        </w:tc>
        <w:tc>
          <w:tcPr>
            <w:tcW w:w="6237" w:type="dxa"/>
            <w:gridSpan w:val="3"/>
            <w:vAlign w:val="center"/>
          </w:tcPr>
          <w:p w14:paraId="453CC79E" w14:textId="60378DF3"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Të gjithë punonjësit e shëndetësisë janë të trajnuar për çështjet shëndetësore që lidhen me klimën dhe reagimin ndaj emergjencave.</w:t>
            </w:r>
          </w:p>
        </w:tc>
      </w:tr>
      <w:tr w:rsidR="00D9571E" w:rsidRPr="003E7289" w14:paraId="69894D36" w14:textId="77777777" w:rsidTr="00A70686">
        <w:trPr>
          <w:trHeight w:val="195"/>
        </w:trPr>
        <w:tc>
          <w:tcPr>
            <w:tcW w:w="993" w:type="dxa"/>
            <w:vMerge w:val="restart"/>
            <w:shd w:val="clear" w:color="auto" w:fill="C6E7F6"/>
            <w:vAlign w:val="center"/>
          </w:tcPr>
          <w:p w14:paraId="15679E19" w14:textId="48D5546E"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lastRenderedPageBreak/>
              <w:t>Nr.</w:t>
            </w:r>
          </w:p>
        </w:tc>
        <w:tc>
          <w:tcPr>
            <w:tcW w:w="1978" w:type="dxa"/>
            <w:vMerge w:val="restart"/>
            <w:shd w:val="clear" w:color="auto" w:fill="C6E7F6"/>
            <w:vAlign w:val="center"/>
          </w:tcPr>
          <w:p w14:paraId="4328DD5A" w14:textId="292E0812" w:rsidR="00D9571E" w:rsidRPr="003E7289" w:rsidRDefault="00D9571E" w:rsidP="00D9571E">
            <w:pPr>
              <w:spacing w:before="0" w:line="240" w:lineRule="auto"/>
              <w:jc w:val="center"/>
              <w:rPr>
                <w:rFonts w:ascii="Arial" w:hAnsi="Arial" w:cs="Arial"/>
                <w:b/>
                <w:bCs/>
                <w:sz w:val="20"/>
                <w:szCs w:val="20"/>
                <w:highlight w:val="yellow"/>
                <w:lang w:val="sq-AL"/>
              </w:rPr>
            </w:pPr>
            <w:r w:rsidRPr="003E7289">
              <w:rPr>
                <w:rFonts w:ascii="Arial" w:eastAsia="Aptos" w:hAnsi="Arial" w:cs="Arial"/>
                <w:b/>
                <w:bCs/>
                <w:sz w:val="20"/>
                <w:szCs w:val="20"/>
                <w:lang w:val="sq-AL"/>
              </w:rPr>
              <w:t>Veprimi</w:t>
            </w:r>
          </w:p>
        </w:tc>
        <w:tc>
          <w:tcPr>
            <w:tcW w:w="1707" w:type="dxa"/>
            <w:gridSpan w:val="2"/>
            <w:vMerge w:val="restart"/>
            <w:shd w:val="clear" w:color="auto" w:fill="C6E7F6"/>
            <w:vAlign w:val="center"/>
          </w:tcPr>
          <w:p w14:paraId="11C0AF59" w14:textId="0423069E"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Afati I fundit</w:t>
            </w:r>
          </w:p>
        </w:tc>
        <w:tc>
          <w:tcPr>
            <w:tcW w:w="2693" w:type="dxa"/>
            <w:gridSpan w:val="3"/>
            <w:shd w:val="clear" w:color="auto" w:fill="C6E7F6"/>
            <w:vAlign w:val="center"/>
          </w:tcPr>
          <w:p w14:paraId="2813A128" w14:textId="72621B3E"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Buxheti</w:t>
            </w:r>
          </w:p>
        </w:tc>
        <w:tc>
          <w:tcPr>
            <w:tcW w:w="1560" w:type="dxa"/>
            <w:vMerge w:val="restart"/>
            <w:shd w:val="clear" w:color="auto" w:fill="C6E7F6"/>
            <w:vAlign w:val="center"/>
          </w:tcPr>
          <w:p w14:paraId="141A3B60" w14:textId="2222B288"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Burimi i financimit</w:t>
            </w:r>
          </w:p>
        </w:tc>
        <w:tc>
          <w:tcPr>
            <w:tcW w:w="1417" w:type="dxa"/>
            <w:vMerge w:val="restart"/>
            <w:shd w:val="clear" w:color="auto" w:fill="C6E7F6"/>
            <w:vAlign w:val="center"/>
          </w:tcPr>
          <w:p w14:paraId="4D647C0F" w14:textId="18EF48F9"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Institucionet përgjegjëse dhe partnere</w:t>
            </w:r>
          </w:p>
        </w:tc>
        <w:tc>
          <w:tcPr>
            <w:tcW w:w="1276" w:type="dxa"/>
            <w:vMerge w:val="restart"/>
            <w:shd w:val="clear" w:color="auto" w:fill="C6E7F6"/>
            <w:vAlign w:val="center"/>
          </w:tcPr>
          <w:p w14:paraId="22F82F68" w14:textId="5EDD8A16"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Rezultati i pritur</w:t>
            </w:r>
          </w:p>
        </w:tc>
        <w:tc>
          <w:tcPr>
            <w:tcW w:w="3544" w:type="dxa"/>
            <w:vMerge w:val="restart"/>
            <w:shd w:val="clear" w:color="auto" w:fill="C6E7F6"/>
            <w:vAlign w:val="center"/>
          </w:tcPr>
          <w:p w14:paraId="263F6819" w14:textId="597D83F8"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eastAsia="Aptos" w:hAnsi="Arial" w:cs="Arial"/>
                <w:b/>
                <w:bCs/>
                <w:sz w:val="20"/>
                <w:szCs w:val="20"/>
                <w:lang w:val="sq-AL"/>
              </w:rPr>
              <w:t>Dokumenti strategjik referues</w:t>
            </w:r>
          </w:p>
        </w:tc>
      </w:tr>
      <w:tr w:rsidR="00D9571E" w:rsidRPr="003E7289" w14:paraId="295691ED" w14:textId="77777777" w:rsidTr="00A70686">
        <w:trPr>
          <w:trHeight w:val="195"/>
        </w:trPr>
        <w:tc>
          <w:tcPr>
            <w:tcW w:w="993" w:type="dxa"/>
            <w:vMerge/>
            <w:vAlign w:val="center"/>
          </w:tcPr>
          <w:p w14:paraId="5364116B" w14:textId="77777777" w:rsidR="00D9571E" w:rsidRPr="003E7289" w:rsidRDefault="00D9571E" w:rsidP="00D9571E">
            <w:pPr>
              <w:spacing w:before="0" w:line="240" w:lineRule="auto"/>
              <w:jc w:val="center"/>
              <w:rPr>
                <w:rFonts w:ascii="Arial" w:hAnsi="Arial" w:cs="Arial"/>
                <w:sz w:val="20"/>
                <w:szCs w:val="20"/>
                <w:lang w:val="sq-AL"/>
              </w:rPr>
            </w:pPr>
          </w:p>
        </w:tc>
        <w:tc>
          <w:tcPr>
            <w:tcW w:w="1978" w:type="dxa"/>
            <w:vMerge/>
            <w:vAlign w:val="center"/>
          </w:tcPr>
          <w:p w14:paraId="40FD18ED" w14:textId="77777777" w:rsidR="00D9571E" w:rsidRPr="003E7289" w:rsidRDefault="00D9571E" w:rsidP="00D9571E">
            <w:pPr>
              <w:spacing w:before="0" w:line="240" w:lineRule="auto"/>
              <w:jc w:val="center"/>
              <w:rPr>
                <w:rFonts w:ascii="Arial" w:hAnsi="Arial" w:cs="Arial"/>
                <w:b/>
                <w:bCs/>
                <w:sz w:val="20"/>
                <w:szCs w:val="20"/>
                <w:lang w:val="sq-AL"/>
              </w:rPr>
            </w:pPr>
          </w:p>
        </w:tc>
        <w:tc>
          <w:tcPr>
            <w:tcW w:w="1707" w:type="dxa"/>
            <w:gridSpan w:val="2"/>
            <w:vMerge/>
            <w:vAlign w:val="center"/>
          </w:tcPr>
          <w:p w14:paraId="48B21AE2" w14:textId="77777777" w:rsidR="00D9571E" w:rsidRPr="003E7289" w:rsidRDefault="00D9571E" w:rsidP="00D9571E">
            <w:pPr>
              <w:spacing w:before="0" w:line="240" w:lineRule="auto"/>
              <w:jc w:val="center"/>
              <w:rPr>
                <w:rFonts w:ascii="Arial" w:hAnsi="Arial" w:cs="Arial"/>
                <w:b/>
                <w:bCs/>
                <w:sz w:val="20"/>
                <w:szCs w:val="20"/>
                <w:highlight w:val="yellow"/>
                <w:lang w:val="sq-AL"/>
              </w:rPr>
            </w:pPr>
          </w:p>
        </w:tc>
        <w:tc>
          <w:tcPr>
            <w:tcW w:w="851" w:type="dxa"/>
            <w:shd w:val="clear" w:color="auto" w:fill="C6E7F6"/>
            <w:vAlign w:val="center"/>
          </w:tcPr>
          <w:p w14:paraId="73BE2152" w14:textId="77777777"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2026</w:t>
            </w:r>
          </w:p>
        </w:tc>
        <w:tc>
          <w:tcPr>
            <w:tcW w:w="992" w:type="dxa"/>
            <w:shd w:val="clear" w:color="auto" w:fill="C6E7F6"/>
            <w:vAlign w:val="center"/>
          </w:tcPr>
          <w:p w14:paraId="60114318" w14:textId="77777777"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2027</w:t>
            </w:r>
          </w:p>
        </w:tc>
        <w:tc>
          <w:tcPr>
            <w:tcW w:w="850" w:type="dxa"/>
            <w:shd w:val="clear" w:color="auto" w:fill="C6E7F6"/>
            <w:vAlign w:val="center"/>
          </w:tcPr>
          <w:p w14:paraId="1147D6C0" w14:textId="77777777"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2028</w:t>
            </w:r>
          </w:p>
        </w:tc>
        <w:tc>
          <w:tcPr>
            <w:tcW w:w="1560" w:type="dxa"/>
            <w:vMerge/>
            <w:vAlign w:val="center"/>
          </w:tcPr>
          <w:p w14:paraId="0C062DDD" w14:textId="77777777" w:rsidR="00D9571E" w:rsidRPr="003E7289" w:rsidRDefault="00D9571E" w:rsidP="00D9571E">
            <w:pPr>
              <w:spacing w:before="0" w:line="240" w:lineRule="auto"/>
              <w:jc w:val="center"/>
              <w:rPr>
                <w:rFonts w:ascii="Arial" w:hAnsi="Arial" w:cs="Arial"/>
                <w:b/>
                <w:bCs/>
                <w:sz w:val="20"/>
                <w:szCs w:val="20"/>
                <w:highlight w:val="yellow"/>
                <w:lang w:val="sq-AL"/>
              </w:rPr>
            </w:pPr>
          </w:p>
        </w:tc>
        <w:tc>
          <w:tcPr>
            <w:tcW w:w="1417" w:type="dxa"/>
            <w:vMerge/>
            <w:vAlign w:val="center"/>
          </w:tcPr>
          <w:p w14:paraId="641A2DE8" w14:textId="77777777" w:rsidR="00D9571E" w:rsidRPr="003E7289" w:rsidRDefault="00D9571E" w:rsidP="00D9571E">
            <w:pPr>
              <w:spacing w:before="0" w:line="240" w:lineRule="auto"/>
              <w:jc w:val="center"/>
              <w:rPr>
                <w:rFonts w:ascii="Arial" w:hAnsi="Arial" w:cs="Arial"/>
                <w:b/>
                <w:bCs/>
                <w:sz w:val="20"/>
                <w:szCs w:val="20"/>
                <w:highlight w:val="yellow"/>
                <w:lang w:val="sq-AL"/>
              </w:rPr>
            </w:pPr>
          </w:p>
        </w:tc>
        <w:tc>
          <w:tcPr>
            <w:tcW w:w="1276" w:type="dxa"/>
            <w:vMerge/>
            <w:vAlign w:val="center"/>
          </w:tcPr>
          <w:p w14:paraId="5B600714" w14:textId="77777777" w:rsidR="00D9571E" w:rsidRPr="003E7289" w:rsidRDefault="00D9571E" w:rsidP="00D9571E">
            <w:pPr>
              <w:spacing w:before="0" w:line="240" w:lineRule="auto"/>
              <w:jc w:val="center"/>
              <w:rPr>
                <w:rFonts w:ascii="Arial" w:hAnsi="Arial" w:cs="Arial"/>
                <w:b/>
                <w:bCs/>
                <w:sz w:val="20"/>
                <w:szCs w:val="20"/>
                <w:highlight w:val="yellow"/>
                <w:lang w:val="sq-AL"/>
              </w:rPr>
            </w:pPr>
          </w:p>
        </w:tc>
        <w:tc>
          <w:tcPr>
            <w:tcW w:w="3544" w:type="dxa"/>
            <w:vMerge/>
            <w:vAlign w:val="center"/>
          </w:tcPr>
          <w:p w14:paraId="0DFC7664" w14:textId="77777777" w:rsidR="00D9571E" w:rsidRPr="003E7289" w:rsidRDefault="00D9571E" w:rsidP="00D9571E">
            <w:pPr>
              <w:spacing w:before="0" w:line="240" w:lineRule="auto"/>
              <w:jc w:val="center"/>
              <w:rPr>
                <w:rFonts w:ascii="Arial" w:hAnsi="Arial" w:cs="Arial"/>
                <w:b/>
                <w:bCs/>
                <w:sz w:val="20"/>
                <w:szCs w:val="20"/>
                <w:highlight w:val="yellow"/>
                <w:lang w:val="sq-AL"/>
              </w:rPr>
            </w:pPr>
          </w:p>
        </w:tc>
      </w:tr>
      <w:tr w:rsidR="00D9571E" w:rsidRPr="003E7289" w14:paraId="2308E14D" w14:textId="77777777" w:rsidTr="00A70686">
        <w:tc>
          <w:tcPr>
            <w:tcW w:w="993" w:type="dxa"/>
            <w:vAlign w:val="center"/>
          </w:tcPr>
          <w:p w14:paraId="79290264" w14:textId="063D599D"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IV.</w:t>
            </w:r>
            <w:r w:rsidR="007464B3" w:rsidRPr="003E7289">
              <w:rPr>
                <w:rFonts w:ascii="Arial" w:hAnsi="Arial" w:cs="Arial"/>
                <w:b/>
                <w:bCs/>
                <w:sz w:val="20"/>
                <w:szCs w:val="20"/>
                <w:lang w:val="sq-AL"/>
              </w:rPr>
              <w:t>40</w:t>
            </w:r>
            <w:r w:rsidRPr="003E7289">
              <w:rPr>
                <w:rFonts w:ascii="Arial" w:hAnsi="Arial" w:cs="Arial"/>
                <w:b/>
                <w:bCs/>
                <w:sz w:val="20"/>
                <w:szCs w:val="20"/>
                <w:lang w:val="sq-AL"/>
              </w:rPr>
              <w:t>.1</w:t>
            </w:r>
          </w:p>
        </w:tc>
        <w:tc>
          <w:tcPr>
            <w:tcW w:w="1978" w:type="dxa"/>
            <w:vAlign w:val="center"/>
          </w:tcPr>
          <w:p w14:paraId="354DB99A" w14:textId="24120EF8"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Zhvillimi i Programit Kombëtar të Trajnimeve për Klimën dhe Shëndetin</w:t>
            </w:r>
          </w:p>
        </w:tc>
        <w:tc>
          <w:tcPr>
            <w:tcW w:w="1707" w:type="dxa"/>
            <w:gridSpan w:val="2"/>
            <w:vAlign w:val="center"/>
          </w:tcPr>
          <w:p w14:paraId="01D62BC8" w14:textId="77777777"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2026</w:t>
            </w:r>
          </w:p>
        </w:tc>
        <w:tc>
          <w:tcPr>
            <w:tcW w:w="851" w:type="dxa"/>
            <w:vAlign w:val="center"/>
          </w:tcPr>
          <w:p w14:paraId="105A3B2D" w14:textId="77777777"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4.365€</w:t>
            </w:r>
          </w:p>
        </w:tc>
        <w:tc>
          <w:tcPr>
            <w:tcW w:w="992" w:type="dxa"/>
            <w:vAlign w:val="center"/>
          </w:tcPr>
          <w:p w14:paraId="709CE492" w14:textId="77777777" w:rsidR="00D9571E" w:rsidRPr="003E7289" w:rsidRDefault="00D9571E" w:rsidP="00D9571E">
            <w:pPr>
              <w:spacing w:before="0" w:line="240" w:lineRule="auto"/>
              <w:jc w:val="center"/>
              <w:rPr>
                <w:rFonts w:ascii="Arial" w:hAnsi="Arial" w:cs="Arial"/>
                <w:sz w:val="20"/>
                <w:szCs w:val="20"/>
                <w:lang w:val="sq-AL"/>
              </w:rPr>
            </w:pPr>
          </w:p>
        </w:tc>
        <w:tc>
          <w:tcPr>
            <w:tcW w:w="850" w:type="dxa"/>
            <w:vAlign w:val="center"/>
          </w:tcPr>
          <w:p w14:paraId="4DF9A0DC" w14:textId="77777777" w:rsidR="00D9571E" w:rsidRPr="003E7289" w:rsidRDefault="00D9571E" w:rsidP="00D9571E">
            <w:pPr>
              <w:spacing w:before="0" w:line="240" w:lineRule="auto"/>
              <w:jc w:val="center"/>
              <w:rPr>
                <w:rFonts w:ascii="Arial" w:hAnsi="Arial" w:cs="Arial"/>
                <w:sz w:val="20"/>
                <w:szCs w:val="20"/>
                <w:lang w:val="sq-AL"/>
              </w:rPr>
            </w:pPr>
          </w:p>
        </w:tc>
        <w:tc>
          <w:tcPr>
            <w:tcW w:w="1560" w:type="dxa"/>
            <w:vAlign w:val="center"/>
          </w:tcPr>
          <w:p w14:paraId="7C9D0072" w14:textId="23B0C9CB"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Organizata Botërore e Shëndetësisë (OBSH), UNDP, Global Environment Facility, Banka Botërore, EU IPA III, Bashkëpunimi Zviceran për Zhvillim, GIZ</w:t>
            </w:r>
          </w:p>
        </w:tc>
        <w:tc>
          <w:tcPr>
            <w:tcW w:w="1417" w:type="dxa"/>
            <w:vAlign w:val="center"/>
          </w:tcPr>
          <w:p w14:paraId="504A73E4" w14:textId="167C803B"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Komisioni për Klimën dhe Shëndetin, Ministria e Shëndetësisë (MSH), Ministria e Mjedisit</w:t>
            </w:r>
          </w:p>
        </w:tc>
        <w:tc>
          <w:tcPr>
            <w:tcW w:w="1276" w:type="dxa"/>
            <w:vAlign w:val="center"/>
          </w:tcPr>
          <w:p w14:paraId="534CDC00" w14:textId="01FAD22F"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Kurrikula kombëtare për klimën dhe shëndetin dhe paketa e trajnimit të trajnerëve (ToT) janë të përgatitura.</w:t>
            </w:r>
          </w:p>
        </w:tc>
        <w:tc>
          <w:tcPr>
            <w:tcW w:w="3544" w:type="dxa"/>
            <w:vAlign w:val="center"/>
          </w:tcPr>
          <w:p w14:paraId="46A0D49A" w14:textId="7AA39294" w:rsidR="00D9571E" w:rsidRPr="003E7289" w:rsidRDefault="00BE39C7"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Strategjia</w:t>
            </w:r>
            <w:r w:rsidR="00D9571E" w:rsidRPr="003E7289">
              <w:rPr>
                <w:rFonts w:ascii="Arial" w:hAnsi="Arial" w:cs="Arial"/>
                <w:sz w:val="20"/>
                <w:szCs w:val="20"/>
                <w:lang w:val="sq-AL"/>
              </w:rPr>
              <w:t xml:space="preserve"> Sektoriale e Shëndetësisë 2025–2030</w:t>
            </w:r>
          </w:p>
        </w:tc>
      </w:tr>
      <w:tr w:rsidR="00D9571E" w:rsidRPr="003E7289" w14:paraId="0FF9FE59" w14:textId="77777777" w:rsidTr="00A70686">
        <w:tc>
          <w:tcPr>
            <w:tcW w:w="993" w:type="dxa"/>
            <w:vAlign w:val="center"/>
          </w:tcPr>
          <w:p w14:paraId="26B81A25" w14:textId="703B40F5"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IV.</w:t>
            </w:r>
            <w:r w:rsidR="007464B3" w:rsidRPr="003E7289">
              <w:rPr>
                <w:rFonts w:ascii="Arial" w:hAnsi="Arial" w:cs="Arial"/>
                <w:b/>
                <w:bCs/>
                <w:sz w:val="20"/>
                <w:szCs w:val="20"/>
                <w:lang w:val="sq-AL"/>
              </w:rPr>
              <w:t>40</w:t>
            </w:r>
            <w:r w:rsidRPr="003E7289">
              <w:rPr>
                <w:rFonts w:ascii="Arial" w:hAnsi="Arial" w:cs="Arial"/>
                <w:b/>
                <w:bCs/>
                <w:sz w:val="20"/>
                <w:szCs w:val="20"/>
                <w:lang w:val="sq-AL"/>
              </w:rPr>
              <w:t>.2</w:t>
            </w:r>
          </w:p>
        </w:tc>
        <w:tc>
          <w:tcPr>
            <w:tcW w:w="1978" w:type="dxa"/>
            <w:vAlign w:val="center"/>
          </w:tcPr>
          <w:p w14:paraId="7FCFC8BE" w14:textId="4F01899D"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Zbatimi Pilot i Trajnimeve dhe Grupi i Parë i Trajnuar në Masë</w:t>
            </w:r>
          </w:p>
        </w:tc>
        <w:tc>
          <w:tcPr>
            <w:tcW w:w="1707" w:type="dxa"/>
            <w:gridSpan w:val="2"/>
            <w:vAlign w:val="center"/>
          </w:tcPr>
          <w:p w14:paraId="61550FEA" w14:textId="77777777"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2028</w:t>
            </w:r>
          </w:p>
        </w:tc>
        <w:tc>
          <w:tcPr>
            <w:tcW w:w="851" w:type="dxa"/>
            <w:vAlign w:val="center"/>
          </w:tcPr>
          <w:p w14:paraId="17507D9F" w14:textId="77777777" w:rsidR="00D9571E" w:rsidRPr="003E7289" w:rsidRDefault="00D9571E" w:rsidP="00D9571E">
            <w:pPr>
              <w:spacing w:before="0" w:line="240" w:lineRule="auto"/>
              <w:jc w:val="center"/>
              <w:rPr>
                <w:rFonts w:ascii="Arial" w:hAnsi="Arial" w:cs="Arial"/>
                <w:sz w:val="20"/>
                <w:szCs w:val="20"/>
                <w:lang w:val="sq-AL"/>
              </w:rPr>
            </w:pPr>
          </w:p>
        </w:tc>
        <w:tc>
          <w:tcPr>
            <w:tcW w:w="992" w:type="dxa"/>
            <w:vAlign w:val="center"/>
          </w:tcPr>
          <w:p w14:paraId="05EFE8AC" w14:textId="77777777"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5.820€</w:t>
            </w:r>
          </w:p>
        </w:tc>
        <w:tc>
          <w:tcPr>
            <w:tcW w:w="850" w:type="dxa"/>
            <w:vAlign w:val="center"/>
          </w:tcPr>
          <w:p w14:paraId="5FBDD2E4" w14:textId="77777777" w:rsidR="00D9571E" w:rsidRPr="003E7289" w:rsidRDefault="00D9571E" w:rsidP="00D9571E">
            <w:pPr>
              <w:spacing w:before="0" w:line="240" w:lineRule="auto"/>
              <w:jc w:val="center"/>
              <w:rPr>
                <w:rFonts w:ascii="Arial" w:hAnsi="Arial" w:cs="Arial"/>
                <w:sz w:val="20"/>
                <w:szCs w:val="20"/>
                <w:lang w:val="sq-AL"/>
              </w:rPr>
            </w:pPr>
          </w:p>
        </w:tc>
        <w:tc>
          <w:tcPr>
            <w:tcW w:w="1560" w:type="dxa"/>
            <w:vAlign w:val="center"/>
          </w:tcPr>
          <w:p w14:paraId="10506ED1" w14:textId="07F49038"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OBSH, UNDP, Global Environment Facility, Banka Botërore, EU IPA III, Bashkëpunimi Zviceran për Zhvillim, GIZ</w:t>
            </w:r>
          </w:p>
        </w:tc>
        <w:tc>
          <w:tcPr>
            <w:tcW w:w="1417" w:type="dxa"/>
            <w:vAlign w:val="center"/>
          </w:tcPr>
          <w:p w14:paraId="78B7F04F" w14:textId="726092B9"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Komisioni për Klimën dhe Shëndetin</w:t>
            </w:r>
          </w:p>
        </w:tc>
        <w:tc>
          <w:tcPr>
            <w:tcW w:w="1276" w:type="dxa"/>
            <w:vAlign w:val="center"/>
          </w:tcPr>
          <w:p w14:paraId="438B033B" w14:textId="79446D2A"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500 punonjës të trajnuar; programi i rafinuar sipas përvojës.</w:t>
            </w:r>
          </w:p>
        </w:tc>
        <w:tc>
          <w:tcPr>
            <w:tcW w:w="3544" w:type="dxa"/>
            <w:vAlign w:val="center"/>
          </w:tcPr>
          <w:p w14:paraId="4707C414" w14:textId="2C37E753" w:rsidR="00D9571E" w:rsidRPr="003E7289" w:rsidRDefault="00BE39C7"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Strategjia</w:t>
            </w:r>
            <w:r w:rsidR="00D9571E" w:rsidRPr="003E7289">
              <w:rPr>
                <w:rFonts w:ascii="Arial" w:hAnsi="Arial" w:cs="Arial"/>
                <w:sz w:val="20"/>
                <w:szCs w:val="20"/>
                <w:lang w:val="sq-AL"/>
              </w:rPr>
              <w:t xml:space="preserve"> Sektoriale e Shëndetësisë 2025–2030</w:t>
            </w:r>
          </w:p>
        </w:tc>
      </w:tr>
      <w:tr w:rsidR="00D9571E" w:rsidRPr="003E7289" w14:paraId="5E614C90" w14:textId="77777777" w:rsidTr="00A70686">
        <w:tc>
          <w:tcPr>
            <w:tcW w:w="993" w:type="dxa"/>
            <w:vAlign w:val="center"/>
          </w:tcPr>
          <w:p w14:paraId="049F4FF6" w14:textId="77B2196A"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IV.</w:t>
            </w:r>
            <w:r w:rsidR="007464B3" w:rsidRPr="003E7289">
              <w:rPr>
                <w:rFonts w:ascii="Arial" w:hAnsi="Arial" w:cs="Arial"/>
                <w:b/>
                <w:bCs/>
                <w:sz w:val="20"/>
                <w:szCs w:val="20"/>
                <w:lang w:val="sq-AL"/>
              </w:rPr>
              <w:t>40</w:t>
            </w:r>
            <w:r w:rsidRPr="003E7289">
              <w:rPr>
                <w:rFonts w:ascii="Arial" w:hAnsi="Arial" w:cs="Arial"/>
                <w:b/>
                <w:bCs/>
                <w:sz w:val="20"/>
                <w:szCs w:val="20"/>
                <w:lang w:val="sq-AL"/>
              </w:rPr>
              <w:t>.3</w:t>
            </w:r>
          </w:p>
        </w:tc>
        <w:tc>
          <w:tcPr>
            <w:tcW w:w="1978" w:type="dxa"/>
            <w:vAlign w:val="center"/>
          </w:tcPr>
          <w:p w14:paraId="6ECB499C" w14:textId="75C61D74" w:rsidR="00D9571E" w:rsidRPr="003E7289" w:rsidRDefault="00D9571E" w:rsidP="00D9571E">
            <w:pPr>
              <w:spacing w:before="0" w:line="240" w:lineRule="auto"/>
              <w:jc w:val="center"/>
              <w:rPr>
                <w:rFonts w:ascii="Arial" w:hAnsi="Arial" w:cs="Arial"/>
                <w:b/>
                <w:bCs/>
                <w:sz w:val="20"/>
                <w:szCs w:val="20"/>
                <w:lang w:val="sq-AL"/>
              </w:rPr>
            </w:pPr>
            <w:r w:rsidRPr="003E7289">
              <w:rPr>
                <w:rFonts w:ascii="Arial" w:hAnsi="Arial" w:cs="Arial"/>
                <w:b/>
                <w:bCs/>
                <w:sz w:val="20"/>
                <w:szCs w:val="20"/>
                <w:lang w:val="sq-AL"/>
              </w:rPr>
              <w:t>Shtrirja Kombëtare dhe Ndërtimi i Vazhdueshëm i Kapaciteteve</w:t>
            </w:r>
          </w:p>
        </w:tc>
        <w:tc>
          <w:tcPr>
            <w:tcW w:w="1707" w:type="dxa"/>
            <w:gridSpan w:val="2"/>
            <w:vAlign w:val="center"/>
          </w:tcPr>
          <w:p w14:paraId="07D3DD30" w14:textId="77777777"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2040</w:t>
            </w:r>
          </w:p>
        </w:tc>
        <w:tc>
          <w:tcPr>
            <w:tcW w:w="851" w:type="dxa"/>
            <w:vAlign w:val="center"/>
          </w:tcPr>
          <w:p w14:paraId="65D9231F" w14:textId="77777777" w:rsidR="00D9571E" w:rsidRPr="003E7289" w:rsidRDefault="00D9571E" w:rsidP="00D9571E">
            <w:pPr>
              <w:spacing w:before="0" w:line="240" w:lineRule="auto"/>
              <w:jc w:val="center"/>
              <w:rPr>
                <w:rFonts w:ascii="Arial" w:hAnsi="Arial" w:cs="Arial"/>
                <w:sz w:val="20"/>
                <w:szCs w:val="20"/>
                <w:lang w:val="sq-AL"/>
              </w:rPr>
            </w:pPr>
          </w:p>
        </w:tc>
        <w:tc>
          <w:tcPr>
            <w:tcW w:w="992" w:type="dxa"/>
            <w:vAlign w:val="center"/>
          </w:tcPr>
          <w:p w14:paraId="56254E4D" w14:textId="77777777" w:rsidR="00D9571E" w:rsidRPr="003E7289" w:rsidRDefault="00D9571E" w:rsidP="00D9571E">
            <w:pPr>
              <w:spacing w:before="0" w:line="240" w:lineRule="auto"/>
              <w:jc w:val="center"/>
              <w:rPr>
                <w:rFonts w:ascii="Arial" w:hAnsi="Arial" w:cs="Arial"/>
                <w:sz w:val="20"/>
                <w:szCs w:val="20"/>
                <w:lang w:val="sq-AL"/>
              </w:rPr>
            </w:pPr>
          </w:p>
        </w:tc>
        <w:tc>
          <w:tcPr>
            <w:tcW w:w="850" w:type="dxa"/>
            <w:vAlign w:val="center"/>
          </w:tcPr>
          <w:p w14:paraId="7039CB58" w14:textId="77777777"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4.365€</w:t>
            </w:r>
          </w:p>
        </w:tc>
        <w:tc>
          <w:tcPr>
            <w:tcW w:w="1560" w:type="dxa"/>
            <w:vAlign w:val="center"/>
          </w:tcPr>
          <w:p w14:paraId="743AD3F8" w14:textId="74D962CF"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OBSH, UNDP, Global Environment Facility, Banka Botërore, EU IPA III, Bashkëpunimi Zviceran për Zhvillim, GIZ</w:t>
            </w:r>
          </w:p>
        </w:tc>
        <w:tc>
          <w:tcPr>
            <w:tcW w:w="1417" w:type="dxa"/>
            <w:vAlign w:val="center"/>
          </w:tcPr>
          <w:p w14:paraId="0FE2CB9B" w14:textId="3FF9A255"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Komisioni për Klimën dhe Shëndetin</w:t>
            </w:r>
          </w:p>
        </w:tc>
        <w:tc>
          <w:tcPr>
            <w:tcW w:w="1276" w:type="dxa"/>
            <w:vAlign w:val="center"/>
          </w:tcPr>
          <w:p w14:paraId="0AA9AC30" w14:textId="7987F527"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2.000 punonjës të trajnuar në nivel kombëtar.</w:t>
            </w:r>
          </w:p>
        </w:tc>
        <w:tc>
          <w:tcPr>
            <w:tcW w:w="3544" w:type="dxa"/>
            <w:vAlign w:val="center"/>
          </w:tcPr>
          <w:p w14:paraId="2A3F6DBA" w14:textId="0685F58B" w:rsidR="00D9571E" w:rsidRPr="003E7289" w:rsidRDefault="00BE39C7"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Strategjia</w:t>
            </w:r>
            <w:r w:rsidR="00D9571E" w:rsidRPr="003E7289">
              <w:rPr>
                <w:rFonts w:ascii="Arial" w:hAnsi="Arial" w:cs="Arial"/>
                <w:sz w:val="20"/>
                <w:szCs w:val="20"/>
                <w:lang w:val="sq-AL"/>
              </w:rPr>
              <w:t xml:space="preserve"> Sektoriale e Shëndetësisë 2025–2030</w:t>
            </w:r>
          </w:p>
        </w:tc>
      </w:tr>
      <w:tr w:rsidR="00D9571E" w:rsidRPr="003E7289" w14:paraId="0DC06FD7" w14:textId="77777777" w:rsidTr="00A70686">
        <w:tc>
          <w:tcPr>
            <w:tcW w:w="2971" w:type="dxa"/>
            <w:gridSpan w:val="2"/>
            <w:shd w:val="clear" w:color="auto" w:fill="C6E7F6"/>
            <w:vAlign w:val="center"/>
          </w:tcPr>
          <w:p w14:paraId="55C321E7" w14:textId="2A64F53B" w:rsidR="00D9571E" w:rsidRPr="003E7289" w:rsidRDefault="00D9571E" w:rsidP="00D9571E">
            <w:pPr>
              <w:spacing w:before="0" w:line="240" w:lineRule="auto"/>
              <w:rPr>
                <w:rFonts w:ascii="Arial" w:hAnsi="Arial" w:cs="Arial"/>
                <w:sz w:val="20"/>
                <w:szCs w:val="20"/>
                <w:lang w:val="sq-AL"/>
              </w:rPr>
            </w:pPr>
            <w:r w:rsidRPr="003E7289">
              <w:rPr>
                <w:rFonts w:ascii="Arial" w:eastAsia="Aptos" w:hAnsi="Arial" w:cs="Arial"/>
                <w:b/>
                <w:bCs/>
                <w:sz w:val="20"/>
                <w:szCs w:val="20"/>
                <w:lang w:val="sq-AL"/>
              </w:rPr>
              <w:t>Buxheti total për Objektivin specifik IV.39:</w:t>
            </w:r>
          </w:p>
        </w:tc>
        <w:tc>
          <w:tcPr>
            <w:tcW w:w="12197" w:type="dxa"/>
            <w:gridSpan w:val="9"/>
            <w:vAlign w:val="center"/>
          </w:tcPr>
          <w:p w14:paraId="39F882D8" w14:textId="77777777" w:rsidR="00D9571E" w:rsidRPr="003E7289" w:rsidRDefault="00D9571E" w:rsidP="00D9571E">
            <w:pPr>
              <w:spacing w:before="0" w:line="240" w:lineRule="auto"/>
              <w:jc w:val="center"/>
              <w:rPr>
                <w:rFonts w:ascii="Arial" w:hAnsi="Arial" w:cs="Arial"/>
                <w:sz w:val="20"/>
                <w:szCs w:val="20"/>
                <w:highlight w:val="yellow"/>
                <w:lang w:val="sq-AL"/>
              </w:rPr>
            </w:pPr>
            <w:r w:rsidRPr="003E7289">
              <w:rPr>
                <w:rFonts w:ascii="Arial" w:hAnsi="Arial" w:cs="Arial"/>
                <w:sz w:val="20"/>
                <w:szCs w:val="20"/>
                <w:lang w:val="sq-AL"/>
              </w:rPr>
              <w:t>14.550 €</w:t>
            </w:r>
          </w:p>
        </w:tc>
      </w:tr>
      <w:tr w:rsidR="00D9571E" w:rsidRPr="003E7289" w14:paraId="7283D873" w14:textId="77777777" w:rsidTr="00A70686">
        <w:tc>
          <w:tcPr>
            <w:tcW w:w="2971" w:type="dxa"/>
            <w:gridSpan w:val="2"/>
            <w:shd w:val="clear" w:color="auto" w:fill="C6E7F6"/>
          </w:tcPr>
          <w:p w14:paraId="2A8F36A4" w14:textId="0D8C0371" w:rsidR="00D9571E" w:rsidRPr="003E7289" w:rsidRDefault="00D9571E" w:rsidP="00D9571E">
            <w:pPr>
              <w:spacing w:before="0" w:line="240" w:lineRule="auto"/>
              <w:rPr>
                <w:rFonts w:ascii="Arial" w:hAnsi="Arial" w:cs="Arial"/>
                <w:sz w:val="20"/>
                <w:szCs w:val="20"/>
                <w:lang w:val="sq-AL"/>
              </w:rPr>
            </w:pPr>
            <w:r w:rsidRPr="003E7289">
              <w:rPr>
                <w:rFonts w:ascii="Arial" w:eastAsia="Aptos" w:hAnsi="Arial" w:cs="Arial"/>
                <w:b/>
                <w:bCs/>
                <w:sz w:val="20"/>
                <w:szCs w:val="20"/>
                <w:lang w:val="sq-AL"/>
              </w:rPr>
              <w:t>Nga kjo, kapital:</w:t>
            </w:r>
          </w:p>
        </w:tc>
        <w:tc>
          <w:tcPr>
            <w:tcW w:w="12197" w:type="dxa"/>
            <w:gridSpan w:val="9"/>
            <w:vAlign w:val="center"/>
          </w:tcPr>
          <w:p w14:paraId="532FF982" w14:textId="38B7AD4D"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10.185 €</w:t>
            </w:r>
          </w:p>
        </w:tc>
      </w:tr>
      <w:tr w:rsidR="00D9571E" w:rsidRPr="003E7289" w14:paraId="59E25C9A" w14:textId="77777777" w:rsidTr="00A70686">
        <w:tc>
          <w:tcPr>
            <w:tcW w:w="2971" w:type="dxa"/>
            <w:gridSpan w:val="2"/>
            <w:shd w:val="clear" w:color="auto" w:fill="C6E7F6"/>
          </w:tcPr>
          <w:p w14:paraId="4713A704" w14:textId="176CD4DC" w:rsidR="00D9571E" w:rsidRPr="003E7289" w:rsidRDefault="00D9571E" w:rsidP="00D9571E">
            <w:pPr>
              <w:spacing w:before="0" w:line="240" w:lineRule="auto"/>
              <w:rPr>
                <w:rFonts w:ascii="Arial" w:hAnsi="Arial" w:cs="Arial"/>
                <w:sz w:val="20"/>
                <w:szCs w:val="20"/>
                <w:lang w:val="sq-AL"/>
              </w:rPr>
            </w:pPr>
            <w:r w:rsidRPr="003E7289">
              <w:rPr>
                <w:rFonts w:ascii="Arial" w:eastAsia="Aptos" w:hAnsi="Arial" w:cs="Arial"/>
                <w:b/>
                <w:bCs/>
                <w:sz w:val="20"/>
                <w:szCs w:val="20"/>
                <w:lang w:val="sq-AL"/>
              </w:rPr>
              <w:t>Nga kjo, shpenzime korrente:</w:t>
            </w:r>
          </w:p>
        </w:tc>
        <w:tc>
          <w:tcPr>
            <w:tcW w:w="12197" w:type="dxa"/>
            <w:gridSpan w:val="9"/>
            <w:vAlign w:val="center"/>
          </w:tcPr>
          <w:p w14:paraId="57FB2C61" w14:textId="7C312A56" w:rsidR="00D9571E" w:rsidRPr="003E7289" w:rsidRDefault="00D9571E" w:rsidP="00D9571E">
            <w:pPr>
              <w:spacing w:before="0" w:line="240" w:lineRule="auto"/>
              <w:jc w:val="center"/>
              <w:rPr>
                <w:rFonts w:ascii="Arial" w:hAnsi="Arial" w:cs="Arial"/>
                <w:sz w:val="20"/>
                <w:szCs w:val="20"/>
                <w:lang w:val="sq-AL"/>
              </w:rPr>
            </w:pPr>
            <w:r w:rsidRPr="003E7289">
              <w:rPr>
                <w:rFonts w:ascii="Arial" w:hAnsi="Arial" w:cs="Arial"/>
                <w:sz w:val="20"/>
                <w:szCs w:val="20"/>
                <w:lang w:val="sq-AL"/>
              </w:rPr>
              <w:t>4.365 €</w:t>
            </w:r>
          </w:p>
        </w:tc>
      </w:tr>
    </w:tbl>
    <w:p w14:paraId="2CEFD314" w14:textId="77777777" w:rsidR="006D0672" w:rsidRPr="003E7289" w:rsidRDefault="006D0672" w:rsidP="006D0672">
      <w:pPr>
        <w:rPr>
          <w:rFonts w:ascii="Arial" w:hAnsi="Arial" w:cs="Arial"/>
          <w:lang w:val="sq-AL"/>
        </w:rPr>
      </w:pPr>
    </w:p>
    <w:sectPr w:rsidR="006D0672" w:rsidRPr="003E7289" w:rsidSect="00D546CE">
      <w:pgSz w:w="16838" w:h="11906" w:orient="landscape"/>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F5F63" w14:textId="77777777" w:rsidR="008D6BF0" w:rsidRPr="00BD03D8" w:rsidRDefault="008D6BF0" w:rsidP="001C7CBD">
      <w:pPr>
        <w:spacing w:before="0" w:after="0" w:line="240" w:lineRule="auto"/>
      </w:pPr>
      <w:r w:rsidRPr="00BD03D8">
        <w:separator/>
      </w:r>
    </w:p>
  </w:endnote>
  <w:endnote w:type="continuationSeparator" w:id="0">
    <w:p w14:paraId="360EAACE" w14:textId="77777777" w:rsidR="008D6BF0" w:rsidRPr="00BD03D8" w:rsidRDefault="008D6BF0" w:rsidP="001C7CBD">
      <w:pPr>
        <w:spacing w:before="0" w:after="0" w:line="240" w:lineRule="auto"/>
      </w:pPr>
      <w:r w:rsidRPr="00BD03D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badi">
    <w:charset w:val="00"/>
    <w:family w:val="swiss"/>
    <w:pitch w:val="variable"/>
    <w:sig w:usb0="80000003" w:usb1="00000000" w:usb2="00000000" w:usb3="00000000" w:csb0="00000093" w:csb1="00000000"/>
  </w:font>
  <w:font w:name="Yu Mincho">
    <w:charset w:val="80"/>
    <w:family w:val="roman"/>
    <w:pitch w:val="variable"/>
    <w:sig w:usb0="800002E7" w:usb1="2AC7FCFF" w:usb2="00000012" w:usb3="00000000" w:csb0="0002009F" w:csb1="00000000"/>
  </w:font>
  <w:font w:name="Aptos Display">
    <w:altName w:val="Arial"/>
    <w:charset w:val="00"/>
    <w:family w:val="swiss"/>
    <w:pitch w:val="variable"/>
    <w:sig w:usb0="00000001"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Myriad Pro">
    <w:altName w:val="Segoe UI"/>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0178908"/>
      <w:docPartObj>
        <w:docPartGallery w:val="Page Numbers (Bottom of Page)"/>
        <w:docPartUnique/>
      </w:docPartObj>
    </w:sdtPr>
    <w:sdtEndPr>
      <w:rPr>
        <w:sz w:val="20"/>
        <w:szCs w:val="20"/>
      </w:rPr>
    </w:sdtEndPr>
    <w:sdtContent>
      <w:p w14:paraId="52BDA10A" w14:textId="064D1746" w:rsidR="007065D4" w:rsidRPr="00BD03D8" w:rsidRDefault="007065D4">
        <w:pPr>
          <w:pStyle w:val="Footer"/>
          <w:jc w:val="right"/>
          <w:rPr>
            <w:sz w:val="20"/>
            <w:szCs w:val="20"/>
          </w:rPr>
        </w:pPr>
        <w:r w:rsidRPr="00BD03D8">
          <w:rPr>
            <w:sz w:val="20"/>
            <w:szCs w:val="20"/>
          </w:rPr>
          <w:fldChar w:fldCharType="begin"/>
        </w:r>
        <w:r w:rsidRPr="00BD03D8">
          <w:rPr>
            <w:sz w:val="20"/>
            <w:szCs w:val="20"/>
          </w:rPr>
          <w:instrText>PAGE   \* MERGEFORMAT</w:instrText>
        </w:r>
        <w:r w:rsidRPr="00BD03D8">
          <w:rPr>
            <w:sz w:val="20"/>
            <w:szCs w:val="20"/>
          </w:rPr>
          <w:fldChar w:fldCharType="separate"/>
        </w:r>
        <w:r w:rsidR="00435784">
          <w:rPr>
            <w:noProof/>
            <w:sz w:val="20"/>
            <w:szCs w:val="20"/>
          </w:rPr>
          <w:t>1</w:t>
        </w:r>
        <w:r w:rsidRPr="00BD03D8">
          <w:rPr>
            <w:sz w:val="20"/>
            <w:szCs w:val="20"/>
          </w:rPr>
          <w:fldChar w:fldCharType="end"/>
        </w:r>
      </w:p>
    </w:sdtContent>
  </w:sdt>
  <w:p w14:paraId="7958F218" w14:textId="77777777" w:rsidR="007065D4" w:rsidRPr="00BD03D8" w:rsidRDefault="007065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53C38B" w14:textId="77777777" w:rsidR="008D6BF0" w:rsidRPr="00BD03D8" w:rsidRDefault="008D6BF0" w:rsidP="001C7CBD">
      <w:pPr>
        <w:spacing w:before="0" w:after="0" w:line="240" w:lineRule="auto"/>
      </w:pPr>
      <w:r w:rsidRPr="00BD03D8">
        <w:separator/>
      </w:r>
    </w:p>
  </w:footnote>
  <w:footnote w:type="continuationSeparator" w:id="0">
    <w:p w14:paraId="4D834A50" w14:textId="77777777" w:rsidR="008D6BF0" w:rsidRPr="00BD03D8" w:rsidRDefault="008D6BF0" w:rsidP="001C7CBD">
      <w:pPr>
        <w:spacing w:before="0" w:after="0" w:line="240" w:lineRule="auto"/>
      </w:pPr>
      <w:r w:rsidRPr="00BD03D8">
        <w:continuationSeparator/>
      </w:r>
    </w:p>
  </w:footnote>
  <w:footnote w:id="1">
    <w:p w14:paraId="1B026C68" w14:textId="77777777" w:rsidR="00540947" w:rsidRPr="00556F7D" w:rsidRDefault="00540947" w:rsidP="00540947">
      <w:pPr>
        <w:pStyle w:val="FootnoteText"/>
        <w:jc w:val="both"/>
        <w:rPr>
          <w:rFonts w:ascii="Arial" w:hAnsi="Arial" w:cs="Arial"/>
          <w:sz w:val="18"/>
          <w:szCs w:val="18"/>
        </w:rPr>
      </w:pPr>
      <w:r w:rsidRPr="00556F7D">
        <w:rPr>
          <w:rStyle w:val="FootnoteReference"/>
          <w:rFonts w:ascii="Arial" w:hAnsi="Arial" w:cs="Arial"/>
          <w:sz w:val="18"/>
          <w:szCs w:val="18"/>
        </w:rPr>
        <w:footnoteRef/>
      </w:r>
      <w:r w:rsidRPr="00556F7D">
        <w:rPr>
          <w:rFonts w:ascii="Arial" w:hAnsi="Arial" w:cs="Arial"/>
          <w:sz w:val="18"/>
          <w:szCs w:val="18"/>
        </w:rPr>
        <w:t xml:space="preserve"> United States Agency for International Development (USAID). (2024). METHODOLOGIES FOR CLIMATE CHANGE VULNERABILITY ASSESSMENT IN KOSOVO DRAFT EXECUTIVE SUMMARY WITH CONCLUSIONS AND RECOMMENDATIONS.</w:t>
      </w:r>
    </w:p>
  </w:footnote>
  <w:footnote w:id="2">
    <w:p w14:paraId="47059A9D" w14:textId="77777777" w:rsidR="00540947" w:rsidRPr="00556F7D" w:rsidRDefault="00540947" w:rsidP="00540947">
      <w:pPr>
        <w:pStyle w:val="FootnoteText"/>
        <w:jc w:val="both"/>
        <w:rPr>
          <w:rFonts w:ascii="Arial" w:hAnsi="Arial" w:cs="Arial"/>
          <w:sz w:val="18"/>
          <w:szCs w:val="18"/>
        </w:rPr>
      </w:pPr>
      <w:r w:rsidRPr="00556F7D">
        <w:rPr>
          <w:rStyle w:val="FootnoteReference"/>
          <w:rFonts w:ascii="Arial" w:hAnsi="Arial" w:cs="Arial"/>
          <w:sz w:val="18"/>
          <w:szCs w:val="18"/>
        </w:rPr>
        <w:footnoteRef/>
      </w:r>
      <w:r w:rsidRPr="00556F7D">
        <w:rPr>
          <w:rFonts w:ascii="Arial" w:hAnsi="Arial" w:cs="Arial"/>
          <w:sz w:val="18"/>
          <w:szCs w:val="18"/>
        </w:rPr>
        <w:t xml:space="preserve"> World Bank Group (WBG). (2024). WESTERN BALKANS 6 Kosovo Country Compendium Country Climate and Development Report.</w:t>
      </w:r>
    </w:p>
  </w:footnote>
  <w:footnote w:id="3">
    <w:p w14:paraId="3D0941CB" w14:textId="77777777" w:rsidR="00540947" w:rsidRPr="00556F7D" w:rsidRDefault="00540947" w:rsidP="00540947">
      <w:pPr>
        <w:pStyle w:val="FootnoteText"/>
        <w:jc w:val="both"/>
        <w:rPr>
          <w:rFonts w:ascii="Arial" w:hAnsi="Arial" w:cs="Arial"/>
          <w:sz w:val="18"/>
          <w:szCs w:val="18"/>
        </w:rPr>
      </w:pPr>
      <w:r w:rsidRPr="00556F7D">
        <w:rPr>
          <w:rStyle w:val="FootnoteReference"/>
          <w:rFonts w:ascii="Arial" w:hAnsi="Arial" w:cs="Arial"/>
          <w:sz w:val="18"/>
          <w:szCs w:val="18"/>
        </w:rPr>
        <w:footnoteRef/>
      </w:r>
      <w:r w:rsidRPr="00556F7D">
        <w:rPr>
          <w:rFonts w:ascii="Arial" w:hAnsi="Arial" w:cs="Arial"/>
          <w:sz w:val="18"/>
          <w:szCs w:val="18"/>
        </w:rPr>
        <w:t xml:space="preserve"> World Bank Group (WBG). (2024). WESTERN BALKANS Regular Economic Report Invigorating Growth. 25.</w:t>
      </w:r>
    </w:p>
  </w:footnote>
  <w:footnote w:id="4">
    <w:p w14:paraId="71B62FB3" w14:textId="26CFBFDE" w:rsidR="00444A63" w:rsidRDefault="00444A63">
      <w:pPr>
        <w:pStyle w:val="FootnoteText"/>
      </w:pPr>
      <w:r w:rsidRPr="00556F7D">
        <w:rPr>
          <w:rStyle w:val="FootnoteReference"/>
          <w:rFonts w:ascii="Arial" w:hAnsi="Arial" w:cs="Arial"/>
        </w:rPr>
        <w:footnoteRef/>
      </w:r>
      <w:r w:rsidRPr="00556F7D">
        <w:rPr>
          <w:rFonts w:ascii="Arial" w:hAnsi="Arial" w:cs="Arial"/>
        </w:rPr>
        <w:t xml:space="preserve"> </w:t>
      </w:r>
      <w:hyperlink r:id="rId1" w:history="1">
        <w:r w:rsidRPr="00556F7D">
          <w:rPr>
            <w:rStyle w:val="Hyperlink"/>
            <w:rFonts w:ascii="Arial" w:hAnsi="Arial" w:cs="Arial"/>
          </w:rPr>
          <w:t>Ligji Nr. 08/L-250 për Ndryshime Klimatike</w:t>
        </w:r>
      </w:hyperlink>
    </w:p>
  </w:footnote>
  <w:footnote w:id="5">
    <w:p w14:paraId="6095AAB9" w14:textId="77777777" w:rsidR="007065D4" w:rsidRPr="00556F7D" w:rsidRDefault="007065D4" w:rsidP="00DA48FC">
      <w:pPr>
        <w:pStyle w:val="FootnoteText"/>
        <w:jc w:val="both"/>
        <w:rPr>
          <w:rFonts w:ascii="Arial" w:hAnsi="Arial" w:cs="Arial"/>
          <w:sz w:val="18"/>
          <w:szCs w:val="18"/>
        </w:rPr>
      </w:pPr>
      <w:r w:rsidRPr="00556F7D">
        <w:rPr>
          <w:rStyle w:val="FootnoteReference"/>
          <w:rFonts w:ascii="Arial" w:hAnsi="Arial" w:cs="Arial"/>
          <w:sz w:val="18"/>
          <w:szCs w:val="18"/>
        </w:rPr>
        <w:footnoteRef/>
      </w:r>
      <w:r w:rsidRPr="00556F7D">
        <w:rPr>
          <w:rFonts w:ascii="Arial" w:hAnsi="Arial" w:cs="Arial"/>
          <w:sz w:val="18"/>
          <w:szCs w:val="18"/>
        </w:rPr>
        <w:t xml:space="preserve"> European Commission, &amp; European Environment Agency (EEA). (2022). Climate-ADAPT strategy 2022-2024. </w:t>
      </w:r>
      <w:hyperlink r:id="rId2" w:history="1">
        <w:r w:rsidRPr="00556F7D">
          <w:rPr>
            <w:rStyle w:val="Hyperlink"/>
            <w:rFonts w:ascii="Arial" w:hAnsi="Arial" w:cs="Arial"/>
            <w:color w:val="auto"/>
            <w:sz w:val="18"/>
            <w:szCs w:val="18"/>
          </w:rPr>
          <w:t>https://climate-adapt.eea.europa.eu/en/about/climate-adapt-strategy-2022-2024-final.pdf/@@download/file</w:t>
        </w:r>
      </w:hyperlink>
      <w:r w:rsidRPr="00556F7D">
        <w:rPr>
          <w:rFonts w:ascii="Arial" w:hAnsi="Arial" w:cs="Arial"/>
          <w:sz w:val="18"/>
          <w:szCs w:val="18"/>
        </w:rPr>
        <w:t xml:space="preserve"> </w:t>
      </w:r>
    </w:p>
  </w:footnote>
  <w:footnote w:id="6">
    <w:p w14:paraId="31CEB135" w14:textId="77777777" w:rsidR="007065D4" w:rsidRPr="00556F7D" w:rsidRDefault="007065D4" w:rsidP="001A015B">
      <w:pPr>
        <w:pStyle w:val="FootnoteText"/>
        <w:jc w:val="both"/>
        <w:rPr>
          <w:rFonts w:ascii="Arial" w:hAnsi="Arial" w:cs="Arial"/>
          <w:sz w:val="18"/>
          <w:szCs w:val="18"/>
        </w:rPr>
      </w:pPr>
      <w:r w:rsidRPr="00556F7D">
        <w:rPr>
          <w:rStyle w:val="FootnoteReference"/>
          <w:rFonts w:ascii="Arial" w:hAnsi="Arial" w:cs="Arial"/>
          <w:sz w:val="18"/>
          <w:szCs w:val="18"/>
        </w:rPr>
        <w:footnoteRef/>
      </w:r>
      <w:r w:rsidRPr="00556F7D">
        <w:rPr>
          <w:rFonts w:ascii="Arial" w:hAnsi="Arial" w:cs="Arial"/>
          <w:sz w:val="18"/>
          <w:szCs w:val="18"/>
        </w:rPr>
        <w:t xml:space="preserve"> IPCC. (2023). IPCC Sixth Assessment Report - Synthesis Report. In Intergovernmental Panel on Climate Change, 2023. </w:t>
      </w:r>
      <w:hyperlink r:id="rId3" w:history="1">
        <w:r w:rsidRPr="00556F7D">
          <w:rPr>
            <w:rStyle w:val="Hyperlink"/>
            <w:rFonts w:ascii="Arial" w:hAnsi="Arial" w:cs="Arial"/>
            <w:color w:val="auto"/>
            <w:sz w:val="18"/>
            <w:szCs w:val="18"/>
          </w:rPr>
          <w:t>https://www.ipcc.ch/report/ar6/syr/downloads/report/IPCC_AR6_SYR_FullVolume.pdf</w:t>
        </w:r>
      </w:hyperlink>
    </w:p>
  </w:footnote>
  <w:footnote w:id="7">
    <w:p w14:paraId="61710549" w14:textId="77777777" w:rsidR="007065D4" w:rsidRPr="00556F7D" w:rsidRDefault="007065D4" w:rsidP="001A015B">
      <w:pPr>
        <w:pStyle w:val="FootnoteText"/>
        <w:jc w:val="both"/>
        <w:rPr>
          <w:rFonts w:ascii="Arial" w:hAnsi="Arial" w:cs="Arial"/>
        </w:rPr>
      </w:pPr>
      <w:r w:rsidRPr="00556F7D">
        <w:rPr>
          <w:rStyle w:val="FootnoteReference"/>
          <w:rFonts w:ascii="Arial" w:hAnsi="Arial" w:cs="Arial"/>
          <w:sz w:val="18"/>
          <w:szCs w:val="18"/>
        </w:rPr>
        <w:footnoteRef/>
      </w:r>
      <w:r w:rsidRPr="00556F7D">
        <w:rPr>
          <w:rFonts w:ascii="Arial" w:hAnsi="Arial" w:cs="Arial"/>
          <w:sz w:val="18"/>
          <w:szCs w:val="18"/>
        </w:rPr>
        <w:t xml:space="preserve"> IPCC. (2014). AR5 Synthesis Report: Climate Change. </w:t>
      </w:r>
      <w:hyperlink r:id="rId4" w:history="1">
        <w:r w:rsidRPr="00556F7D">
          <w:rPr>
            <w:rStyle w:val="Hyperlink"/>
            <w:rFonts w:ascii="Arial" w:hAnsi="Arial" w:cs="Arial"/>
            <w:color w:val="auto"/>
            <w:sz w:val="18"/>
            <w:szCs w:val="18"/>
          </w:rPr>
          <w:t>https://doi.org/10.1080/00139157.1992.9931432</w:t>
        </w:r>
      </w:hyperlink>
      <w:r w:rsidRPr="00556F7D">
        <w:rPr>
          <w:rFonts w:ascii="Arial" w:hAnsi="Arial" w:cs="Arial"/>
        </w:rPr>
        <w:t xml:space="preserve"> </w:t>
      </w:r>
    </w:p>
  </w:footnote>
  <w:footnote w:id="8">
    <w:p w14:paraId="7CB5113B" w14:textId="77777777" w:rsidR="007065D4" w:rsidRPr="00556F7D" w:rsidRDefault="007065D4" w:rsidP="001A015B">
      <w:pPr>
        <w:pStyle w:val="FootnoteText"/>
        <w:jc w:val="both"/>
        <w:rPr>
          <w:rFonts w:ascii="Arial" w:hAnsi="Arial" w:cs="Arial"/>
          <w:sz w:val="18"/>
          <w:szCs w:val="18"/>
        </w:rPr>
      </w:pPr>
      <w:r w:rsidRPr="00556F7D">
        <w:rPr>
          <w:rStyle w:val="FootnoteReference"/>
          <w:rFonts w:ascii="Arial" w:hAnsi="Arial" w:cs="Arial"/>
          <w:sz w:val="18"/>
          <w:szCs w:val="18"/>
        </w:rPr>
        <w:footnoteRef/>
      </w:r>
      <w:r w:rsidRPr="00556F7D">
        <w:rPr>
          <w:rFonts w:ascii="Arial" w:hAnsi="Arial" w:cs="Arial"/>
          <w:sz w:val="18"/>
          <w:szCs w:val="18"/>
        </w:rPr>
        <w:t xml:space="preserve"> IPCC. (2023). IPCC Sixth Assessment Report - Synthesis Report. In Intergovernmental Panel on Climate Change, 2023. </w:t>
      </w:r>
      <w:hyperlink r:id="rId5" w:history="1">
        <w:r w:rsidRPr="00556F7D">
          <w:rPr>
            <w:rStyle w:val="Hyperlink"/>
            <w:rFonts w:ascii="Arial" w:hAnsi="Arial" w:cs="Arial"/>
            <w:color w:val="auto"/>
            <w:sz w:val="18"/>
            <w:szCs w:val="18"/>
          </w:rPr>
          <w:t>https://www.ipcc.ch/report/ar6/syr/downloads/report/IPCC_AR6_SYR_FullVolume.pdf</w:t>
        </w:r>
      </w:hyperlink>
    </w:p>
  </w:footnote>
  <w:footnote w:id="9">
    <w:p w14:paraId="440458CF" w14:textId="77777777" w:rsidR="007065D4" w:rsidRPr="007A06E7" w:rsidRDefault="007065D4" w:rsidP="001A015B">
      <w:pPr>
        <w:pStyle w:val="FootnoteText"/>
        <w:jc w:val="both"/>
        <w:rPr>
          <w:sz w:val="18"/>
          <w:szCs w:val="18"/>
        </w:rPr>
      </w:pPr>
      <w:r w:rsidRPr="00556F7D">
        <w:rPr>
          <w:rStyle w:val="FootnoteReference"/>
          <w:rFonts w:ascii="Arial" w:hAnsi="Arial" w:cs="Arial"/>
          <w:sz w:val="18"/>
          <w:szCs w:val="18"/>
        </w:rPr>
        <w:footnoteRef/>
      </w:r>
      <w:r w:rsidRPr="00556F7D">
        <w:rPr>
          <w:rFonts w:ascii="Arial" w:hAnsi="Arial" w:cs="Arial"/>
          <w:sz w:val="18"/>
          <w:szCs w:val="18"/>
        </w:rPr>
        <w:t xml:space="preserve"> IPCC. (2023). IPCC Sixth Assessment Report - Synthesis Report. In Intergovernmental Panel on Climate Change, 2023. </w:t>
      </w:r>
      <w:hyperlink r:id="rId6" w:history="1">
        <w:r w:rsidRPr="00556F7D">
          <w:rPr>
            <w:rStyle w:val="Hyperlink"/>
            <w:rFonts w:ascii="Arial" w:hAnsi="Arial" w:cs="Arial"/>
            <w:color w:val="auto"/>
            <w:sz w:val="18"/>
            <w:szCs w:val="18"/>
          </w:rPr>
          <w:t>https://www.ipcc.ch/report/ar6/syr/downloads/report/IPCC_AR6_SYR_FullVolume.pdf</w:t>
        </w:r>
      </w:hyperlink>
    </w:p>
  </w:footnote>
  <w:footnote w:id="10">
    <w:p w14:paraId="582AD12C" w14:textId="77777777" w:rsidR="007065D4" w:rsidRPr="00555EA0" w:rsidRDefault="007065D4" w:rsidP="001A015B">
      <w:pPr>
        <w:pStyle w:val="FootnoteText"/>
        <w:jc w:val="both"/>
        <w:rPr>
          <w:rFonts w:ascii="Arial" w:hAnsi="Arial" w:cs="Arial"/>
          <w:sz w:val="18"/>
          <w:szCs w:val="18"/>
        </w:rPr>
      </w:pPr>
      <w:r w:rsidRPr="00555EA0">
        <w:rPr>
          <w:rStyle w:val="FootnoteReference"/>
          <w:rFonts w:ascii="Arial" w:hAnsi="Arial" w:cs="Arial"/>
          <w:sz w:val="18"/>
          <w:szCs w:val="18"/>
        </w:rPr>
        <w:footnoteRef/>
      </w:r>
      <w:r w:rsidRPr="00555EA0">
        <w:rPr>
          <w:rFonts w:ascii="Arial" w:hAnsi="Arial" w:cs="Arial"/>
          <w:sz w:val="18"/>
          <w:szCs w:val="18"/>
        </w:rPr>
        <w:t xml:space="preserve"> World Bank Group (WBG). (2021). Kosovo. Current ClimateTrends and Significant Change against Natural Variability. </w:t>
      </w:r>
      <w:hyperlink r:id="rId7" w:history="1">
        <w:r w:rsidRPr="00555EA0">
          <w:rPr>
            <w:rStyle w:val="Hyperlink"/>
            <w:rFonts w:ascii="Arial" w:hAnsi="Arial" w:cs="Arial"/>
            <w:color w:val="auto"/>
            <w:sz w:val="18"/>
            <w:szCs w:val="18"/>
          </w:rPr>
          <w:t>https://climateknowledgeportal.worldbank.org/country/kosovo/trends-variability-projections</w:t>
        </w:r>
      </w:hyperlink>
    </w:p>
  </w:footnote>
  <w:footnote w:id="11">
    <w:p w14:paraId="7DA778AC" w14:textId="77777777" w:rsidR="007065D4" w:rsidRPr="00555EA0" w:rsidRDefault="007065D4" w:rsidP="001A015B">
      <w:pPr>
        <w:pStyle w:val="FootnoteText"/>
        <w:jc w:val="both"/>
        <w:rPr>
          <w:rFonts w:ascii="Arial" w:hAnsi="Arial" w:cs="Arial"/>
          <w:sz w:val="18"/>
          <w:szCs w:val="18"/>
        </w:rPr>
      </w:pPr>
      <w:r w:rsidRPr="00555EA0">
        <w:rPr>
          <w:rStyle w:val="FootnoteReference"/>
          <w:rFonts w:ascii="Arial" w:hAnsi="Arial" w:cs="Arial"/>
          <w:sz w:val="18"/>
          <w:szCs w:val="18"/>
        </w:rPr>
        <w:footnoteRef/>
      </w:r>
      <w:r w:rsidRPr="00555EA0">
        <w:rPr>
          <w:rFonts w:ascii="Arial" w:hAnsi="Arial" w:cs="Arial"/>
          <w:sz w:val="18"/>
          <w:szCs w:val="18"/>
        </w:rPr>
        <w:t xml:space="preserve"> World Bank Group (WBG). (2024). WESTERN BALKANS 6 Kosovo Country Compendium Country Climate and Development Report.</w:t>
      </w:r>
    </w:p>
  </w:footnote>
  <w:footnote w:id="12">
    <w:p w14:paraId="1CCD49B6" w14:textId="77777777" w:rsidR="007065D4" w:rsidRPr="001A015B" w:rsidRDefault="007065D4" w:rsidP="001A015B">
      <w:pPr>
        <w:pStyle w:val="FootnoteText"/>
        <w:jc w:val="both"/>
        <w:rPr>
          <w:sz w:val="18"/>
          <w:szCs w:val="18"/>
        </w:rPr>
      </w:pPr>
      <w:r w:rsidRPr="00555EA0">
        <w:rPr>
          <w:rStyle w:val="FootnoteReference"/>
          <w:rFonts w:ascii="Arial" w:hAnsi="Arial" w:cs="Arial"/>
          <w:sz w:val="18"/>
          <w:szCs w:val="18"/>
        </w:rPr>
        <w:footnoteRef/>
      </w:r>
      <w:r w:rsidRPr="00555EA0">
        <w:rPr>
          <w:rFonts w:ascii="Arial" w:hAnsi="Arial" w:cs="Arial"/>
          <w:sz w:val="18"/>
          <w:szCs w:val="18"/>
        </w:rPr>
        <w:t xml:space="preserve"> World Bank Group (WBG). (2024). WESTERN BALKANS 6 Kosovo Country Compendium Country Climate and Development Report.</w:t>
      </w:r>
    </w:p>
  </w:footnote>
  <w:footnote w:id="13">
    <w:p w14:paraId="0A917BE6" w14:textId="77777777" w:rsidR="007065D4" w:rsidRPr="00167D21" w:rsidRDefault="007065D4" w:rsidP="001A015B">
      <w:pPr>
        <w:pStyle w:val="FootnoteText"/>
        <w:jc w:val="both"/>
        <w:rPr>
          <w:rFonts w:ascii="Arial" w:hAnsi="Arial" w:cs="Arial"/>
          <w:sz w:val="18"/>
          <w:szCs w:val="18"/>
        </w:rPr>
      </w:pPr>
      <w:r w:rsidRPr="00167D21">
        <w:rPr>
          <w:rStyle w:val="FootnoteReference"/>
          <w:rFonts w:ascii="Arial" w:hAnsi="Arial" w:cs="Arial"/>
          <w:sz w:val="18"/>
          <w:szCs w:val="18"/>
        </w:rPr>
        <w:footnoteRef/>
      </w:r>
      <w:r w:rsidRPr="00167D21">
        <w:rPr>
          <w:rFonts w:ascii="Arial" w:hAnsi="Arial" w:cs="Arial"/>
          <w:sz w:val="18"/>
          <w:szCs w:val="18"/>
        </w:rPr>
        <w:t xml:space="preserve"> World Bank Group (WBG). (2024). WESTERN BALKANS 6 Kosovo Country Compendium Country Climate and Development Report.</w:t>
      </w:r>
    </w:p>
  </w:footnote>
  <w:footnote w:id="14">
    <w:p w14:paraId="36782D45" w14:textId="77777777" w:rsidR="007065D4" w:rsidRPr="00167D21" w:rsidRDefault="007065D4" w:rsidP="001A015B">
      <w:pPr>
        <w:pStyle w:val="FootnoteText"/>
        <w:jc w:val="both"/>
        <w:rPr>
          <w:rFonts w:ascii="Arial" w:hAnsi="Arial" w:cs="Arial"/>
          <w:sz w:val="18"/>
          <w:szCs w:val="18"/>
        </w:rPr>
      </w:pPr>
      <w:r w:rsidRPr="00167D21">
        <w:rPr>
          <w:rStyle w:val="FootnoteReference"/>
          <w:rFonts w:ascii="Arial" w:hAnsi="Arial" w:cs="Arial"/>
          <w:sz w:val="18"/>
          <w:szCs w:val="18"/>
        </w:rPr>
        <w:footnoteRef/>
      </w:r>
      <w:r w:rsidRPr="00167D21">
        <w:rPr>
          <w:rFonts w:ascii="Arial" w:hAnsi="Arial" w:cs="Arial"/>
          <w:sz w:val="18"/>
          <w:szCs w:val="18"/>
        </w:rPr>
        <w:t xml:space="preserve"> Western Balkans Investment Framework (WBIF). (2021). Completion of the EU-funded Preliminary Flood Risk Assessment for the River Basins in Kosovo. </w:t>
      </w:r>
      <w:hyperlink r:id="rId8" w:history="1">
        <w:r w:rsidRPr="00167D21">
          <w:rPr>
            <w:rStyle w:val="Hyperlink"/>
            <w:rFonts w:ascii="Arial" w:hAnsi="Arial" w:cs="Arial"/>
            <w:color w:val="auto"/>
            <w:sz w:val="18"/>
            <w:szCs w:val="18"/>
            <w:u w:val="none"/>
          </w:rPr>
          <w:t>https://wbif.eu/news-details/completion-eu-funded-preliminary-flood-risk-assessment-river-basins-kosovo</w:t>
        </w:r>
      </w:hyperlink>
      <w:r w:rsidRPr="00167D21">
        <w:rPr>
          <w:rFonts w:ascii="Arial" w:hAnsi="Arial" w:cs="Arial"/>
          <w:sz w:val="18"/>
          <w:szCs w:val="18"/>
        </w:rPr>
        <w:t xml:space="preserve"> </w:t>
      </w:r>
    </w:p>
  </w:footnote>
  <w:footnote w:id="15">
    <w:p w14:paraId="3B6D8782" w14:textId="77777777" w:rsidR="007065D4" w:rsidRPr="00167D21" w:rsidRDefault="007065D4" w:rsidP="001A015B">
      <w:pPr>
        <w:pStyle w:val="FootnoteText"/>
        <w:jc w:val="both"/>
        <w:rPr>
          <w:rFonts w:ascii="Arial" w:hAnsi="Arial" w:cs="Arial"/>
          <w:sz w:val="18"/>
          <w:szCs w:val="18"/>
        </w:rPr>
      </w:pPr>
      <w:r w:rsidRPr="00167D21">
        <w:rPr>
          <w:rStyle w:val="FootnoteReference"/>
          <w:rFonts w:ascii="Arial" w:hAnsi="Arial" w:cs="Arial"/>
          <w:sz w:val="18"/>
          <w:szCs w:val="18"/>
        </w:rPr>
        <w:footnoteRef/>
      </w:r>
      <w:r w:rsidRPr="00167D21">
        <w:rPr>
          <w:rFonts w:ascii="Arial" w:hAnsi="Arial" w:cs="Arial"/>
          <w:sz w:val="18"/>
          <w:szCs w:val="18"/>
        </w:rPr>
        <w:t xml:space="preserve"> World Bank Group (WBG). (2021). Kosovo. Current ClimateTrends and Significant Change against Natural Variability. </w:t>
      </w:r>
      <w:hyperlink r:id="rId9" w:history="1">
        <w:r w:rsidRPr="00167D21">
          <w:rPr>
            <w:rStyle w:val="Hyperlink"/>
            <w:rFonts w:ascii="Arial" w:hAnsi="Arial" w:cs="Arial"/>
            <w:color w:val="auto"/>
            <w:sz w:val="18"/>
            <w:szCs w:val="18"/>
            <w:u w:val="none"/>
          </w:rPr>
          <w:t>https://climateknowledgeportal.worldbank.org/country/kosovo/trends-variability-projections</w:t>
        </w:r>
      </w:hyperlink>
      <w:r w:rsidRPr="00167D21">
        <w:rPr>
          <w:rFonts w:ascii="Arial" w:hAnsi="Arial" w:cs="Arial"/>
          <w:sz w:val="18"/>
          <w:szCs w:val="18"/>
        </w:rPr>
        <w:t xml:space="preserve"> </w:t>
      </w:r>
    </w:p>
  </w:footnote>
  <w:footnote w:id="16">
    <w:p w14:paraId="5ABA849D" w14:textId="40DF9297" w:rsidR="007B0C6E" w:rsidRDefault="007B0C6E">
      <w:pPr>
        <w:pStyle w:val="FootnoteText"/>
      </w:pPr>
      <w:r w:rsidRPr="00167D21">
        <w:rPr>
          <w:rStyle w:val="FootnoteReference"/>
          <w:rFonts w:ascii="Arial" w:hAnsi="Arial" w:cs="Arial"/>
        </w:rPr>
        <w:footnoteRef/>
      </w:r>
      <w:r w:rsidRPr="00167D21">
        <w:rPr>
          <w:rFonts w:ascii="Arial" w:hAnsi="Arial" w:cs="Arial"/>
        </w:rPr>
        <w:t xml:space="preserve"> </w:t>
      </w:r>
      <w:r w:rsidRPr="00167D21">
        <w:rPr>
          <w:rFonts w:ascii="Arial" w:hAnsi="Arial" w:cs="Arial"/>
          <w:sz w:val="18"/>
          <w:szCs w:val="18"/>
        </w:rPr>
        <w:t>The flood data was produced by JBA for the CCDR.</w:t>
      </w:r>
    </w:p>
  </w:footnote>
  <w:footnote w:id="17">
    <w:p w14:paraId="6BE4CC96" w14:textId="68AF90C4" w:rsidR="007065D4" w:rsidRPr="00FE6BDF" w:rsidRDefault="007065D4" w:rsidP="001A015B">
      <w:pPr>
        <w:pStyle w:val="FootnoteText"/>
        <w:jc w:val="both"/>
        <w:rPr>
          <w:rFonts w:ascii="Arial" w:hAnsi="Arial" w:cs="Arial"/>
          <w:sz w:val="18"/>
          <w:szCs w:val="18"/>
        </w:rPr>
      </w:pPr>
      <w:r w:rsidRPr="00FE6BDF">
        <w:rPr>
          <w:rStyle w:val="FootnoteReference"/>
          <w:rFonts w:ascii="Arial" w:hAnsi="Arial" w:cs="Arial"/>
          <w:sz w:val="18"/>
          <w:szCs w:val="18"/>
        </w:rPr>
        <w:footnoteRef/>
      </w:r>
      <w:r w:rsidRPr="00FE6BDF">
        <w:rPr>
          <w:rFonts w:ascii="Arial" w:hAnsi="Arial" w:cs="Arial"/>
          <w:sz w:val="18"/>
          <w:szCs w:val="18"/>
        </w:rPr>
        <w:t xml:space="preserve"> World Bank Group (WBG). (2024). WESTERN BALKANS Kosovo Country Compendium Country Climate and Development Report.</w:t>
      </w:r>
    </w:p>
  </w:footnote>
  <w:footnote w:id="18">
    <w:p w14:paraId="75AD9554" w14:textId="7E031128" w:rsidR="007065D4" w:rsidRPr="00FE6BDF" w:rsidRDefault="007065D4" w:rsidP="001A015B">
      <w:pPr>
        <w:pStyle w:val="FootnoteText"/>
        <w:jc w:val="both"/>
        <w:rPr>
          <w:rFonts w:ascii="Arial" w:hAnsi="Arial" w:cs="Arial"/>
        </w:rPr>
      </w:pPr>
      <w:r w:rsidRPr="00FE6BDF">
        <w:rPr>
          <w:rStyle w:val="FootnoteReference"/>
          <w:rFonts w:ascii="Arial" w:hAnsi="Arial" w:cs="Arial"/>
          <w:sz w:val="18"/>
          <w:szCs w:val="18"/>
        </w:rPr>
        <w:footnoteRef/>
      </w:r>
      <w:r w:rsidRPr="00FE6BDF">
        <w:rPr>
          <w:rFonts w:ascii="Arial" w:hAnsi="Arial" w:cs="Arial"/>
          <w:sz w:val="18"/>
          <w:szCs w:val="18"/>
        </w:rPr>
        <w:t xml:space="preserve"> World Bank Group (WBG). (2024). WESTERN BALKANS Kosovo Country Compendium Country Climate and Development Report.</w:t>
      </w:r>
    </w:p>
  </w:footnote>
  <w:footnote w:id="19">
    <w:p w14:paraId="00F0DF88" w14:textId="56B615C7" w:rsidR="007065D4" w:rsidRPr="00577545" w:rsidRDefault="007065D4" w:rsidP="001A015B">
      <w:pPr>
        <w:pStyle w:val="FootnoteText"/>
        <w:jc w:val="both"/>
        <w:rPr>
          <w:rFonts w:ascii="Arial" w:hAnsi="Arial" w:cs="Arial"/>
          <w:sz w:val="18"/>
          <w:szCs w:val="18"/>
          <w:lang w:val="es-ES"/>
        </w:rPr>
      </w:pPr>
      <w:r w:rsidRPr="00577545">
        <w:rPr>
          <w:rStyle w:val="FootnoteReference"/>
          <w:rFonts w:ascii="Arial" w:hAnsi="Arial" w:cs="Arial"/>
          <w:sz w:val="18"/>
          <w:szCs w:val="18"/>
        </w:rPr>
        <w:footnoteRef/>
      </w:r>
      <w:r w:rsidRPr="00577545">
        <w:rPr>
          <w:rFonts w:ascii="Arial" w:hAnsi="Arial" w:cs="Arial"/>
          <w:sz w:val="18"/>
          <w:szCs w:val="18"/>
        </w:rPr>
        <w:t xml:space="preserve"> World Bank Group (WBG). (2021). Kosovo. Current Climate Trends and Significant Change against Natural Variability. </w:t>
      </w:r>
      <w:hyperlink r:id="rId10" w:history="1">
        <w:r w:rsidRPr="00577545">
          <w:rPr>
            <w:rStyle w:val="Hyperlink"/>
            <w:rFonts w:ascii="Arial" w:hAnsi="Arial" w:cs="Arial"/>
            <w:color w:val="auto"/>
            <w:sz w:val="18"/>
            <w:szCs w:val="18"/>
            <w:u w:val="none"/>
            <w:lang w:val="es-ES"/>
          </w:rPr>
          <w:t>https://climateknowledgeportal.worldbank.org/country/kosovo/trends-variability-projections</w:t>
        </w:r>
      </w:hyperlink>
      <w:r w:rsidRPr="00577545">
        <w:rPr>
          <w:rFonts w:ascii="Arial" w:hAnsi="Arial" w:cs="Arial"/>
          <w:sz w:val="18"/>
          <w:szCs w:val="18"/>
          <w:lang w:val="es-ES"/>
        </w:rPr>
        <w:t xml:space="preserve"> </w:t>
      </w:r>
    </w:p>
  </w:footnote>
  <w:footnote w:id="20">
    <w:p w14:paraId="33BC26B8" w14:textId="77777777" w:rsidR="007065D4" w:rsidRPr="00577545" w:rsidRDefault="007065D4" w:rsidP="001A015B">
      <w:pPr>
        <w:pStyle w:val="FootnoteText"/>
        <w:jc w:val="both"/>
        <w:rPr>
          <w:rFonts w:ascii="Arial" w:hAnsi="Arial" w:cs="Arial"/>
          <w:sz w:val="18"/>
          <w:szCs w:val="18"/>
        </w:rPr>
      </w:pPr>
      <w:r w:rsidRPr="00577545">
        <w:rPr>
          <w:rStyle w:val="FootnoteReference"/>
          <w:rFonts w:ascii="Arial" w:hAnsi="Arial" w:cs="Arial"/>
          <w:sz w:val="18"/>
          <w:szCs w:val="18"/>
        </w:rPr>
        <w:footnoteRef/>
      </w:r>
      <w:r w:rsidRPr="00577545">
        <w:rPr>
          <w:rFonts w:ascii="Arial" w:hAnsi="Arial" w:cs="Arial"/>
          <w:sz w:val="18"/>
          <w:szCs w:val="18"/>
          <w:lang w:val="es-ES"/>
        </w:rPr>
        <w:t xml:space="preserve"> IPCC. </w:t>
      </w:r>
      <w:r w:rsidRPr="00577545">
        <w:rPr>
          <w:rFonts w:ascii="Arial" w:hAnsi="Arial" w:cs="Arial"/>
          <w:sz w:val="18"/>
          <w:szCs w:val="18"/>
        </w:rPr>
        <w:t xml:space="preserve">(2023). IPCC Sixth Assessment Report - Synthesis Report. In Intergovernmental Panel on Climate Change, 2023. </w:t>
      </w:r>
      <w:hyperlink r:id="rId11" w:history="1">
        <w:r w:rsidRPr="00577545">
          <w:rPr>
            <w:rStyle w:val="Hyperlink"/>
            <w:rFonts w:ascii="Arial" w:hAnsi="Arial" w:cs="Arial"/>
            <w:color w:val="auto"/>
            <w:sz w:val="18"/>
            <w:szCs w:val="18"/>
          </w:rPr>
          <w:t>https://www.ipcc.ch/report/ar6/syr/downloads/report/IPCC_AR6_SYR_FullVolume.pdf</w:t>
        </w:r>
      </w:hyperlink>
      <w:r w:rsidRPr="00577545">
        <w:rPr>
          <w:rFonts w:ascii="Arial" w:hAnsi="Arial" w:cs="Arial"/>
          <w:sz w:val="18"/>
          <w:szCs w:val="18"/>
        </w:rPr>
        <w:t xml:space="preserve"> </w:t>
      </w:r>
    </w:p>
    <w:p w14:paraId="5426312B" w14:textId="77777777" w:rsidR="007065D4" w:rsidRPr="007A06E7" w:rsidRDefault="007065D4" w:rsidP="001D4FA1">
      <w:pPr>
        <w:pStyle w:val="FootnoteText"/>
      </w:pPr>
    </w:p>
  </w:footnote>
  <w:footnote w:id="21">
    <w:p w14:paraId="2B40640F" w14:textId="0F2E4E15" w:rsidR="007065D4" w:rsidRPr="00577545" w:rsidRDefault="007065D4" w:rsidP="001A015B">
      <w:pPr>
        <w:pStyle w:val="FootnoteText"/>
        <w:jc w:val="both"/>
        <w:rPr>
          <w:rFonts w:ascii="Arial" w:hAnsi="Arial" w:cs="Arial"/>
          <w:sz w:val="18"/>
          <w:szCs w:val="18"/>
        </w:rPr>
      </w:pPr>
      <w:r w:rsidRPr="00577545">
        <w:rPr>
          <w:rStyle w:val="FootnoteReference"/>
          <w:rFonts w:ascii="Arial" w:hAnsi="Arial" w:cs="Arial"/>
          <w:sz w:val="18"/>
          <w:szCs w:val="18"/>
        </w:rPr>
        <w:footnoteRef/>
      </w:r>
      <w:r w:rsidRPr="00577545">
        <w:rPr>
          <w:rFonts w:ascii="Arial" w:hAnsi="Arial" w:cs="Arial"/>
          <w:sz w:val="18"/>
          <w:szCs w:val="18"/>
        </w:rPr>
        <w:t xml:space="preserve"> IIASA (International Institute for Applied Systems Analysis)</w:t>
      </w:r>
    </w:p>
  </w:footnote>
  <w:footnote w:id="22">
    <w:p w14:paraId="5839192C" w14:textId="77777777" w:rsidR="007065D4" w:rsidRPr="00F54B4B" w:rsidRDefault="007065D4" w:rsidP="001A015B">
      <w:pPr>
        <w:pStyle w:val="FootnoteText"/>
        <w:jc w:val="both"/>
        <w:rPr>
          <w:rFonts w:ascii="Arial" w:hAnsi="Arial" w:cs="Arial"/>
          <w:sz w:val="18"/>
          <w:szCs w:val="18"/>
        </w:rPr>
      </w:pPr>
      <w:r w:rsidRPr="00F54B4B">
        <w:rPr>
          <w:rStyle w:val="FootnoteReference"/>
          <w:rFonts w:ascii="Arial" w:hAnsi="Arial" w:cs="Arial"/>
          <w:sz w:val="18"/>
          <w:szCs w:val="18"/>
        </w:rPr>
        <w:footnoteRef/>
      </w:r>
      <w:r w:rsidRPr="00F54B4B">
        <w:rPr>
          <w:rFonts w:ascii="Arial" w:hAnsi="Arial" w:cs="Arial"/>
          <w:sz w:val="18"/>
          <w:szCs w:val="18"/>
        </w:rPr>
        <w:t xml:space="preserve"> Western Balkans Investment Framework (WBIF). (2021). Kosovo, Flood Risk Maps and Flood Hazard Maps for All River Basins in Kosovo. https://www.wbif.eu/technicalassistancegrants//WB25-KOS-ENV-02#:~:text=The Preliminary Flood Risk Assessment,and 538 economically important areas. </w:t>
      </w:r>
    </w:p>
  </w:footnote>
  <w:footnote w:id="23">
    <w:p w14:paraId="2187875A" w14:textId="77777777" w:rsidR="007065D4" w:rsidRPr="00C61440" w:rsidRDefault="007065D4" w:rsidP="001A015B">
      <w:pPr>
        <w:pStyle w:val="FootnoteText"/>
        <w:jc w:val="both"/>
        <w:rPr>
          <w:rFonts w:ascii="Arial" w:hAnsi="Arial" w:cs="Arial"/>
          <w:sz w:val="18"/>
          <w:szCs w:val="18"/>
        </w:rPr>
      </w:pPr>
      <w:r w:rsidRPr="00C61440">
        <w:rPr>
          <w:rStyle w:val="FootnoteReference"/>
          <w:rFonts w:ascii="Arial" w:hAnsi="Arial" w:cs="Arial"/>
          <w:sz w:val="18"/>
          <w:szCs w:val="18"/>
        </w:rPr>
        <w:footnoteRef/>
      </w:r>
      <w:r w:rsidRPr="00C61440">
        <w:rPr>
          <w:rFonts w:ascii="Arial" w:hAnsi="Arial" w:cs="Arial"/>
          <w:sz w:val="18"/>
          <w:szCs w:val="18"/>
        </w:rPr>
        <w:t xml:space="preserve"> Joint Research Centre (JRC), &amp; European Commission. (2022). JCR Technical Report Forest Fires in Europe, Middle East and North Africa 2021. </w:t>
      </w:r>
      <w:hyperlink r:id="rId12" w:history="1">
        <w:r w:rsidRPr="00C61440">
          <w:rPr>
            <w:rStyle w:val="Hyperlink"/>
            <w:rFonts w:ascii="Arial" w:hAnsi="Arial" w:cs="Arial"/>
            <w:color w:val="auto"/>
            <w:sz w:val="18"/>
            <w:szCs w:val="18"/>
          </w:rPr>
          <w:t>https://doi.org/10.2760/34094</w:t>
        </w:r>
      </w:hyperlink>
      <w:r w:rsidRPr="00C61440">
        <w:rPr>
          <w:rFonts w:ascii="Arial" w:hAnsi="Arial" w:cs="Arial"/>
          <w:sz w:val="18"/>
          <w:szCs w:val="18"/>
        </w:rPr>
        <w:t xml:space="preserve"> </w:t>
      </w:r>
    </w:p>
  </w:footnote>
  <w:footnote w:id="24">
    <w:p w14:paraId="7826561C" w14:textId="1AE43CC3" w:rsidR="002D7131" w:rsidRPr="003F1EF1" w:rsidRDefault="002D7131">
      <w:pPr>
        <w:pStyle w:val="FootnoteText"/>
        <w:rPr>
          <w:rFonts w:ascii="Arial" w:hAnsi="Arial" w:cs="Arial"/>
          <w:sz w:val="18"/>
          <w:szCs w:val="18"/>
        </w:rPr>
      </w:pPr>
      <w:r w:rsidRPr="003F1EF1">
        <w:rPr>
          <w:rStyle w:val="FootnoteReference"/>
          <w:rFonts w:ascii="Arial" w:hAnsi="Arial" w:cs="Arial"/>
          <w:sz w:val="18"/>
          <w:szCs w:val="18"/>
        </w:rPr>
        <w:footnoteRef/>
      </w:r>
      <w:r w:rsidRPr="003F1EF1">
        <w:rPr>
          <w:rFonts w:ascii="Arial" w:hAnsi="Arial" w:cs="Arial"/>
          <w:sz w:val="18"/>
          <w:szCs w:val="18"/>
        </w:rPr>
        <w:t xml:space="preserve"> </w:t>
      </w:r>
      <w:r w:rsidR="003F1EF1">
        <w:rPr>
          <w:rFonts w:ascii="Arial" w:hAnsi="Arial" w:cs="Arial"/>
          <w:sz w:val="18"/>
          <w:szCs w:val="18"/>
        </w:rPr>
        <w:t>Shënim</w:t>
      </w:r>
      <w:r w:rsidRPr="003F1EF1">
        <w:rPr>
          <w:rFonts w:ascii="Arial" w:hAnsi="Arial" w:cs="Arial"/>
          <w:sz w:val="18"/>
          <w:szCs w:val="18"/>
        </w:rPr>
        <w:t xml:space="preserve">: </w:t>
      </w:r>
      <w:r w:rsidR="003F1EF1">
        <w:rPr>
          <w:rFonts w:ascii="Arial" w:hAnsi="Arial" w:cs="Arial"/>
          <w:sz w:val="18"/>
          <w:szCs w:val="18"/>
        </w:rPr>
        <w:t>Përfshin cënueshmërinë socio-ekonomike</w:t>
      </w:r>
    </w:p>
  </w:footnote>
  <w:footnote w:id="25">
    <w:p w14:paraId="416EE6AE" w14:textId="4B37F1C2" w:rsidR="00D23BB3" w:rsidRPr="003F1EF1" w:rsidRDefault="00D23BB3" w:rsidP="00D23BB3">
      <w:pPr>
        <w:pStyle w:val="FootnoteText"/>
        <w:rPr>
          <w:rFonts w:ascii="Arial" w:hAnsi="Arial" w:cs="Arial"/>
          <w:sz w:val="18"/>
          <w:szCs w:val="18"/>
        </w:rPr>
      </w:pPr>
      <w:r w:rsidRPr="003F1EF1">
        <w:rPr>
          <w:rStyle w:val="FootnoteReference"/>
          <w:rFonts w:ascii="Arial" w:hAnsi="Arial" w:cs="Arial"/>
          <w:sz w:val="18"/>
          <w:szCs w:val="18"/>
        </w:rPr>
        <w:footnoteRef/>
      </w:r>
      <w:r w:rsidRPr="003F1EF1">
        <w:rPr>
          <w:rFonts w:ascii="Arial" w:hAnsi="Arial" w:cs="Arial"/>
          <w:sz w:val="18"/>
          <w:szCs w:val="18"/>
        </w:rPr>
        <w:t xml:space="preserve"> Shënim: Klasifikimi bazohet në metodologjinë e Shkallës së Urbanizimit të Komisionit Evropian, e zbatuar mbi rrjetin e popullsisë Global Human Settlement (GHS) me rezolucion 1 km². Qytetet janë zona ku më shumë se 50% e popullsisë jeton në një qendër urbane (e përcaktuar si një zonë e pandërprerë me dendësi minimale prej 1500 banorësh për km² dhe një popullsi minimale prej 50,000 banorësh). Qytezat janë zona që nuk plotësojnë pragun për klasifikim si Qytet, por ku më shumë se 50 për qind e popullsisë jeton në grupe urbane (të përcaktuara si zona të pandërprera me dendësi minimale prej 300 banorësh për km² dhe një popullsi minimale prej 5000 banorësh).</w:t>
      </w:r>
    </w:p>
  </w:footnote>
  <w:footnote w:id="26">
    <w:p w14:paraId="629AB222" w14:textId="1120369C" w:rsidR="00D23BB3" w:rsidRPr="003F1EF1" w:rsidRDefault="00D23BB3">
      <w:pPr>
        <w:pStyle w:val="FootnoteText"/>
        <w:rPr>
          <w:rFonts w:ascii="Arial" w:hAnsi="Arial" w:cs="Arial"/>
          <w:sz w:val="18"/>
          <w:szCs w:val="18"/>
        </w:rPr>
      </w:pPr>
      <w:r w:rsidRPr="003F1EF1">
        <w:rPr>
          <w:rStyle w:val="FootnoteReference"/>
          <w:rFonts w:ascii="Arial" w:hAnsi="Arial" w:cs="Arial"/>
          <w:sz w:val="18"/>
          <w:szCs w:val="18"/>
        </w:rPr>
        <w:footnoteRef/>
      </w:r>
      <w:r w:rsidRPr="003F1EF1">
        <w:rPr>
          <w:rFonts w:ascii="Arial" w:hAnsi="Arial" w:cs="Arial"/>
          <w:sz w:val="18"/>
          <w:szCs w:val="18"/>
        </w:rPr>
        <w:t xml:space="preserve"> Shënim: Figura paraqet shpërndarjen e determinantëve individualë të masës së cenueshmërisë mesatare. Qasja në tregje matet si potenciali i popullsisë, duke përdorur distancën rrugore (në km) nga qendra gjeografike e komunës deri te të gjitha zonat urbane (të identifikuara sipas përkufizimit të Komisionit Evropian për grupet urbane) në vitin 2020, duke u kufizuar vetëm në tregjet brenda të njëjtit vend.</w:t>
      </w:r>
    </w:p>
  </w:footnote>
  <w:footnote w:id="27">
    <w:p w14:paraId="1BDBFE62" w14:textId="02FA03F0" w:rsidR="00D23BB3" w:rsidRPr="003F1EF1" w:rsidRDefault="00D23BB3" w:rsidP="00D23BB3">
      <w:pPr>
        <w:pStyle w:val="FootnoteText"/>
        <w:rPr>
          <w:rFonts w:ascii="Arial" w:hAnsi="Arial" w:cs="Arial"/>
          <w:sz w:val="18"/>
          <w:szCs w:val="18"/>
        </w:rPr>
      </w:pPr>
      <w:r w:rsidRPr="003F1EF1">
        <w:rPr>
          <w:rStyle w:val="FootnoteReference"/>
          <w:rFonts w:ascii="Arial" w:hAnsi="Arial" w:cs="Arial"/>
        </w:rPr>
        <w:footnoteRef/>
      </w:r>
      <w:r w:rsidRPr="003F1EF1">
        <w:rPr>
          <w:rFonts w:ascii="Arial" w:hAnsi="Arial" w:cs="Arial"/>
        </w:rPr>
        <w:t xml:space="preserve"> </w:t>
      </w:r>
      <w:r w:rsidRPr="003F1EF1">
        <w:rPr>
          <w:rFonts w:ascii="Arial" w:hAnsi="Arial" w:cs="Arial"/>
          <w:sz w:val="18"/>
          <w:szCs w:val="18"/>
        </w:rPr>
        <w:t>Shënim:</w:t>
      </w:r>
      <w:r w:rsidRPr="003F1EF1">
        <w:rPr>
          <w:rFonts w:ascii="Arial" w:hAnsi="Arial" w:cs="Arial"/>
        </w:rPr>
        <w:t xml:space="preserve"> </w:t>
      </w:r>
      <w:r w:rsidRPr="003F1EF1">
        <w:rPr>
          <w:rFonts w:ascii="Arial" w:hAnsi="Arial" w:cs="Arial"/>
          <w:sz w:val="18"/>
          <w:szCs w:val="18"/>
        </w:rPr>
        <w:t>Cenueshmëria mesatare matet si mesatarja aritmetike e vlerësimeve nga 1 deri në 4, të caktuara për secilën komunë bazuar në kuartilet e shpërndarjeve të: rritjes/rënies së popullsisë nga viti 2000 deri në vitin 2020, dhe qasjes në tregje. Ekspozimi i lartë ndaj përmbytjeve tregon një thellësi mesatare bruto prej gjysmë metri ose më shumë për një ngjarje përmbytjeje (lumore ose sipërfaqësore), me një probabilitet vjetor ndodhjeje prej 1 për qind. Ekspozimi i ulët ndaj përmbytjeve nënkupton një thellësi më të vogël se 20 cm për një ngjarje të ngjashme. Rreziku i lartë nga zjarret në pyje përfaqëson një vlerësim mesatar komunal prej 3 ose më shumë, bazuar në rrjetin e rrezikut nga zjarret të CIMA-s, i cili i cakton çdo qelie 100x100 m një vlerë nga 1 (shumë i ulët) deri në 6 (shumë i lartë). Rreziku i lartë nga rrëshqitjet e tokës përcaktohet në mënyrë të ngjashme si një vlerësim mesatar komunal prej 3 ose më shumë, bazuar në rrjetin e rrezikut nga rrëshqitjet e tokës ELSUS v2, i cili i cakton çdo qelie 200x200 m një vlerë nga 1 (shumë i ulët) deri në 5 (shumë i lartë). Për të dyja – zjarret dhe rrëshqitjet e tokës – rreziku i ulët përcaktohet si një mesatare nën 2.</w:t>
      </w:r>
    </w:p>
  </w:footnote>
  <w:footnote w:id="28">
    <w:p w14:paraId="1EF0D88E" w14:textId="20D54444" w:rsidR="007065D4" w:rsidRPr="003F1EF1" w:rsidRDefault="007065D4" w:rsidP="00456FD1">
      <w:pPr>
        <w:pStyle w:val="FootnoteText"/>
        <w:jc w:val="both"/>
        <w:rPr>
          <w:rFonts w:ascii="Arial" w:hAnsi="Arial" w:cs="Arial"/>
          <w:sz w:val="18"/>
          <w:szCs w:val="18"/>
        </w:rPr>
      </w:pPr>
      <w:r w:rsidRPr="003F1EF1">
        <w:rPr>
          <w:rStyle w:val="FootnoteReference"/>
          <w:rFonts w:ascii="Arial" w:hAnsi="Arial" w:cs="Arial"/>
          <w:sz w:val="18"/>
          <w:szCs w:val="18"/>
        </w:rPr>
        <w:footnoteRef/>
      </w:r>
      <w:r w:rsidRPr="003F1EF1">
        <w:rPr>
          <w:rFonts w:ascii="Arial" w:hAnsi="Arial" w:cs="Arial"/>
          <w:sz w:val="18"/>
          <w:szCs w:val="18"/>
        </w:rPr>
        <w:t xml:space="preserve"> IPCC, 2023</w:t>
      </w:r>
    </w:p>
  </w:footnote>
  <w:footnote w:id="29">
    <w:p w14:paraId="75AB729D" w14:textId="2D091FF4" w:rsidR="007065D4" w:rsidRPr="009E00F5" w:rsidRDefault="007065D4" w:rsidP="00456FD1">
      <w:pPr>
        <w:pStyle w:val="FootnoteText"/>
        <w:jc w:val="both"/>
      </w:pPr>
      <w:r w:rsidRPr="003F1EF1">
        <w:rPr>
          <w:rStyle w:val="FootnoteReference"/>
          <w:rFonts w:ascii="Arial" w:hAnsi="Arial" w:cs="Arial"/>
          <w:sz w:val="18"/>
          <w:szCs w:val="18"/>
        </w:rPr>
        <w:footnoteRef/>
      </w:r>
      <w:r w:rsidRPr="003F1EF1">
        <w:rPr>
          <w:rFonts w:ascii="Arial" w:hAnsi="Arial" w:cs="Arial"/>
          <w:sz w:val="18"/>
          <w:szCs w:val="18"/>
        </w:rPr>
        <w:t xml:space="preserve"> Ministry of Environment Spatial Planning and Infrastructure</w:t>
      </w:r>
    </w:p>
  </w:footnote>
  <w:footnote w:id="30">
    <w:p w14:paraId="14FAA9D6" w14:textId="43675CE3" w:rsidR="00650CA4" w:rsidRPr="00A40FCE" w:rsidRDefault="00650CA4">
      <w:pPr>
        <w:pStyle w:val="FootnoteText"/>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IPCC, 2023; World Bank Group (WBG), 2024</w:t>
      </w:r>
    </w:p>
  </w:footnote>
  <w:footnote w:id="31">
    <w:p w14:paraId="396C6BF9" w14:textId="1B484745" w:rsidR="007065D4" w:rsidRPr="00A40FCE" w:rsidRDefault="007065D4" w:rsidP="00456FD1">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IPCC, 2023; Ministry of Environment Spatial Planning and Infrastructure, n.d.; United States Agency for International Development (USAID), 2024; World Bank Group (WBG), 2024</w:t>
      </w:r>
    </w:p>
  </w:footnote>
  <w:footnote w:id="32">
    <w:p w14:paraId="60962A86" w14:textId="77777777" w:rsidR="007065D4" w:rsidRPr="00A40FCE" w:rsidRDefault="007065D4" w:rsidP="00456FD1">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World Bank Group (WBG). (2024). WESTERN BALKANS 6 Kosovo Country Compendium Country Climate and Development Report.</w:t>
      </w:r>
    </w:p>
  </w:footnote>
  <w:footnote w:id="33">
    <w:p w14:paraId="7BEA4EC9" w14:textId="77777777" w:rsidR="007065D4" w:rsidRPr="00A40FCE" w:rsidRDefault="007065D4" w:rsidP="00456FD1">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Hamer, P., Fjæraa, A. M., Tarrasón, L., Soares, J., Meleux, F., Colette, A., Ung, A., Raux, B., &amp; Kuenen, J. (2023). Copernicus Atmosphere Monitoring Service Interim Annual Assessment Report on European Air Quality in 2022. 102. </w:t>
      </w:r>
      <w:hyperlink r:id="rId13" w:history="1">
        <w:r w:rsidRPr="00A40FCE">
          <w:rPr>
            <w:rStyle w:val="Hyperlink"/>
            <w:rFonts w:ascii="Arial" w:hAnsi="Arial" w:cs="Arial"/>
            <w:color w:val="auto"/>
            <w:sz w:val="18"/>
            <w:szCs w:val="18"/>
          </w:rPr>
          <w:t>https://policy.atmosphere.copernicus.eu/reports/pdf/CAMS271_2021SCx_D1.1.1._202306_2022_Interim_Assessment_Report_v3.pdf</w:t>
        </w:r>
      </w:hyperlink>
      <w:r w:rsidRPr="00A40FCE">
        <w:rPr>
          <w:rFonts w:ascii="Arial" w:hAnsi="Arial" w:cs="Arial"/>
          <w:sz w:val="18"/>
          <w:szCs w:val="18"/>
        </w:rPr>
        <w:t xml:space="preserve"> </w:t>
      </w:r>
    </w:p>
  </w:footnote>
  <w:footnote w:id="34">
    <w:p w14:paraId="66DD7BBD" w14:textId="77777777" w:rsidR="007065D4" w:rsidRPr="00A40FCE" w:rsidRDefault="007065D4" w:rsidP="00456FD1">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Klein Tank, A. M. G., Wijngaard, J. B., Können, G. P., Böhm, R., Demarée, G., Gocheva, A., Mileta, M., Pashiardis, S., Hejkrlik, L., Kern-Hansen, C., Heino, R., Bessemoulin, P., Müller-Westermeier, G., Tzanakou, M., Szalai, S., Pálsdóttir, T., Fitzgerald, D., Rubin, S., Capaldo, M., … Petrovic, P. (2002). Daily dataset of 20th-century surface air temperature and precipitation series for the European Climate Assessment. International Journal of Climatology, 22(12), 1441–1453. </w:t>
      </w:r>
      <w:hyperlink r:id="rId14" w:history="1">
        <w:r w:rsidRPr="00A40FCE">
          <w:rPr>
            <w:rStyle w:val="Hyperlink"/>
            <w:rFonts w:ascii="Arial" w:hAnsi="Arial" w:cs="Arial"/>
            <w:color w:val="auto"/>
            <w:sz w:val="18"/>
            <w:szCs w:val="18"/>
          </w:rPr>
          <w:t>https://doi.org/10.1002/joc.773</w:t>
        </w:r>
      </w:hyperlink>
      <w:r w:rsidRPr="00A40FCE">
        <w:rPr>
          <w:rFonts w:ascii="Arial" w:hAnsi="Arial" w:cs="Arial"/>
          <w:sz w:val="18"/>
          <w:szCs w:val="18"/>
        </w:rPr>
        <w:t xml:space="preserve"> </w:t>
      </w:r>
    </w:p>
  </w:footnote>
  <w:footnote w:id="35">
    <w:p w14:paraId="15D80EB8" w14:textId="1B1A261B" w:rsidR="00B22DD8" w:rsidRPr="00A40FCE" w:rsidRDefault="00B22DD8">
      <w:pPr>
        <w:pStyle w:val="FootnoteText"/>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Disaster Inventory Management System (DesInventar). (n.d.). Country Profile - Kosovo - Preliminary Analysis. https://www.desinventar.net/DesInventar/country_profile.jsp?countrycode=xkx&amp;lang=EN</w:t>
      </w:r>
    </w:p>
  </w:footnote>
  <w:footnote w:id="36">
    <w:p w14:paraId="25BB67DC" w14:textId="77777777" w:rsidR="007065D4" w:rsidRPr="00A40FCE" w:rsidRDefault="007065D4" w:rsidP="00456FD1">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World Bank Group (WBG). (2024). WESTERN BALKANS 6 Kosovo Country Compendium Country Climate and Development Report.</w:t>
      </w:r>
    </w:p>
  </w:footnote>
  <w:footnote w:id="37">
    <w:p w14:paraId="218C2323" w14:textId="77777777" w:rsidR="007065D4" w:rsidRPr="00A40FCE" w:rsidRDefault="007065D4" w:rsidP="00456FD1">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Kostopoulou, E., &amp; Jones, P. (2005). Regional climate analysis of the Balkans. (Historical climate means 1961–1990).</w:t>
      </w:r>
    </w:p>
  </w:footnote>
  <w:footnote w:id="38">
    <w:p w14:paraId="182CC2BE" w14:textId="77777777" w:rsidR="007065D4" w:rsidRPr="00A40FCE" w:rsidRDefault="007065D4" w:rsidP="00456FD1">
      <w:pPr>
        <w:pStyle w:val="FootnoteText"/>
        <w:jc w:val="both"/>
        <w:rPr>
          <w:rFonts w:ascii="Arial" w:hAnsi="Arial" w:cs="Arial"/>
          <w:sz w:val="18"/>
          <w:szCs w:val="18"/>
          <w:lang w:val="nl-NL"/>
        </w:rPr>
      </w:pPr>
      <w:r w:rsidRPr="00A40FCE">
        <w:rPr>
          <w:rStyle w:val="FootnoteReference"/>
          <w:rFonts w:ascii="Arial" w:hAnsi="Arial" w:cs="Arial"/>
          <w:sz w:val="18"/>
          <w:szCs w:val="18"/>
        </w:rPr>
        <w:footnoteRef/>
      </w:r>
      <w:r w:rsidRPr="00A40FCE">
        <w:rPr>
          <w:rFonts w:ascii="Arial" w:hAnsi="Arial" w:cs="Arial"/>
          <w:sz w:val="18"/>
          <w:szCs w:val="18"/>
        </w:rPr>
        <w:t xml:space="preserve"> Hertig, E., Beck, C., &amp; Jacobeit, J. (2020). Heatwave trends and atmospheric circulation patterns over Europe. </w:t>
      </w:r>
      <w:r w:rsidRPr="00A40FCE">
        <w:rPr>
          <w:rFonts w:ascii="Arial" w:hAnsi="Arial" w:cs="Arial"/>
          <w:sz w:val="18"/>
          <w:szCs w:val="18"/>
          <w:lang w:val="nl-NL"/>
        </w:rPr>
        <w:t xml:space="preserve">Climate Dynamics, 55(5–6), 1699–1713. </w:t>
      </w:r>
      <w:hyperlink r:id="rId15" w:history="1">
        <w:r w:rsidRPr="00A40FCE">
          <w:rPr>
            <w:rStyle w:val="Hyperlink"/>
            <w:rFonts w:ascii="Arial" w:hAnsi="Arial" w:cs="Arial"/>
            <w:color w:val="auto"/>
            <w:sz w:val="18"/>
            <w:szCs w:val="18"/>
            <w:lang w:val="nl-NL"/>
          </w:rPr>
          <w:t>https://doi.org/10.1007/s00382-020-05316-6</w:t>
        </w:r>
      </w:hyperlink>
      <w:r w:rsidRPr="00A40FCE">
        <w:rPr>
          <w:rFonts w:ascii="Arial" w:hAnsi="Arial" w:cs="Arial"/>
          <w:sz w:val="18"/>
          <w:szCs w:val="18"/>
          <w:lang w:val="nl-NL"/>
        </w:rPr>
        <w:t xml:space="preserve"> </w:t>
      </w:r>
    </w:p>
  </w:footnote>
  <w:footnote w:id="39">
    <w:p w14:paraId="0837C260" w14:textId="77777777" w:rsidR="007065D4" w:rsidRPr="00A40FCE" w:rsidRDefault="007065D4" w:rsidP="00456FD1">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lang w:val="nl-NL"/>
        </w:rPr>
        <w:t xml:space="preserve"> van Lanen, H. A. J., van Loon, A. F., Ploum, S., Laaha, G., Parajka, J., &amp; Garnier, E. (2014). </w:t>
      </w:r>
      <w:r w:rsidRPr="00A40FCE">
        <w:rPr>
          <w:rFonts w:ascii="Arial" w:hAnsi="Arial" w:cs="Arial"/>
          <w:sz w:val="18"/>
          <w:szCs w:val="18"/>
        </w:rPr>
        <w:t xml:space="preserve">A process-based typology of hydrological drought. Hydrology and Earth System Sciences, 16(7), 1915–1946. </w:t>
      </w:r>
      <w:hyperlink r:id="rId16" w:history="1">
        <w:r w:rsidRPr="00A40FCE">
          <w:rPr>
            <w:rStyle w:val="Hyperlink"/>
            <w:rFonts w:ascii="Arial" w:hAnsi="Arial" w:cs="Arial"/>
            <w:color w:val="auto"/>
            <w:sz w:val="18"/>
            <w:szCs w:val="18"/>
          </w:rPr>
          <w:t>https://doi.org/10.5194/hess-16-1915-2012</w:t>
        </w:r>
      </w:hyperlink>
      <w:r w:rsidRPr="00A40FCE">
        <w:rPr>
          <w:rFonts w:ascii="Arial" w:hAnsi="Arial" w:cs="Arial"/>
          <w:sz w:val="18"/>
          <w:szCs w:val="18"/>
        </w:rPr>
        <w:t xml:space="preserve"> </w:t>
      </w:r>
    </w:p>
  </w:footnote>
  <w:footnote w:id="40">
    <w:p w14:paraId="5E289E10" w14:textId="77777777" w:rsidR="007065D4" w:rsidRPr="00A40FCE" w:rsidRDefault="007065D4" w:rsidP="00456FD1">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United States Agency for International Development (USAID). (2017). Climate Risk Profile: Kosovo. </w:t>
      </w:r>
      <w:hyperlink r:id="rId17" w:history="1">
        <w:r w:rsidRPr="00A40FCE">
          <w:rPr>
            <w:rStyle w:val="Hyperlink"/>
            <w:rFonts w:ascii="Arial" w:hAnsi="Arial" w:cs="Arial"/>
            <w:color w:val="auto"/>
            <w:sz w:val="18"/>
            <w:szCs w:val="18"/>
          </w:rPr>
          <w:t>https://www.climatelinks.org/countries/kosovo</w:t>
        </w:r>
      </w:hyperlink>
      <w:r w:rsidRPr="00A40FCE">
        <w:rPr>
          <w:rFonts w:ascii="Arial" w:hAnsi="Arial" w:cs="Arial"/>
          <w:sz w:val="18"/>
          <w:szCs w:val="18"/>
        </w:rPr>
        <w:t xml:space="preserve"> </w:t>
      </w:r>
    </w:p>
  </w:footnote>
  <w:footnote w:id="41">
    <w:p w14:paraId="5744A6B3" w14:textId="3C799C03" w:rsidR="007065D4" w:rsidRPr="00A40FCE" w:rsidRDefault="007065D4" w:rsidP="00456FD1">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w:t>
      </w:r>
      <w:r w:rsidR="00EF76B4" w:rsidRPr="00A40FCE">
        <w:rPr>
          <w:rFonts w:ascii="Arial" w:hAnsi="Arial" w:cs="Arial"/>
          <w:sz w:val="18"/>
          <w:szCs w:val="18"/>
        </w:rPr>
        <w:t xml:space="preserve"> </w:t>
      </w:r>
      <w:r w:rsidRPr="00A40FCE">
        <w:rPr>
          <w:rFonts w:ascii="Arial" w:hAnsi="Arial" w:cs="Arial"/>
          <w:sz w:val="18"/>
          <w:szCs w:val="18"/>
        </w:rPr>
        <w:t xml:space="preserve">UNDP. (2023). Climate Change Baseline Study. </w:t>
      </w:r>
      <w:hyperlink r:id="rId18" w:history="1">
        <w:r w:rsidRPr="00A40FCE">
          <w:rPr>
            <w:rStyle w:val="Hyperlink"/>
            <w:rFonts w:ascii="Arial" w:hAnsi="Arial" w:cs="Arial"/>
            <w:color w:val="auto"/>
            <w:sz w:val="18"/>
            <w:szCs w:val="18"/>
          </w:rPr>
          <w:t>https://www.undp.org/kosovo/publications/climate-change-baseline-study</w:t>
        </w:r>
      </w:hyperlink>
      <w:r w:rsidRPr="00A40FCE">
        <w:rPr>
          <w:rFonts w:ascii="Arial" w:hAnsi="Arial" w:cs="Arial"/>
          <w:sz w:val="18"/>
          <w:szCs w:val="18"/>
        </w:rPr>
        <w:t xml:space="preserve"> </w:t>
      </w:r>
    </w:p>
  </w:footnote>
  <w:footnote w:id="42">
    <w:p w14:paraId="7FBC0787" w14:textId="54F8D25A" w:rsidR="007065D4" w:rsidRPr="007A06E7" w:rsidRDefault="007065D4" w:rsidP="00456FD1">
      <w:pPr>
        <w:pStyle w:val="FootnoteText"/>
        <w:jc w:val="both"/>
        <w:rPr>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UNDP, &amp; United States Agency for International Development (USAID). (2023). Public Pulse Brief XXV. </w:t>
      </w:r>
      <w:hyperlink r:id="rId19" w:history="1">
        <w:r w:rsidRPr="00A40FCE">
          <w:rPr>
            <w:rStyle w:val="Hyperlink"/>
            <w:rFonts w:ascii="Arial" w:hAnsi="Arial" w:cs="Arial"/>
            <w:color w:val="auto"/>
            <w:sz w:val="18"/>
            <w:szCs w:val="18"/>
          </w:rPr>
          <w:t>https://www.undp.org/sites/g/files/zskgke326/files/2024-02/public_pulse_eng_2024_final.pdf</w:t>
        </w:r>
      </w:hyperlink>
      <w:r w:rsidRPr="00A40FCE">
        <w:rPr>
          <w:rFonts w:ascii="Arial" w:hAnsi="Arial" w:cs="Arial"/>
          <w:sz w:val="18"/>
          <w:szCs w:val="18"/>
        </w:rPr>
        <w:t xml:space="preserve"> </w:t>
      </w:r>
    </w:p>
  </w:footnote>
  <w:footnote w:id="43">
    <w:p w14:paraId="5E278E2C" w14:textId="7CDCFC68" w:rsidR="003E2BA4" w:rsidRPr="00A40FCE" w:rsidRDefault="003E2BA4">
      <w:pPr>
        <w:pStyle w:val="FootnoteText"/>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IPCC, 2023b</w:t>
      </w:r>
    </w:p>
  </w:footnote>
  <w:footnote w:id="44">
    <w:p w14:paraId="53BE1BBC" w14:textId="1622BCDD" w:rsidR="007065D4" w:rsidRPr="00E666FD" w:rsidRDefault="007065D4" w:rsidP="00E666FD">
      <w:pPr>
        <w:pStyle w:val="FootnoteText"/>
        <w:jc w:val="both"/>
        <w:rPr>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w:t>
      </w:r>
      <w:hyperlink r:id="rId20" w:history="1">
        <w:r w:rsidRPr="00A40FCE">
          <w:rPr>
            <w:rStyle w:val="Hyperlink"/>
            <w:rFonts w:ascii="Arial" w:hAnsi="Arial" w:cs="Arial"/>
            <w:color w:val="auto"/>
            <w:sz w:val="18"/>
            <w:szCs w:val="18"/>
          </w:rPr>
          <w:t>Law No. 04/L-147 on Waters of Kosova</w:t>
        </w:r>
      </w:hyperlink>
    </w:p>
  </w:footnote>
  <w:footnote w:id="45">
    <w:p w14:paraId="2CE0193B" w14:textId="42A479E9" w:rsidR="007065D4" w:rsidRPr="00A40FCE" w:rsidRDefault="007065D4" w:rsidP="00E666FD">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w:t>
      </w:r>
      <w:hyperlink r:id="rId21" w:history="1">
        <w:r w:rsidRPr="00A40FCE">
          <w:rPr>
            <w:rStyle w:val="Hyperlink"/>
            <w:rFonts w:ascii="Arial" w:hAnsi="Arial" w:cs="Arial"/>
            <w:color w:val="auto"/>
            <w:sz w:val="18"/>
            <w:szCs w:val="18"/>
          </w:rPr>
          <w:t>Law No. 05/L-042 on Regulation of Water Services</w:t>
        </w:r>
      </w:hyperlink>
    </w:p>
  </w:footnote>
  <w:footnote w:id="46">
    <w:p w14:paraId="26845EDE" w14:textId="3E4BBFB6" w:rsidR="007065D4" w:rsidRPr="00A40FCE" w:rsidRDefault="007065D4" w:rsidP="00E666FD">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w:t>
      </w:r>
      <w:hyperlink r:id="rId22" w:history="1">
        <w:r w:rsidRPr="00A40FCE">
          <w:rPr>
            <w:rStyle w:val="Hyperlink"/>
            <w:rFonts w:ascii="Arial" w:hAnsi="Arial" w:cs="Arial"/>
            <w:color w:val="auto"/>
            <w:sz w:val="18"/>
            <w:szCs w:val="18"/>
          </w:rPr>
          <w:t>Law No. 06/L-088</w:t>
        </w:r>
      </w:hyperlink>
    </w:p>
  </w:footnote>
  <w:footnote w:id="47">
    <w:p w14:paraId="65846114" w14:textId="16238B4A" w:rsidR="007065D4" w:rsidRPr="00A40FCE" w:rsidRDefault="007065D4" w:rsidP="00E666FD">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w:t>
      </w:r>
      <w:hyperlink r:id="rId23" w:history="1">
        <w:r w:rsidRPr="00A40FCE">
          <w:rPr>
            <w:rStyle w:val="Hyperlink"/>
            <w:rFonts w:ascii="Arial" w:hAnsi="Arial" w:cs="Arial"/>
            <w:color w:val="auto"/>
            <w:sz w:val="18"/>
            <w:szCs w:val="18"/>
          </w:rPr>
          <w:t>Law No. 03/L-087 on Public Enterprises</w:t>
        </w:r>
      </w:hyperlink>
    </w:p>
  </w:footnote>
  <w:footnote w:id="48">
    <w:p w14:paraId="6DA198CD" w14:textId="3CB9E8BA" w:rsidR="007065D4" w:rsidRPr="00A40FCE" w:rsidRDefault="007065D4" w:rsidP="00E666FD">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w:t>
      </w:r>
      <w:hyperlink r:id="rId24" w:history="1">
        <w:r w:rsidRPr="00A40FCE">
          <w:rPr>
            <w:rStyle w:val="Hyperlink"/>
            <w:rFonts w:ascii="Arial" w:hAnsi="Arial" w:cs="Arial"/>
            <w:color w:val="auto"/>
            <w:sz w:val="18"/>
            <w:szCs w:val="18"/>
          </w:rPr>
          <w:t>Law No. 04/L-111</w:t>
        </w:r>
      </w:hyperlink>
    </w:p>
  </w:footnote>
  <w:footnote w:id="49">
    <w:p w14:paraId="2E827A1C" w14:textId="7D1A30CC" w:rsidR="007065D4" w:rsidRPr="00A40FCE" w:rsidRDefault="007065D4" w:rsidP="00E666FD">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w:t>
      </w:r>
      <w:hyperlink r:id="rId25" w:history="1">
        <w:r w:rsidRPr="00A40FCE">
          <w:rPr>
            <w:rStyle w:val="Hyperlink"/>
            <w:rFonts w:ascii="Arial" w:hAnsi="Arial" w:cs="Arial"/>
            <w:color w:val="auto"/>
            <w:sz w:val="18"/>
            <w:szCs w:val="18"/>
          </w:rPr>
          <w:t>Law No. 05/L-009</w:t>
        </w:r>
      </w:hyperlink>
    </w:p>
  </w:footnote>
  <w:footnote w:id="50">
    <w:p w14:paraId="2B53685F" w14:textId="58938B1D" w:rsidR="007065D4" w:rsidRPr="00A40FCE" w:rsidRDefault="007065D4" w:rsidP="00E666FD">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w:t>
      </w:r>
      <w:hyperlink r:id="rId26" w:history="1">
        <w:r w:rsidRPr="00A40FCE">
          <w:rPr>
            <w:rStyle w:val="Hyperlink"/>
            <w:rFonts w:ascii="Arial" w:hAnsi="Arial" w:cs="Arial"/>
            <w:color w:val="auto"/>
            <w:sz w:val="18"/>
            <w:szCs w:val="18"/>
          </w:rPr>
          <w:t>Law No. 06/L-039 on Kosova Geological Service</w:t>
        </w:r>
      </w:hyperlink>
    </w:p>
  </w:footnote>
  <w:footnote w:id="51">
    <w:p w14:paraId="3570E609" w14:textId="497E4AB2" w:rsidR="007065D4" w:rsidRPr="00A40FCE" w:rsidRDefault="007065D4" w:rsidP="00E666FD">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w:t>
      </w:r>
      <w:hyperlink r:id="rId27" w:history="1">
        <w:r w:rsidRPr="00A40FCE">
          <w:rPr>
            <w:rStyle w:val="Hyperlink"/>
            <w:rFonts w:ascii="Arial" w:hAnsi="Arial" w:cs="Arial"/>
            <w:color w:val="auto"/>
            <w:sz w:val="18"/>
            <w:szCs w:val="18"/>
          </w:rPr>
          <w:t>Law No. 06/L-035 on Hydrometeorological Activities</w:t>
        </w:r>
      </w:hyperlink>
    </w:p>
  </w:footnote>
  <w:footnote w:id="52">
    <w:p w14:paraId="5BEC6DE8" w14:textId="27747147" w:rsidR="007065D4" w:rsidRPr="00A40FCE" w:rsidRDefault="007065D4" w:rsidP="00E666FD">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w:t>
      </w:r>
      <w:hyperlink r:id="rId28" w:history="1">
        <w:r w:rsidRPr="00A40FCE">
          <w:rPr>
            <w:rStyle w:val="Hyperlink"/>
            <w:rFonts w:ascii="Arial" w:hAnsi="Arial" w:cs="Arial"/>
            <w:color w:val="auto"/>
            <w:sz w:val="18"/>
            <w:szCs w:val="18"/>
          </w:rPr>
          <w:t>Law No. 03/L-025 on Environmental Protection</w:t>
        </w:r>
      </w:hyperlink>
    </w:p>
  </w:footnote>
  <w:footnote w:id="53">
    <w:p w14:paraId="74428923" w14:textId="2C21BD66" w:rsidR="007065D4" w:rsidRPr="00A40FCE" w:rsidRDefault="007065D4" w:rsidP="00E666FD">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w:t>
      </w:r>
      <w:hyperlink r:id="rId29" w:history="1">
        <w:r w:rsidRPr="00A40FCE">
          <w:rPr>
            <w:rStyle w:val="Hyperlink"/>
            <w:rFonts w:ascii="Arial" w:hAnsi="Arial" w:cs="Arial"/>
            <w:color w:val="auto"/>
            <w:sz w:val="18"/>
            <w:szCs w:val="18"/>
          </w:rPr>
          <w:t>Law No. 03/L-233 on Nature Protection</w:t>
        </w:r>
      </w:hyperlink>
    </w:p>
  </w:footnote>
  <w:footnote w:id="54">
    <w:p w14:paraId="674576DF" w14:textId="761F0E7C" w:rsidR="007065D4" w:rsidRPr="00A40FCE" w:rsidRDefault="007065D4" w:rsidP="00E666FD">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w:t>
      </w:r>
      <w:hyperlink r:id="rId30" w:history="1">
        <w:r w:rsidRPr="00A40FCE">
          <w:rPr>
            <w:rStyle w:val="Hyperlink"/>
            <w:rFonts w:ascii="Arial" w:hAnsi="Arial" w:cs="Arial"/>
            <w:color w:val="auto"/>
            <w:sz w:val="18"/>
            <w:szCs w:val="18"/>
          </w:rPr>
          <w:t>Law No. 04/L-174 on Spatial Planning</w:t>
        </w:r>
      </w:hyperlink>
    </w:p>
  </w:footnote>
  <w:footnote w:id="55">
    <w:p w14:paraId="5485B161" w14:textId="0BB1BA80" w:rsidR="007065D4" w:rsidRPr="00A40FCE" w:rsidRDefault="007065D4" w:rsidP="00E666FD">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w:t>
      </w:r>
      <w:hyperlink r:id="rId31" w:history="1">
        <w:r w:rsidRPr="00A40FCE">
          <w:rPr>
            <w:rStyle w:val="Hyperlink"/>
            <w:rFonts w:ascii="Arial" w:hAnsi="Arial" w:cs="Arial"/>
            <w:color w:val="auto"/>
            <w:sz w:val="18"/>
            <w:szCs w:val="18"/>
          </w:rPr>
          <w:t>Law No. 03/L-040 on Local Self-Government</w:t>
        </w:r>
      </w:hyperlink>
    </w:p>
  </w:footnote>
  <w:footnote w:id="56">
    <w:p w14:paraId="6DEFB6EA" w14:textId="54A212A7" w:rsidR="007065D4" w:rsidRPr="00A40FCE" w:rsidRDefault="007065D4" w:rsidP="00E666FD">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w:t>
      </w:r>
      <w:hyperlink r:id="rId32" w:history="1">
        <w:r w:rsidRPr="00A40FCE">
          <w:rPr>
            <w:rStyle w:val="Hyperlink"/>
            <w:rFonts w:ascii="Arial" w:hAnsi="Arial" w:cs="Arial"/>
            <w:color w:val="auto"/>
            <w:sz w:val="18"/>
            <w:szCs w:val="18"/>
          </w:rPr>
          <w:t>Law No. 02/L-078 on Public Health</w:t>
        </w:r>
      </w:hyperlink>
    </w:p>
  </w:footnote>
  <w:footnote w:id="57">
    <w:p w14:paraId="5A9C5F45" w14:textId="3291EEA9" w:rsidR="007065D4" w:rsidRPr="00A40FCE" w:rsidRDefault="007065D4" w:rsidP="00E666FD">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w:t>
      </w:r>
      <w:hyperlink r:id="rId33" w:history="1">
        <w:r w:rsidRPr="00A40FCE">
          <w:rPr>
            <w:rStyle w:val="Hyperlink"/>
            <w:rFonts w:ascii="Arial" w:hAnsi="Arial" w:cs="Arial"/>
            <w:color w:val="auto"/>
            <w:sz w:val="18"/>
            <w:szCs w:val="18"/>
          </w:rPr>
          <w:t>Law No. 08/L-048</w:t>
        </w:r>
      </w:hyperlink>
    </w:p>
  </w:footnote>
  <w:footnote w:id="58">
    <w:p w14:paraId="47814007" w14:textId="5EBDEF83" w:rsidR="007065D4" w:rsidRPr="00A40FCE" w:rsidRDefault="007065D4" w:rsidP="00E666FD">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w:t>
      </w:r>
      <w:hyperlink r:id="rId34" w:history="1">
        <w:r w:rsidRPr="00A40FCE">
          <w:rPr>
            <w:rStyle w:val="Hyperlink"/>
            <w:rFonts w:ascii="Arial" w:hAnsi="Arial" w:cs="Arial"/>
            <w:color w:val="auto"/>
            <w:sz w:val="18"/>
            <w:szCs w:val="18"/>
          </w:rPr>
          <w:t>Administrative Instruction (GRK) No. 10/2021 on the Quality of Water Intended for Human Consumption</w:t>
        </w:r>
      </w:hyperlink>
    </w:p>
  </w:footnote>
  <w:footnote w:id="59">
    <w:p w14:paraId="5D9B334C" w14:textId="7D448EE1" w:rsidR="007065D4" w:rsidRPr="00A40FCE" w:rsidRDefault="007065D4" w:rsidP="00E666FD">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w:t>
      </w:r>
      <w:hyperlink r:id="rId35" w:history="1">
        <w:r w:rsidRPr="00A40FCE">
          <w:rPr>
            <w:rStyle w:val="Hyperlink"/>
            <w:rFonts w:ascii="Arial" w:hAnsi="Arial" w:cs="Arial"/>
            <w:color w:val="auto"/>
            <w:sz w:val="18"/>
            <w:szCs w:val="18"/>
          </w:rPr>
          <w:t>Law No. 02/L-9 on Irrigation of Agricultural Lands</w:t>
        </w:r>
      </w:hyperlink>
    </w:p>
  </w:footnote>
  <w:footnote w:id="60">
    <w:p w14:paraId="27263B90" w14:textId="58A27231" w:rsidR="007065D4" w:rsidRPr="00A40FCE" w:rsidRDefault="007065D4" w:rsidP="00E666FD">
      <w:pPr>
        <w:pStyle w:val="FootnoteText"/>
        <w:jc w:val="both"/>
        <w:rPr>
          <w:rFonts w:ascii="Arial" w:hAnsi="Arial" w:cs="Arial"/>
          <w:sz w:val="18"/>
          <w:szCs w:val="18"/>
        </w:rPr>
      </w:pPr>
      <w:r w:rsidRPr="00A40FCE">
        <w:rPr>
          <w:rStyle w:val="FootnoteReference"/>
          <w:rFonts w:ascii="Arial" w:hAnsi="Arial" w:cs="Arial"/>
          <w:sz w:val="18"/>
          <w:szCs w:val="18"/>
        </w:rPr>
        <w:footnoteRef/>
      </w:r>
      <w:r w:rsidRPr="00A40FCE">
        <w:rPr>
          <w:rFonts w:ascii="Arial" w:hAnsi="Arial" w:cs="Arial"/>
          <w:sz w:val="18"/>
          <w:szCs w:val="18"/>
        </w:rPr>
        <w:t xml:space="preserve"> </w:t>
      </w:r>
      <w:hyperlink r:id="rId36" w:history="1">
        <w:r w:rsidRPr="00A40FCE">
          <w:rPr>
            <w:rStyle w:val="Hyperlink"/>
            <w:rFonts w:ascii="Arial" w:hAnsi="Arial" w:cs="Arial"/>
            <w:color w:val="auto"/>
            <w:sz w:val="18"/>
            <w:szCs w:val="18"/>
          </w:rPr>
          <w:t>Law No. 03/L-198</w:t>
        </w:r>
      </w:hyperlink>
    </w:p>
  </w:footnote>
  <w:footnote w:id="61">
    <w:p w14:paraId="070D039B" w14:textId="36EEA6A8" w:rsidR="007065D4" w:rsidRPr="00181218" w:rsidRDefault="007065D4" w:rsidP="00E666FD">
      <w:pPr>
        <w:pStyle w:val="FootnoteText"/>
        <w:jc w:val="both"/>
      </w:pPr>
      <w:r w:rsidRPr="00A40FCE">
        <w:rPr>
          <w:rStyle w:val="FootnoteReference"/>
          <w:rFonts w:ascii="Arial" w:hAnsi="Arial" w:cs="Arial"/>
          <w:sz w:val="18"/>
          <w:szCs w:val="18"/>
        </w:rPr>
        <w:footnoteRef/>
      </w:r>
      <w:r w:rsidRPr="00A40FCE">
        <w:rPr>
          <w:rFonts w:ascii="Arial" w:hAnsi="Arial" w:cs="Arial"/>
          <w:sz w:val="18"/>
          <w:szCs w:val="18"/>
        </w:rPr>
        <w:t xml:space="preserve"> </w:t>
      </w:r>
      <w:hyperlink r:id="rId37" w:history="1">
        <w:r w:rsidRPr="00A40FCE">
          <w:rPr>
            <w:rStyle w:val="Hyperlink"/>
            <w:rFonts w:ascii="Arial" w:hAnsi="Arial" w:cs="Arial"/>
            <w:color w:val="auto"/>
            <w:sz w:val="18"/>
            <w:szCs w:val="18"/>
          </w:rPr>
          <w:t>Law No. 08/L-094</w:t>
        </w:r>
      </w:hyperlink>
    </w:p>
  </w:footnote>
  <w:footnote w:id="62">
    <w:p w14:paraId="06C775BD" w14:textId="77777777" w:rsidR="007065D4" w:rsidRPr="00E666FD" w:rsidRDefault="007065D4" w:rsidP="00E666FD">
      <w:pPr>
        <w:pStyle w:val="FootnoteText"/>
        <w:jc w:val="both"/>
        <w:rPr>
          <w:sz w:val="18"/>
          <w:szCs w:val="18"/>
        </w:rPr>
      </w:pPr>
      <w:r w:rsidRPr="00E666FD">
        <w:rPr>
          <w:rStyle w:val="FootnoteReference"/>
          <w:sz w:val="18"/>
          <w:szCs w:val="18"/>
        </w:rPr>
        <w:footnoteRef/>
      </w:r>
      <w:r w:rsidRPr="00E666FD">
        <w:rPr>
          <w:sz w:val="18"/>
          <w:szCs w:val="18"/>
        </w:rPr>
        <w:t xml:space="preserve"> </w:t>
      </w:r>
      <w:hyperlink r:id="rId38" w:history="1">
        <w:r w:rsidRPr="00E666FD">
          <w:rPr>
            <w:rStyle w:val="Hyperlink"/>
            <w:color w:val="auto"/>
            <w:sz w:val="18"/>
            <w:szCs w:val="18"/>
          </w:rPr>
          <w:t>U.S. Department of Energy. (2024). Water Resource Opportunities at Lake Gazivode/Ujmani – Recommendations. United States Embassy in Kosovo</w:t>
        </w:r>
      </w:hyperlink>
      <w:r w:rsidRPr="00E666FD">
        <w:rPr>
          <w:sz w:val="18"/>
          <w:szCs w:val="18"/>
        </w:rPr>
        <w:t xml:space="preserve">. </w:t>
      </w:r>
    </w:p>
  </w:footnote>
  <w:footnote w:id="63">
    <w:p w14:paraId="5F9C4FB2" w14:textId="2B6762FA" w:rsidR="007464B3" w:rsidRPr="002A46E3" w:rsidRDefault="007464B3">
      <w:pPr>
        <w:pStyle w:val="FootnoteText"/>
        <w:rPr>
          <w:rFonts w:ascii="Arial" w:hAnsi="Arial" w:cs="Arial"/>
          <w:sz w:val="18"/>
          <w:szCs w:val="18"/>
        </w:rPr>
      </w:pPr>
      <w:r w:rsidRPr="002A46E3">
        <w:rPr>
          <w:rStyle w:val="FootnoteReference"/>
          <w:rFonts w:ascii="Arial" w:hAnsi="Arial" w:cs="Arial"/>
          <w:sz w:val="18"/>
          <w:szCs w:val="18"/>
        </w:rPr>
        <w:footnoteRef/>
      </w:r>
      <w:r w:rsidRPr="002A46E3">
        <w:rPr>
          <w:rFonts w:ascii="Arial" w:hAnsi="Arial" w:cs="Arial"/>
          <w:sz w:val="18"/>
          <w:szCs w:val="18"/>
        </w:rPr>
        <w:t xml:space="preserve"> Strategjia e Energjisë e Republikës së Kosovës. https://kryeministri.rks-gov.net/wp-content/uploads/2023/03/Strategjia-e-Energjise-e-Republikes-se-Kosoves-2022-2031.pdf</w:t>
      </w:r>
    </w:p>
  </w:footnote>
  <w:footnote w:id="64">
    <w:p w14:paraId="57210666" w14:textId="77E7F10C" w:rsidR="00DB5CD7" w:rsidRPr="002A46E3" w:rsidRDefault="00DB5CD7">
      <w:pPr>
        <w:pStyle w:val="FootnoteText"/>
        <w:rPr>
          <w:rFonts w:ascii="Arial" w:hAnsi="Arial" w:cs="Arial"/>
          <w:sz w:val="18"/>
          <w:szCs w:val="18"/>
        </w:rPr>
      </w:pPr>
      <w:r w:rsidRPr="002A46E3">
        <w:rPr>
          <w:rStyle w:val="FootnoteReference"/>
          <w:rFonts w:ascii="Arial" w:hAnsi="Arial" w:cs="Arial"/>
          <w:sz w:val="18"/>
          <w:szCs w:val="18"/>
        </w:rPr>
        <w:footnoteRef/>
      </w:r>
      <w:r w:rsidRPr="002A46E3">
        <w:rPr>
          <w:rFonts w:ascii="Arial" w:hAnsi="Arial" w:cs="Arial"/>
          <w:sz w:val="18"/>
          <w:szCs w:val="18"/>
        </w:rPr>
        <w:t xml:space="preserve"> </w:t>
      </w:r>
      <w:r w:rsidR="00A66C0C" w:rsidRPr="002A46E3">
        <w:rPr>
          <w:rFonts w:ascii="Arial" w:hAnsi="Arial" w:cs="Arial"/>
          <w:sz w:val="18"/>
          <w:szCs w:val="18"/>
        </w:rPr>
        <w:t>Ministry of Agriculture, Forestry and Rural Development (MAFRD). (2021). Strategy for Agriculture and Rural Development 2022 – 2028. Official Gazette. Republic of Kosovo.</w:t>
      </w:r>
    </w:p>
  </w:footnote>
  <w:footnote w:id="65">
    <w:p w14:paraId="00C4632E" w14:textId="77777777" w:rsidR="007065D4" w:rsidRDefault="007065D4" w:rsidP="007B4274">
      <w:pPr>
        <w:pStyle w:val="FootnoteText"/>
      </w:pPr>
      <w:r w:rsidRPr="002A46E3">
        <w:rPr>
          <w:rStyle w:val="FootnoteReference"/>
          <w:rFonts w:ascii="Arial" w:hAnsi="Arial" w:cs="Arial"/>
          <w:sz w:val="18"/>
          <w:szCs w:val="18"/>
        </w:rPr>
        <w:footnoteRef/>
      </w:r>
      <w:r w:rsidRPr="002A46E3">
        <w:rPr>
          <w:rFonts w:ascii="Arial" w:hAnsi="Arial" w:cs="Arial"/>
          <w:sz w:val="18"/>
          <w:szCs w:val="18"/>
        </w:rPr>
        <w:t xml:space="preserve"> Ministry of Agriculture and Forestry Development (2021). Forestry Development Strategy in Kosovo 2022 – 2030.</w:t>
      </w:r>
      <w:r w:rsidRPr="002A46E3">
        <w:rPr>
          <w:rFonts w:ascii="Arial" w:hAnsi="Arial" w:cs="Arial"/>
        </w:rPr>
        <w:t xml:space="preserve"> </w:t>
      </w:r>
    </w:p>
  </w:footnote>
  <w:footnote w:id="66">
    <w:p w14:paraId="2E67FDB9" w14:textId="3015D340" w:rsidR="003B315D" w:rsidRPr="003D332A" w:rsidRDefault="003B315D">
      <w:pPr>
        <w:pStyle w:val="FootnoteText"/>
        <w:rPr>
          <w:rFonts w:ascii="Arial" w:hAnsi="Arial" w:cs="Arial"/>
          <w:sz w:val="18"/>
          <w:szCs w:val="18"/>
        </w:rPr>
      </w:pPr>
      <w:r w:rsidRPr="003D332A">
        <w:rPr>
          <w:rStyle w:val="FootnoteReference"/>
          <w:rFonts w:ascii="Arial" w:hAnsi="Arial" w:cs="Arial"/>
          <w:sz w:val="18"/>
          <w:szCs w:val="18"/>
        </w:rPr>
        <w:footnoteRef/>
      </w:r>
      <w:r w:rsidRPr="003D332A">
        <w:rPr>
          <w:rFonts w:ascii="Arial" w:hAnsi="Arial" w:cs="Arial"/>
          <w:sz w:val="18"/>
          <w:szCs w:val="18"/>
        </w:rPr>
        <w:t xml:space="preserve"> </w:t>
      </w:r>
      <w:r w:rsidR="00B93C26" w:rsidRPr="003D332A">
        <w:rPr>
          <w:rFonts w:ascii="Arial" w:hAnsi="Arial" w:cs="Arial"/>
          <w:sz w:val="18"/>
          <w:szCs w:val="18"/>
        </w:rPr>
        <w:t>MAFRD (n.d). National Forest Inventory in Kosovo.</w:t>
      </w:r>
    </w:p>
  </w:footnote>
  <w:footnote w:id="67">
    <w:p w14:paraId="2FDD302A" w14:textId="77777777" w:rsidR="007065D4" w:rsidRPr="003D332A" w:rsidRDefault="007065D4" w:rsidP="00BC61C5">
      <w:pPr>
        <w:pStyle w:val="FootnoteText"/>
        <w:rPr>
          <w:rFonts w:ascii="Arial" w:hAnsi="Arial" w:cs="Arial"/>
          <w:sz w:val="18"/>
          <w:szCs w:val="18"/>
        </w:rPr>
      </w:pPr>
      <w:r w:rsidRPr="003D332A">
        <w:rPr>
          <w:rStyle w:val="FootnoteReference"/>
          <w:rFonts w:ascii="Arial" w:hAnsi="Arial" w:cs="Arial"/>
          <w:sz w:val="18"/>
          <w:szCs w:val="18"/>
        </w:rPr>
        <w:footnoteRef/>
      </w:r>
      <w:r w:rsidRPr="003D332A">
        <w:rPr>
          <w:rFonts w:ascii="Arial" w:hAnsi="Arial" w:cs="Arial"/>
          <w:sz w:val="18"/>
          <w:szCs w:val="18"/>
        </w:rPr>
        <w:t xml:space="preserve"> Lecollinet, J. (2022). </w:t>
      </w:r>
      <w:r w:rsidRPr="003D332A">
        <w:rPr>
          <w:rFonts w:ascii="Arial" w:hAnsi="Arial" w:cs="Arial"/>
          <w:i/>
          <w:iCs/>
          <w:sz w:val="18"/>
          <w:szCs w:val="18"/>
        </w:rPr>
        <w:t>Planning for a Sustainable Irrigation Development: The Kosovo Perspective</w:t>
      </w:r>
      <w:r w:rsidRPr="003D332A">
        <w:rPr>
          <w:rFonts w:ascii="Arial" w:hAnsi="Arial" w:cs="Arial"/>
          <w:sz w:val="18"/>
          <w:szCs w:val="18"/>
        </w:rPr>
        <w:t xml:space="preserve">. E3S Web of Conferences, 346, 01007. </w:t>
      </w:r>
      <w:hyperlink r:id="rId39" w:tgtFrame="_new" w:history="1">
        <w:r w:rsidRPr="003D332A">
          <w:rPr>
            <w:rStyle w:val="Hyperlink"/>
            <w:rFonts w:ascii="Arial" w:hAnsi="Arial" w:cs="Arial"/>
            <w:color w:val="auto"/>
            <w:sz w:val="18"/>
            <w:szCs w:val="18"/>
          </w:rPr>
          <w:t>https://doi.org/10.1051/e3sconf/202234601007</w:t>
        </w:r>
      </w:hyperlink>
    </w:p>
  </w:footnote>
  <w:footnote w:id="68">
    <w:p w14:paraId="61BA98E9" w14:textId="06203394" w:rsidR="007065D4" w:rsidRPr="00F016B9" w:rsidRDefault="007065D4" w:rsidP="00905BF3">
      <w:pPr>
        <w:pStyle w:val="FootnoteText"/>
        <w:jc w:val="both"/>
        <w:rPr>
          <w:rFonts w:ascii="Arial" w:hAnsi="Arial" w:cs="Arial"/>
          <w:sz w:val="18"/>
          <w:szCs w:val="18"/>
        </w:rPr>
      </w:pPr>
      <w:r w:rsidRPr="00F016B9">
        <w:rPr>
          <w:rStyle w:val="FootnoteReference"/>
          <w:rFonts w:ascii="Arial" w:hAnsi="Arial" w:cs="Arial"/>
          <w:sz w:val="18"/>
          <w:szCs w:val="18"/>
        </w:rPr>
        <w:footnoteRef/>
      </w:r>
      <w:r w:rsidRPr="00F016B9">
        <w:rPr>
          <w:rFonts w:ascii="Arial" w:hAnsi="Arial" w:cs="Arial"/>
          <w:sz w:val="18"/>
          <w:szCs w:val="18"/>
        </w:rPr>
        <w:t xml:space="preserve"> Kosovo Agency of Statistics, </w:t>
      </w:r>
      <w:r w:rsidRPr="00F016B9">
        <w:rPr>
          <w:rFonts w:ascii="Arial" w:hAnsi="Arial" w:cs="Arial"/>
          <w:i/>
          <w:iCs/>
          <w:sz w:val="18"/>
          <w:szCs w:val="18"/>
        </w:rPr>
        <w:t>Final results of the Population Census (ReKos2024), ASK,</w:t>
      </w:r>
      <w:r w:rsidRPr="00F016B9">
        <w:rPr>
          <w:rFonts w:ascii="Arial" w:hAnsi="Arial" w:cs="Arial"/>
          <w:sz w:val="18"/>
          <w:szCs w:val="18"/>
        </w:rPr>
        <w:t xml:space="preserve"> </w:t>
      </w:r>
      <w:hyperlink r:id="rId40" w:history="1">
        <w:r w:rsidRPr="00F016B9">
          <w:rPr>
            <w:rStyle w:val="Hyperlink"/>
            <w:rFonts w:ascii="Arial" w:hAnsi="Arial" w:cs="Arial"/>
            <w:sz w:val="18"/>
            <w:szCs w:val="18"/>
          </w:rPr>
          <w:t>https://ask.rks-gov.net/Releases/Details/8431</w:t>
        </w:r>
      </w:hyperlink>
    </w:p>
  </w:footnote>
  <w:footnote w:id="69">
    <w:p w14:paraId="7219238A" w14:textId="77777777" w:rsidR="007065D4" w:rsidRPr="00F016B9" w:rsidRDefault="007065D4" w:rsidP="00905BF3">
      <w:pPr>
        <w:pStyle w:val="FootnoteText"/>
        <w:jc w:val="both"/>
        <w:rPr>
          <w:rFonts w:ascii="Arial" w:hAnsi="Arial" w:cs="Arial"/>
          <w:sz w:val="18"/>
          <w:szCs w:val="18"/>
          <w:lang w:eastAsia="ja-JP"/>
        </w:rPr>
      </w:pPr>
      <w:r w:rsidRPr="00F016B9">
        <w:rPr>
          <w:rStyle w:val="FootnoteReference"/>
          <w:rFonts w:ascii="Arial" w:hAnsi="Arial" w:cs="Arial"/>
          <w:sz w:val="18"/>
          <w:szCs w:val="18"/>
        </w:rPr>
        <w:footnoteRef/>
      </w:r>
      <w:r w:rsidRPr="00F016B9">
        <w:rPr>
          <w:rFonts w:ascii="Arial" w:hAnsi="Arial" w:cs="Arial"/>
          <w:sz w:val="18"/>
          <w:szCs w:val="18"/>
        </w:rPr>
        <w:t xml:space="preserve"> Ministry of Health (MoH). (2024). </w:t>
      </w:r>
      <w:r w:rsidRPr="00F016B9">
        <w:rPr>
          <w:rFonts w:ascii="Arial" w:hAnsi="Arial" w:cs="Arial"/>
          <w:i/>
          <w:iCs/>
          <w:sz w:val="18"/>
          <w:szCs w:val="18"/>
        </w:rPr>
        <w:t>Kosovo Health Sector Strategy 2025–2030</w:t>
      </w:r>
      <w:r w:rsidRPr="00F016B9">
        <w:rPr>
          <w:rFonts w:ascii="Arial" w:hAnsi="Arial" w:cs="Arial"/>
          <w:sz w:val="18"/>
          <w:szCs w:val="18"/>
          <w:lang w:eastAsia="ja-JP"/>
        </w:rPr>
        <w:t xml:space="preserve">, </w:t>
      </w:r>
      <w:hyperlink r:id="rId41" w:history="1">
        <w:r w:rsidRPr="00F016B9">
          <w:rPr>
            <w:rStyle w:val="Hyperlink"/>
            <w:rFonts w:ascii="Arial" w:hAnsi="Arial" w:cs="Arial"/>
            <w:sz w:val="18"/>
            <w:szCs w:val="18"/>
            <w:lang w:eastAsia="ja-JP"/>
          </w:rPr>
          <w:t>https://gzk.rks-gov.net/ActDetail.aspx?ActID=99025</w:t>
        </w:r>
      </w:hyperlink>
    </w:p>
  </w:footnote>
  <w:footnote w:id="70">
    <w:p w14:paraId="49756C74" w14:textId="77777777" w:rsidR="007065D4" w:rsidRPr="00F016B9" w:rsidRDefault="007065D4" w:rsidP="00905BF3">
      <w:pPr>
        <w:jc w:val="both"/>
        <w:rPr>
          <w:rFonts w:ascii="Arial" w:hAnsi="Arial" w:cs="Arial"/>
          <w:sz w:val="18"/>
          <w:szCs w:val="18"/>
        </w:rPr>
      </w:pPr>
    </w:p>
  </w:footnote>
  <w:footnote w:id="71">
    <w:p w14:paraId="520112D8" w14:textId="77777777" w:rsidR="007065D4" w:rsidRPr="00F016B9" w:rsidRDefault="007065D4" w:rsidP="00905BF3">
      <w:pPr>
        <w:pStyle w:val="FootnoteText"/>
        <w:jc w:val="both"/>
        <w:rPr>
          <w:rFonts w:ascii="Arial" w:hAnsi="Arial" w:cs="Arial"/>
          <w:sz w:val="18"/>
          <w:szCs w:val="18"/>
        </w:rPr>
      </w:pPr>
      <w:r w:rsidRPr="00F016B9">
        <w:rPr>
          <w:rStyle w:val="FootnoteReference"/>
          <w:rFonts w:ascii="Arial" w:hAnsi="Arial" w:cs="Arial"/>
          <w:sz w:val="18"/>
          <w:szCs w:val="18"/>
        </w:rPr>
        <w:footnoteRef/>
      </w:r>
      <w:r w:rsidRPr="00F016B9">
        <w:rPr>
          <w:rFonts w:ascii="Arial" w:hAnsi="Arial" w:cs="Arial"/>
          <w:sz w:val="18"/>
          <w:szCs w:val="18"/>
        </w:rPr>
        <w:t xml:space="preserve"> Official gazette of Republic of Kosova, Law no. 08/l-213 on amending and supplementing law no. 08/l-193 on budget appropriations for the budget of the Republic of Kosovo for year 2023, </w:t>
      </w:r>
      <w:hyperlink r:id="rId42" w:history="1">
        <w:r w:rsidRPr="00F016B9">
          <w:rPr>
            <w:rStyle w:val="Hyperlink"/>
            <w:rFonts w:ascii="Arial" w:hAnsi="Arial" w:cs="Arial"/>
            <w:sz w:val="18"/>
            <w:szCs w:val="18"/>
          </w:rPr>
          <w:t>https://gzk.rks-gov.net/ActDetail.aspx?ActID=68589</w:t>
        </w:r>
      </w:hyperlink>
    </w:p>
  </w:footnote>
  <w:footnote w:id="72">
    <w:p w14:paraId="7E2942A7" w14:textId="24A5D706" w:rsidR="007065D4" w:rsidRPr="00F016B9" w:rsidRDefault="007065D4" w:rsidP="00503A18">
      <w:pPr>
        <w:pStyle w:val="FootnoteText"/>
        <w:jc w:val="both"/>
        <w:rPr>
          <w:rFonts w:ascii="Arial" w:hAnsi="Arial" w:cs="Arial"/>
          <w:sz w:val="18"/>
          <w:szCs w:val="18"/>
        </w:rPr>
      </w:pPr>
      <w:r w:rsidRPr="00F016B9">
        <w:rPr>
          <w:rStyle w:val="FootnoteReference"/>
          <w:rFonts w:ascii="Arial" w:hAnsi="Arial" w:cs="Arial"/>
          <w:sz w:val="18"/>
          <w:szCs w:val="18"/>
        </w:rPr>
        <w:footnoteRef/>
      </w:r>
      <w:r w:rsidRPr="00F016B9">
        <w:rPr>
          <w:rFonts w:ascii="Arial" w:hAnsi="Arial" w:cs="Arial"/>
          <w:sz w:val="18"/>
          <w:szCs w:val="18"/>
        </w:rPr>
        <w:t xml:space="preserve"> Ministry of Health (MoH). (2022). Kosovo Health Sector Strategy 2022–2030. Retrieved from </w:t>
      </w:r>
      <w:hyperlink r:id="rId43" w:tgtFrame="_new" w:history="1">
        <w:r w:rsidRPr="00F016B9">
          <w:rPr>
            <w:rStyle w:val="Hyperlink"/>
            <w:rFonts w:ascii="Arial" w:hAnsi="Arial" w:cs="Arial"/>
            <w:color w:val="auto"/>
            <w:sz w:val="18"/>
            <w:szCs w:val="18"/>
          </w:rPr>
          <w:t>msh.rks-gov.net</w:t>
        </w:r>
      </w:hyperlink>
    </w:p>
  </w:footnote>
  <w:footnote w:id="73">
    <w:p w14:paraId="64A8FEFC" w14:textId="09466798" w:rsidR="007065D4" w:rsidRPr="00F016B9" w:rsidRDefault="007065D4" w:rsidP="00503A18">
      <w:pPr>
        <w:pStyle w:val="FootnoteText"/>
        <w:jc w:val="both"/>
        <w:rPr>
          <w:rFonts w:ascii="Arial" w:hAnsi="Arial" w:cs="Arial"/>
          <w:sz w:val="18"/>
          <w:szCs w:val="18"/>
        </w:rPr>
      </w:pPr>
      <w:r w:rsidRPr="00F016B9">
        <w:rPr>
          <w:rStyle w:val="FootnoteReference"/>
          <w:rFonts w:ascii="Arial" w:hAnsi="Arial" w:cs="Arial"/>
          <w:sz w:val="18"/>
          <w:szCs w:val="18"/>
        </w:rPr>
        <w:footnoteRef/>
      </w:r>
      <w:r w:rsidRPr="00F016B9">
        <w:rPr>
          <w:rFonts w:ascii="Arial" w:hAnsi="Arial" w:cs="Arial"/>
          <w:sz w:val="18"/>
          <w:szCs w:val="18"/>
        </w:rPr>
        <w:t xml:space="preserve"> Ministry of Health (MoH). (2022). Kosovo Health Sector Strategy 2022–2030. Retrieved from </w:t>
      </w:r>
      <w:hyperlink r:id="rId44" w:tgtFrame="_new" w:history="1">
        <w:r w:rsidRPr="00F016B9">
          <w:rPr>
            <w:rStyle w:val="Hyperlink"/>
            <w:rFonts w:ascii="Arial" w:hAnsi="Arial" w:cs="Arial"/>
            <w:color w:val="auto"/>
            <w:sz w:val="18"/>
            <w:szCs w:val="18"/>
          </w:rPr>
          <w:t>msh.rks-gov.net</w:t>
        </w:r>
      </w:hyperlink>
    </w:p>
  </w:footnote>
  <w:footnote w:id="74">
    <w:p w14:paraId="0F4BC313" w14:textId="5274B075" w:rsidR="007065D4" w:rsidRPr="00F016B9" w:rsidRDefault="007065D4" w:rsidP="00503A18">
      <w:pPr>
        <w:pStyle w:val="FootnoteText"/>
        <w:jc w:val="both"/>
        <w:rPr>
          <w:rFonts w:ascii="Arial" w:hAnsi="Arial" w:cs="Arial"/>
          <w:sz w:val="18"/>
          <w:szCs w:val="18"/>
        </w:rPr>
      </w:pPr>
      <w:r w:rsidRPr="00F016B9">
        <w:rPr>
          <w:rStyle w:val="FootnoteReference"/>
          <w:rFonts w:ascii="Arial" w:hAnsi="Arial" w:cs="Arial"/>
          <w:sz w:val="18"/>
          <w:szCs w:val="18"/>
        </w:rPr>
        <w:footnoteRef/>
      </w:r>
      <w:r w:rsidRPr="00F016B9">
        <w:rPr>
          <w:rFonts w:ascii="Arial" w:hAnsi="Arial" w:cs="Arial"/>
          <w:sz w:val="18"/>
          <w:szCs w:val="18"/>
        </w:rPr>
        <w:t xml:space="preserve"> European Commission. (2023). Kosovo 2023 Report. Enlargement Package. Retrieved from </w:t>
      </w:r>
      <w:hyperlink r:id="rId45" w:tgtFrame="_new" w:history="1">
        <w:r w:rsidRPr="00F016B9">
          <w:rPr>
            <w:rStyle w:val="Hyperlink"/>
            <w:rFonts w:ascii="Arial" w:hAnsi="Arial" w:cs="Arial"/>
            <w:color w:val="auto"/>
            <w:sz w:val="18"/>
            <w:szCs w:val="18"/>
          </w:rPr>
          <w:t>enlargement.ec.europa.eu</w:t>
        </w:r>
      </w:hyperlink>
    </w:p>
  </w:footnote>
  <w:footnote w:id="75">
    <w:p w14:paraId="6C13992C" w14:textId="549036CE" w:rsidR="006F5E96" w:rsidRPr="00F016B9" w:rsidRDefault="006F5E96">
      <w:pPr>
        <w:pStyle w:val="FootnoteText"/>
        <w:rPr>
          <w:rFonts w:ascii="Arial" w:hAnsi="Arial" w:cs="Arial"/>
        </w:rPr>
      </w:pPr>
      <w:r w:rsidRPr="00F016B9">
        <w:rPr>
          <w:rStyle w:val="FootnoteReference"/>
          <w:rFonts w:ascii="Arial" w:hAnsi="Arial" w:cs="Arial"/>
        </w:rPr>
        <w:footnoteRef/>
      </w:r>
      <w:r w:rsidRPr="00F016B9">
        <w:rPr>
          <w:rFonts w:ascii="Arial" w:hAnsi="Arial" w:cs="Arial"/>
        </w:rPr>
        <w:t xml:space="preserve"> </w:t>
      </w:r>
    </w:p>
  </w:footnote>
  <w:footnote w:id="76">
    <w:p w14:paraId="53F776A8" w14:textId="77777777" w:rsidR="007065D4" w:rsidRPr="00F016B9" w:rsidRDefault="007065D4" w:rsidP="00905BF3">
      <w:pPr>
        <w:pStyle w:val="FootnoteText"/>
        <w:jc w:val="both"/>
        <w:rPr>
          <w:rFonts w:ascii="Arial" w:hAnsi="Arial" w:cs="Arial"/>
          <w:sz w:val="18"/>
          <w:szCs w:val="18"/>
        </w:rPr>
      </w:pPr>
      <w:r w:rsidRPr="00F016B9">
        <w:rPr>
          <w:rStyle w:val="FootnoteReference"/>
          <w:rFonts w:ascii="Arial" w:hAnsi="Arial" w:cs="Arial"/>
          <w:color w:val="007BB8"/>
          <w:sz w:val="18"/>
          <w:szCs w:val="18"/>
        </w:rPr>
        <w:footnoteRef/>
      </w:r>
      <w:r w:rsidRPr="00F016B9">
        <w:rPr>
          <w:rFonts w:ascii="Arial" w:hAnsi="Arial" w:cs="Arial"/>
          <w:color w:val="007BB8"/>
          <w:sz w:val="18"/>
          <w:szCs w:val="18"/>
        </w:rPr>
        <w:t xml:space="preserve"> National Institute of Public Health of Kosova, Department of the Epidemiology: </w:t>
      </w:r>
      <w:hyperlink r:id="rId46" w:history="1">
        <w:r w:rsidRPr="00F016B9">
          <w:rPr>
            <w:rStyle w:val="Hyperlink"/>
            <w:rFonts w:ascii="Arial" w:hAnsi="Arial" w:cs="Arial"/>
            <w:color w:val="007BB8"/>
            <w:sz w:val="18"/>
            <w:szCs w:val="18"/>
          </w:rPr>
          <w:t>Buletini-vjetor-i-semundjeve-ngjitese-janar-dhjetor-2024-1.pdf</w:t>
        </w:r>
      </w:hyperlink>
    </w:p>
  </w:footnote>
  <w:footnote w:id="77">
    <w:p w14:paraId="71586098" w14:textId="6EF5F4C7" w:rsidR="007065D4" w:rsidRPr="00F016B9" w:rsidRDefault="007065D4" w:rsidP="00503A18">
      <w:pPr>
        <w:pStyle w:val="FootnoteText"/>
        <w:jc w:val="both"/>
        <w:rPr>
          <w:rFonts w:ascii="Arial" w:hAnsi="Arial" w:cs="Arial"/>
          <w:sz w:val="18"/>
          <w:szCs w:val="18"/>
        </w:rPr>
      </w:pPr>
      <w:r w:rsidRPr="00F016B9">
        <w:rPr>
          <w:rStyle w:val="FootnoteReference"/>
          <w:rFonts w:ascii="Arial" w:hAnsi="Arial" w:cs="Arial"/>
          <w:sz w:val="18"/>
          <w:szCs w:val="18"/>
        </w:rPr>
        <w:footnoteRef/>
      </w:r>
      <w:r w:rsidRPr="00F016B9">
        <w:rPr>
          <w:rFonts w:ascii="Arial" w:hAnsi="Arial" w:cs="Arial"/>
          <w:sz w:val="18"/>
          <w:szCs w:val="18"/>
        </w:rPr>
        <w:t xml:space="preserve"> World Bank. (2023). Kosovo Country Climate and Development Report (CCDR). Retrieved from </w:t>
      </w:r>
      <w:hyperlink r:id="rId47" w:tgtFrame="_new" w:history="1">
        <w:r w:rsidRPr="00F016B9">
          <w:rPr>
            <w:rStyle w:val="Hyperlink"/>
            <w:rFonts w:ascii="Arial" w:hAnsi="Arial" w:cs="Arial"/>
            <w:color w:val="auto"/>
            <w:sz w:val="18"/>
            <w:szCs w:val="18"/>
          </w:rPr>
          <w:t>worldbank.org</w:t>
        </w:r>
      </w:hyperlink>
    </w:p>
  </w:footnote>
  <w:footnote w:id="78">
    <w:p w14:paraId="07E60215" w14:textId="09BD862B" w:rsidR="007065D4" w:rsidRPr="00503A18" w:rsidRDefault="007065D4" w:rsidP="00503A18">
      <w:pPr>
        <w:pStyle w:val="FootnoteText"/>
        <w:jc w:val="both"/>
        <w:rPr>
          <w:sz w:val="18"/>
          <w:szCs w:val="18"/>
        </w:rPr>
      </w:pPr>
      <w:r w:rsidRPr="00503A18">
        <w:rPr>
          <w:rStyle w:val="FootnoteReference"/>
          <w:sz w:val="18"/>
          <w:szCs w:val="18"/>
        </w:rPr>
        <w:footnoteRef/>
      </w:r>
      <w:r w:rsidRPr="00503A18">
        <w:rPr>
          <w:sz w:val="18"/>
          <w:szCs w:val="18"/>
        </w:rPr>
        <w:t xml:space="preserve"> Ministry of Health (MoH). (2022). Kosovo Health Sector Strategy 2022–2030. Retrieved from </w:t>
      </w:r>
      <w:hyperlink r:id="rId48" w:tgtFrame="_new" w:history="1">
        <w:r w:rsidRPr="00503A18">
          <w:rPr>
            <w:rStyle w:val="Hyperlink"/>
            <w:color w:val="auto"/>
            <w:sz w:val="18"/>
            <w:szCs w:val="18"/>
          </w:rPr>
          <w:t>msh.rks-gov.net</w:t>
        </w:r>
      </w:hyperlink>
    </w:p>
  </w:footnote>
  <w:footnote w:id="79">
    <w:p w14:paraId="6FE3DCFD" w14:textId="77777777" w:rsidR="007065D4" w:rsidRPr="00FB1067" w:rsidRDefault="007065D4" w:rsidP="00503A18">
      <w:pPr>
        <w:pStyle w:val="FootnoteText"/>
        <w:jc w:val="both"/>
        <w:rPr>
          <w:rFonts w:ascii="Arial" w:hAnsi="Arial" w:cs="Arial"/>
          <w:sz w:val="18"/>
          <w:szCs w:val="18"/>
        </w:rPr>
      </w:pPr>
      <w:r w:rsidRPr="00FB1067">
        <w:rPr>
          <w:rStyle w:val="FootnoteReference"/>
          <w:rFonts w:ascii="Arial" w:hAnsi="Arial" w:cs="Arial"/>
          <w:sz w:val="18"/>
          <w:szCs w:val="18"/>
        </w:rPr>
        <w:footnoteRef/>
      </w:r>
      <w:r w:rsidRPr="00FB1067">
        <w:rPr>
          <w:rFonts w:ascii="Arial" w:hAnsi="Arial" w:cs="Arial"/>
          <w:sz w:val="18"/>
          <w:szCs w:val="18"/>
        </w:rPr>
        <w:t xml:space="preserve"> International Journal of Public Sector Innovation (IJPSI). (2021). Public Health and Climate Vulnerabilities in Kosovo. Retrieved from </w:t>
      </w:r>
      <w:hyperlink r:id="rId49" w:tgtFrame="_new" w:history="1">
        <w:r w:rsidRPr="00FB1067">
          <w:rPr>
            <w:rStyle w:val="Hyperlink"/>
            <w:rFonts w:ascii="Arial" w:hAnsi="Arial" w:cs="Arial"/>
            <w:color w:val="auto"/>
            <w:sz w:val="18"/>
            <w:szCs w:val="18"/>
          </w:rPr>
          <w:t>ijpsi.org</w:t>
        </w:r>
      </w:hyperlink>
    </w:p>
  </w:footnote>
  <w:footnote w:id="80">
    <w:p w14:paraId="15216C73" w14:textId="77777777" w:rsidR="007065D4" w:rsidRPr="00FB1067" w:rsidRDefault="007065D4" w:rsidP="00905BF3">
      <w:pPr>
        <w:pStyle w:val="FootnoteText"/>
        <w:jc w:val="both"/>
        <w:rPr>
          <w:rFonts w:ascii="Arial" w:hAnsi="Arial" w:cs="Arial"/>
          <w:sz w:val="18"/>
          <w:szCs w:val="18"/>
        </w:rPr>
      </w:pPr>
      <w:r w:rsidRPr="00FB1067">
        <w:rPr>
          <w:rStyle w:val="FootnoteReference"/>
          <w:rFonts w:ascii="Arial" w:hAnsi="Arial" w:cs="Arial"/>
          <w:sz w:val="18"/>
          <w:szCs w:val="18"/>
        </w:rPr>
        <w:footnoteRef/>
      </w:r>
      <w:r w:rsidRPr="00FB1067">
        <w:rPr>
          <w:rFonts w:ascii="Arial" w:hAnsi="Arial" w:cs="Arial"/>
          <w:sz w:val="18"/>
          <w:szCs w:val="18"/>
        </w:rPr>
        <w:t xml:space="preserve"> NIPHК 2021- Analysis of the state of health of the population and the health system in Kosovo  </w:t>
      </w:r>
    </w:p>
    <w:p w14:paraId="3E4A367E" w14:textId="77777777" w:rsidR="007065D4" w:rsidRPr="00FB1067" w:rsidRDefault="008D6BF0" w:rsidP="00905BF3">
      <w:pPr>
        <w:pStyle w:val="FootnoteText"/>
        <w:jc w:val="both"/>
        <w:rPr>
          <w:rFonts w:ascii="Arial" w:hAnsi="Arial" w:cs="Arial"/>
          <w:sz w:val="18"/>
          <w:szCs w:val="18"/>
        </w:rPr>
      </w:pPr>
      <w:hyperlink r:id="rId50" w:history="1">
        <w:r w:rsidR="007065D4" w:rsidRPr="00FB1067">
          <w:rPr>
            <w:rStyle w:val="Hyperlink"/>
            <w:rFonts w:ascii="Arial" w:hAnsi="Arial" w:cs="Arial"/>
            <w:sz w:val="18"/>
            <w:szCs w:val="18"/>
          </w:rPr>
          <w:t>https://niph-rks.org/wp-content/uploads/2024/09/Analiza-e-gjendjes-shendetesore-te-popullates-2022.pdf</w:t>
        </w:r>
      </w:hyperlink>
      <w:r w:rsidR="007065D4" w:rsidRPr="00FB1067">
        <w:rPr>
          <w:rFonts w:ascii="Arial" w:hAnsi="Arial" w:cs="Arial"/>
          <w:sz w:val="18"/>
          <w:szCs w:val="18"/>
        </w:rPr>
        <w:t xml:space="preserve"> </w:t>
      </w:r>
    </w:p>
  </w:footnote>
  <w:footnote w:id="81">
    <w:p w14:paraId="0A638DBD" w14:textId="77777777" w:rsidR="007065D4" w:rsidRPr="00503A18" w:rsidRDefault="007065D4" w:rsidP="00905BF3">
      <w:pPr>
        <w:pStyle w:val="FootnoteText"/>
        <w:jc w:val="both"/>
        <w:rPr>
          <w:sz w:val="18"/>
          <w:szCs w:val="18"/>
        </w:rPr>
      </w:pPr>
      <w:r w:rsidRPr="00FB1067">
        <w:rPr>
          <w:rStyle w:val="FootnoteReference"/>
          <w:rFonts w:ascii="Arial" w:hAnsi="Arial" w:cs="Arial"/>
          <w:sz w:val="18"/>
          <w:szCs w:val="18"/>
        </w:rPr>
        <w:footnoteRef/>
      </w:r>
      <w:r w:rsidRPr="00FB1067">
        <w:rPr>
          <w:rFonts w:ascii="Arial" w:hAnsi="Arial" w:cs="Arial"/>
          <w:sz w:val="18"/>
          <w:szCs w:val="18"/>
        </w:rPr>
        <w:t xml:space="preserve"> IvySci Journal. (2022). Climate Change Impacts on Health Infrastructure in the Western Balkans. Retrieved from ivysci.com</w:t>
      </w:r>
    </w:p>
  </w:footnote>
  <w:footnote w:id="82">
    <w:p w14:paraId="57DE5526" w14:textId="77777777" w:rsidR="007065D4" w:rsidRPr="00FB1067" w:rsidRDefault="007065D4" w:rsidP="001D4FA1">
      <w:pPr>
        <w:pStyle w:val="FootnoteText"/>
        <w:rPr>
          <w:rFonts w:ascii="Arial" w:hAnsi="Arial" w:cs="Arial"/>
          <w:sz w:val="18"/>
          <w:szCs w:val="18"/>
        </w:rPr>
      </w:pPr>
      <w:r w:rsidRPr="00FB1067">
        <w:rPr>
          <w:rStyle w:val="FootnoteReference"/>
          <w:rFonts w:ascii="Arial" w:hAnsi="Arial" w:cs="Arial"/>
          <w:sz w:val="18"/>
          <w:szCs w:val="18"/>
        </w:rPr>
        <w:footnoteRef/>
      </w:r>
      <w:r w:rsidRPr="00FB1067">
        <w:rPr>
          <w:rFonts w:ascii="Arial" w:hAnsi="Arial" w:cs="Arial"/>
          <w:sz w:val="18"/>
          <w:szCs w:val="18"/>
        </w:rPr>
        <w:t xml:space="preserve"> Government of Kosovo / Office of the Prime Minister. (2023). </w:t>
      </w:r>
      <w:r w:rsidRPr="00FB1067">
        <w:rPr>
          <w:rFonts w:ascii="Arial" w:hAnsi="Arial" w:cs="Arial"/>
          <w:i/>
          <w:iCs/>
          <w:sz w:val="18"/>
          <w:szCs w:val="18"/>
        </w:rPr>
        <w:t>Health Security Action Plan 2024–2026</w:t>
      </w:r>
      <w:r w:rsidRPr="00FB1067">
        <w:rPr>
          <w:rFonts w:ascii="Arial" w:hAnsi="Arial" w:cs="Arial"/>
          <w:sz w:val="18"/>
          <w:szCs w:val="18"/>
        </w:rPr>
        <w:t xml:space="preserve">. Retrieved from </w:t>
      </w:r>
      <w:hyperlink r:id="rId51" w:tgtFrame="_new" w:history="1">
        <w:r w:rsidRPr="00FB1067">
          <w:rPr>
            <w:rStyle w:val="Hyperlink"/>
            <w:rFonts w:ascii="Arial" w:hAnsi="Arial" w:cs="Arial"/>
            <w:color w:val="auto"/>
            <w:sz w:val="18"/>
            <w:szCs w:val="18"/>
          </w:rPr>
          <w:t>kryeministri.rks-gov.net</w:t>
        </w:r>
      </w:hyperlink>
    </w:p>
  </w:footnote>
  <w:footnote w:id="83">
    <w:p w14:paraId="771C7785" w14:textId="2E36116B" w:rsidR="00311473" w:rsidRPr="00FB1067" w:rsidRDefault="00311473">
      <w:pPr>
        <w:pStyle w:val="FootnoteText"/>
        <w:rPr>
          <w:rFonts w:ascii="Arial" w:hAnsi="Arial" w:cs="Arial"/>
          <w:sz w:val="18"/>
          <w:szCs w:val="18"/>
        </w:rPr>
      </w:pPr>
      <w:r w:rsidRPr="00FB1067">
        <w:rPr>
          <w:rStyle w:val="FootnoteReference"/>
          <w:rFonts w:ascii="Arial" w:hAnsi="Arial" w:cs="Arial"/>
          <w:sz w:val="18"/>
          <w:szCs w:val="18"/>
        </w:rPr>
        <w:footnoteRef/>
      </w:r>
      <w:r w:rsidRPr="00FB1067">
        <w:rPr>
          <w:rFonts w:ascii="Arial" w:hAnsi="Arial" w:cs="Arial"/>
          <w:sz w:val="18"/>
          <w:szCs w:val="18"/>
        </w:rPr>
        <w:t xml:space="preserve"> Manual for Planning, Developing and Monitoring Strategic Documents and their Action Plans</w:t>
      </w:r>
    </w:p>
  </w:footnote>
  <w:footnote w:id="84">
    <w:p w14:paraId="46045013" w14:textId="7E0645DA" w:rsidR="00483203" w:rsidRPr="00FB1067" w:rsidRDefault="00483203">
      <w:pPr>
        <w:pStyle w:val="FootnoteText"/>
        <w:rPr>
          <w:rFonts w:ascii="Arial" w:hAnsi="Arial" w:cs="Arial"/>
          <w:sz w:val="18"/>
          <w:szCs w:val="18"/>
        </w:rPr>
      </w:pPr>
      <w:r w:rsidRPr="00FB1067">
        <w:rPr>
          <w:rStyle w:val="FootnoteReference"/>
          <w:rFonts w:ascii="Arial" w:hAnsi="Arial" w:cs="Arial"/>
          <w:sz w:val="18"/>
          <w:szCs w:val="18"/>
        </w:rPr>
        <w:footnoteRef/>
      </w:r>
      <w:r w:rsidRPr="00FB1067">
        <w:rPr>
          <w:rFonts w:ascii="Arial" w:hAnsi="Arial" w:cs="Arial"/>
          <w:sz w:val="18"/>
          <w:szCs w:val="18"/>
        </w:rPr>
        <w:t xml:space="preserve"> </w:t>
      </w:r>
      <w:r w:rsidR="001310C5" w:rsidRPr="00FB1067">
        <w:rPr>
          <w:rFonts w:ascii="Arial" w:hAnsi="Arial" w:cs="Arial"/>
          <w:sz w:val="18"/>
          <w:szCs w:val="18"/>
        </w:rPr>
        <w:t>Manual for Planning, Developing and Monitoring Strategic Documents and their Action Plans</w:t>
      </w:r>
    </w:p>
  </w:footnote>
  <w:footnote w:id="85">
    <w:p w14:paraId="51E8A380" w14:textId="77777777" w:rsidR="007065D4" w:rsidRPr="007970D6" w:rsidRDefault="007065D4" w:rsidP="00E666FD">
      <w:pPr>
        <w:pStyle w:val="FootnoteText"/>
        <w:jc w:val="both"/>
        <w:rPr>
          <w:rFonts w:ascii="Arial" w:hAnsi="Arial" w:cs="Arial"/>
          <w:sz w:val="18"/>
          <w:szCs w:val="18"/>
          <w:lang w:val="en-GB"/>
        </w:rPr>
      </w:pPr>
      <w:r w:rsidRPr="007970D6">
        <w:rPr>
          <w:rStyle w:val="FootnoteReference"/>
          <w:rFonts w:ascii="Arial" w:hAnsi="Arial" w:cs="Arial"/>
          <w:sz w:val="18"/>
          <w:szCs w:val="18"/>
        </w:rPr>
        <w:footnoteRef/>
      </w:r>
      <w:r w:rsidRPr="007970D6">
        <w:rPr>
          <w:rFonts w:ascii="Arial" w:hAnsi="Arial" w:cs="Arial"/>
          <w:sz w:val="18"/>
          <w:szCs w:val="18"/>
          <w:lang w:val="en-GB"/>
        </w:rPr>
        <w:t xml:space="preserve"> World Bank. (2023a). Country Climate and Development Report: Kosovo. Washington, D.C.: World Bank Group. </w:t>
      </w:r>
      <w:hyperlink r:id="rId52" w:tgtFrame="_new" w:history="1">
        <w:r w:rsidRPr="007970D6">
          <w:rPr>
            <w:rStyle w:val="Hyperlink"/>
            <w:rFonts w:ascii="Arial" w:hAnsi="Arial" w:cs="Arial"/>
            <w:color w:val="auto"/>
            <w:sz w:val="18"/>
            <w:szCs w:val="18"/>
            <w:lang w:val="en-GB"/>
          </w:rPr>
          <w:t>https://www.worldbank.org/</w:t>
        </w:r>
      </w:hyperlink>
    </w:p>
  </w:footnote>
  <w:footnote w:id="86">
    <w:p w14:paraId="64D55451" w14:textId="77777777" w:rsidR="007065D4" w:rsidRPr="007970D6" w:rsidRDefault="007065D4" w:rsidP="00E666FD">
      <w:pPr>
        <w:pStyle w:val="FootnoteText"/>
        <w:jc w:val="both"/>
        <w:rPr>
          <w:rFonts w:ascii="Arial" w:hAnsi="Arial" w:cs="Arial"/>
          <w:sz w:val="18"/>
          <w:szCs w:val="18"/>
          <w:lang w:val="en-GB"/>
        </w:rPr>
      </w:pPr>
      <w:r w:rsidRPr="007970D6">
        <w:rPr>
          <w:rStyle w:val="FootnoteReference"/>
          <w:rFonts w:ascii="Arial" w:hAnsi="Arial" w:cs="Arial"/>
          <w:sz w:val="18"/>
          <w:szCs w:val="18"/>
        </w:rPr>
        <w:footnoteRef/>
      </w:r>
      <w:r w:rsidRPr="007970D6">
        <w:rPr>
          <w:rFonts w:ascii="Arial" w:hAnsi="Arial" w:cs="Arial"/>
          <w:sz w:val="18"/>
          <w:szCs w:val="18"/>
          <w:lang w:val="en-GB"/>
        </w:rPr>
        <w:t xml:space="preserve"> World Bank. (2023a). Country Climate and Development Report: Kosovo. Washington, D.C.: World Bank Group. </w:t>
      </w:r>
      <w:hyperlink r:id="rId53" w:tgtFrame="_new" w:history="1">
        <w:r w:rsidRPr="007970D6">
          <w:rPr>
            <w:rStyle w:val="Hyperlink"/>
            <w:rFonts w:ascii="Arial" w:hAnsi="Arial" w:cs="Arial"/>
            <w:color w:val="auto"/>
            <w:sz w:val="18"/>
            <w:szCs w:val="18"/>
            <w:lang w:val="en-GB"/>
          </w:rPr>
          <w:t>https://www.worldbank.org/</w:t>
        </w:r>
      </w:hyperlink>
    </w:p>
  </w:footnote>
  <w:footnote w:id="87">
    <w:p w14:paraId="67109A10" w14:textId="77777777" w:rsidR="007065D4" w:rsidRPr="007970D6" w:rsidRDefault="007065D4" w:rsidP="00E666FD">
      <w:pPr>
        <w:pStyle w:val="FootnoteText"/>
        <w:jc w:val="both"/>
        <w:rPr>
          <w:rFonts w:ascii="Arial" w:hAnsi="Arial" w:cs="Arial"/>
          <w:sz w:val="18"/>
          <w:szCs w:val="18"/>
          <w:lang w:val="en-GB"/>
        </w:rPr>
      </w:pPr>
      <w:r w:rsidRPr="007970D6">
        <w:rPr>
          <w:rStyle w:val="FootnoteReference"/>
          <w:rFonts w:ascii="Arial" w:hAnsi="Arial" w:cs="Arial"/>
          <w:sz w:val="18"/>
          <w:szCs w:val="18"/>
        </w:rPr>
        <w:footnoteRef/>
      </w:r>
      <w:r w:rsidRPr="007970D6">
        <w:rPr>
          <w:rFonts w:ascii="Arial" w:hAnsi="Arial" w:cs="Arial"/>
          <w:sz w:val="18"/>
          <w:szCs w:val="18"/>
          <w:lang w:val="en-GB"/>
        </w:rPr>
        <w:t xml:space="preserve"> World Bank. (2023a). Country Climate and Development Report: Kosovo. Washington, D.C.: World Bank Group. </w:t>
      </w:r>
      <w:hyperlink r:id="rId54" w:tgtFrame="_new" w:history="1">
        <w:r w:rsidRPr="007970D6">
          <w:rPr>
            <w:rStyle w:val="Hyperlink"/>
            <w:rFonts w:ascii="Arial" w:hAnsi="Arial" w:cs="Arial"/>
            <w:color w:val="auto"/>
            <w:sz w:val="18"/>
            <w:szCs w:val="18"/>
            <w:lang w:val="en-GB"/>
          </w:rPr>
          <w:t>https://www.worldbank.org/</w:t>
        </w:r>
      </w:hyperlink>
    </w:p>
  </w:footnote>
  <w:footnote w:id="88">
    <w:p w14:paraId="02F35492" w14:textId="77777777" w:rsidR="007065D4" w:rsidRPr="007970D6" w:rsidRDefault="007065D4" w:rsidP="00E666FD">
      <w:pPr>
        <w:pStyle w:val="FootnoteText"/>
        <w:jc w:val="both"/>
        <w:rPr>
          <w:rFonts w:ascii="Arial" w:hAnsi="Arial" w:cs="Arial"/>
          <w:sz w:val="18"/>
          <w:szCs w:val="18"/>
          <w:lang w:val="en-GB"/>
        </w:rPr>
      </w:pPr>
      <w:r w:rsidRPr="007970D6">
        <w:rPr>
          <w:rStyle w:val="FootnoteReference"/>
          <w:rFonts w:ascii="Arial" w:hAnsi="Arial" w:cs="Arial"/>
          <w:sz w:val="18"/>
          <w:szCs w:val="18"/>
        </w:rPr>
        <w:footnoteRef/>
      </w:r>
      <w:r w:rsidRPr="007970D6">
        <w:rPr>
          <w:rFonts w:ascii="Arial" w:hAnsi="Arial" w:cs="Arial"/>
          <w:sz w:val="18"/>
          <w:szCs w:val="18"/>
          <w:lang w:val="en-GB"/>
        </w:rPr>
        <w:t xml:space="preserve"> International Monetary Fund (IMF). (2023). IMF Executive Board Approves RSF Arrangement for Kosovo. </w:t>
      </w:r>
      <w:hyperlink r:id="rId55" w:tgtFrame="_new" w:history="1">
        <w:r w:rsidRPr="007970D6">
          <w:rPr>
            <w:rStyle w:val="Hyperlink"/>
            <w:rFonts w:ascii="Arial" w:hAnsi="Arial" w:cs="Arial"/>
            <w:color w:val="auto"/>
            <w:sz w:val="18"/>
            <w:szCs w:val="18"/>
            <w:lang w:val="en-GB"/>
          </w:rPr>
          <w:t>https://www.imf.org/</w:t>
        </w:r>
      </w:hyperlink>
    </w:p>
  </w:footnote>
  <w:footnote w:id="89">
    <w:p w14:paraId="4C002913" w14:textId="77777777" w:rsidR="007065D4" w:rsidRPr="007970D6" w:rsidRDefault="007065D4" w:rsidP="00E666FD">
      <w:pPr>
        <w:pStyle w:val="FootnoteText"/>
        <w:jc w:val="both"/>
        <w:rPr>
          <w:rFonts w:ascii="Arial" w:hAnsi="Arial" w:cs="Arial"/>
          <w:sz w:val="18"/>
          <w:szCs w:val="18"/>
        </w:rPr>
      </w:pPr>
      <w:r w:rsidRPr="007970D6">
        <w:rPr>
          <w:rStyle w:val="FootnoteReference"/>
          <w:rFonts w:ascii="Arial" w:hAnsi="Arial" w:cs="Arial"/>
          <w:sz w:val="18"/>
          <w:szCs w:val="18"/>
        </w:rPr>
        <w:footnoteRef/>
      </w:r>
      <w:r w:rsidRPr="007970D6">
        <w:rPr>
          <w:rFonts w:ascii="Arial" w:hAnsi="Arial" w:cs="Arial"/>
          <w:sz w:val="18"/>
          <w:szCs w:val="18"/>
          <w:lang w:val="en-GB"/>
        </w:rPr>
        <w:t xml:space="preserve"> European Bank for Reconstruction and Development (EBRD). (2024). Kosovo: EBRD project portfolio and climate investments. </w:t>
      </w:r>
      <w:hyperlink r:id="rId56" w:tgtFrame="_new" w:history="1">
        <w:r w:rsidRPr="007970D6">
          <w:rPr>
            <w:rStyle w:val="Hyperlink"/>
            <w:rFonts w:ascii="Arial" w:hAnsi="Arial" w:cs="Arial"/>
            <w:color w:val="auto"/>
            <w:sz w:val="18"/>
            <w:szCs w:val="18"/>
          </w:rPr>
          <w:t>https://www.ebrd.com/</w:t>
        </w:r>
      </w:hyperlink>
    </w:p>
  </w:footnote>
  <w:footnote w:id="90">
    <w:p w14:paraId="3D34950C" w14:textId="77777777" w:rsidR="007065D4" w:rsidRPr="00A40140" w:rsidRDefault="007065D4" w:rsidP="00E666FD">
      <w:pPr>
        <w:pStyle w:val="FootnoteText"/>
        <w:jc w:val="both"/>
        <w:rPr>
          <w:lang w:val="en-GB"/>
        </w:rPr>
      </w:pPr>
      <w:r w:rsidRPr="007970D6">
        <w:rPr>
          <w:rStyle w:val="FootnoteReference"/>
          <w:rFonts w:ascii="Arial" w:hAnsi="Arial" w:cs="Arial"/>
          <w:sz w:val="18"/>
          <w:szCs w:val="18"/>
        </w:rPr>
        <w:footnoteRef/>
      </w:r>
      <w:r w:rsidRPr="007970D6">
        <w:rPr>
          <w:rFonts w:ascii="Arial" w:hAnsi="Arial" w:cs="Arial"/>
          <w:sz w:val="18"/>
          <w:szCs w:val="18"/>
          <w:lang w:val="en-GB"/>
        </w:rPr>
        <w:t xml:space="preserve"> World Bank. (2023a). Country Climate and Development Report: Kosovo. Washington, D.C.: World Bank Group. </w:t>
      </w:r>
      <w:hyperlink r:id="rId57" w:tgtFrame="_new" w:history="1">
        <w:r w:rsidRPr="007970D6">
          <w:rPr>
            <w:rStyle w:val="Hyperlink"/>
            <w:rFonts w:ascii="Arial" w:hAnsi="Arial" w:cs="Arial"/>
            <w:color w:val="auto"/>
            <w:sz w:val="18"/>
            <w:szCs w:val="18"/>
            <w:lang w:val="en-GB"/>
          </w:rPr>
          <w:t>https://www.worldbank.org/</w:t>
        </w:r>
      </w:hyperlink>
    </w:p>
  </w:footnote>
  <w:footnote w:id="91">
    <w:p w14:paraId="2546C15B" w14:textId="77777777" w:rsidR="007065D4" w:rsidRPr="00F22C96" w:rsidRDefault="007065D4" w:rsidP="00E666FD">
      <w:pPr>
        <w:pStyle w:val="FootnoteText"/>
        <w:jc w:val="both"/>
        <w:rPr>
          <w:rFonts w:ascii="Arial" w:hAnsi="Arial" w:cs="Arial"/>
          <w:sz w:val="18"/>
          <w:szCs w:val="18"/>
          <w:lang w:val="en-GB"/>
        </w:rPr>
      </w:pPr>
      <w:r w:rsidRPr="00F22C96">
        <w:rPr>
          <w:rStyle w:val="FootnoteReference"/>
          <w:rFonts w:ascii="Arial" w:hAnsi="Arial" w:cs="Arial"/>
          <w:sz w:val="18"/>
          <w:szCs w:val="18"/>
        </w:rPr>
        <w:footnoteRef/>
      </w:r>
      <w:r w:rsidRPr="00F22C96">
        <w:rPr>
          <w:rFonts w:ascii="Arial" w:hAnsi="Arial" w:cs="Arial"/>
          <w:sz w:val="18"/>
          <w:szCs w:val="18"/>
          <w:lang w:val="en-GB"/>
        </w:rPr>
        <w:t>https://documents1.worldbank.org/curated/en/099100324121037634/pdf/P17920519a54a30bb1abe41c87eaa27d582.pdf</w:t>
      </w:r>
    </w:p>
  </w:footnote>
  <w:footnote w:id="92">
    <w:p w14:paraId="26748B4A" w14:textId="77777777" w:rsidR="007065D4" w:rsidRPr="00F22C96" w:rsidRDefault="007065D4" w:rsidP="00E666FD">
      <w:pPr>
        <w:pStyle w:val="FootnoteText"/>
        <w:jc w:val="both"/>
        <w:rPr>
          <w:rFonts w:ascii="Arial" w:hAnsi="Arial" w:cs="Arial"/>
          <w:lang w:val="en-GB"/>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w:t>
      </w:r>
      <w:r w:rsidRPr="00F22C96">
        <w:rPr>
          <w:rFonts w:ascii="Arial" w:eastAsia="Times New Roman" w:hAnsi="Arial" w:cs="Arial"/>
          <w:sz w:val="18"/>
          <w:szCs w:val="18"/>
          <w:lang w:val="en-GB"/>
        </w:rPr>
        <w:t xml:space="preserve">Buchner, B., Naran, B., Padmanabhi, R., Stout, S., Strinati, C., Wignarajah, D., Miao, G., Connolly, J., &amp; Marini, N. (2023). </w:t>
      </w:r>
      <w:r w:rsidRPr="00F22C96">
        <w:rPr>
          <w:rFonts w:ascii="Arial" w:eastAsia="Times New Roman" w:hAnsi="Arial" w:cs="Arial"/>
          <w:i/>
          <w:iCs/>
          <w:sz w:val="18"/>
          <w:szCs w:val="18"/>
          <w:lang w:val="en-GB"/>
        </w:rPr>
        <w:t>Global Landscape of Climate Finance 2023</w:t>
      </w:r>
      <w:r w:rsidRPr="00F22C96">
        <w:rPr>
          <w:rFonts w:ascii="Arial" w:eastAsia="Times New Roman" w:hAnsi="Arial" w:cs="Arial"/>
          <w:sz w:val="18"/>
          <w:szCs w:val="18"/>
          <w:lang w:val="en-GB"/>
        </w:rPr>
        <w:t>.</w:t>
      </w:r>
    </w:p>
  </w:footnote>
  <w:footnote w:id="93">
    <w:p w14:paraId="60105772" w14:textId="77777777" w:rsidR="007065D4" w:rsidRPr="00E666FD" w:rsidRDefault="007065D4" w:rsidP="00E666FD">
      <w:pPr>
        <w:pStyle w:val="FootnoteText"/>
        <w:jc w:val="both"/>
        <w:rPr>
          <w:sz w:val="18"/>
          <w:szCs w:val="18"/>
          <w:lang w:val="en-GB"/>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w:t>
      </w:r>
      <w:r w:rsidRPr="00F22C96">
        <w:rPr>
          <w:rFonts w:ascii="Arial" w:eastAsia="Times New Roman" w:hAnsi="Arial" w:cs="Arial"/>
          <w:color w:val="000000"/>
          <w:sz w:val="18"/>
          <w:szCs w:val="18"/>
          <w:lang w:val="en-GB"/>
        </w:rPr>
        <w:t>Buchner, B., Naran, B., Padmanabhi, R., Stout, S., Strinati, C., Wignarajah, D., Miao, G., Connolly, J., &amp; Marini, N. (2023). Global Landscape of Climate Finance 2023.</w:t>
      </w:r>
    </w:p>
  </w:footnote>
  <w:footnote w:id="94">
    <w:p w14:paraId="6DF787C7" w14:textId="77777777" w:rsidR="007065D4" w:rsidRPr="00F22C96" w:rsidRDefault="007065D4" w:rsidP="00E666FD">
      <w:pPr>
        <w:pStyle w:val="FootnoteText"/>
        <w:jc w:val="both"/>
        <w:rPr>
          <w:rFonts w:ascii="Arial" w:hAnsi="Arial" w:cs="Arial"/>
          <w:sz w:val="18"/>
          <w:szCs w:val="18"/>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United Nations Security Council. (1999). Resolution 1244 (1999), adopted by the Security Council at its 4011th meeting, on 10 June 1999 (S/RES/1244). </w:t>
      </w:r>
      <w:hyperlink r:id="rId58" w:tgtFrame="_new" w:history="1">
        <w:r w:rsidRPr="00F22C96">
          <w:rPr>
            <w:rStyle w:val="Hyperlink"/>
            <w:rFonts w:ascii="Arial" w:hAnsi="Arial" w:cs="Arial"/>
            <w:sz w:val="18"/>
            <w:szCs w:val="18"/>
          </w:rPr>
          <w:t>https://digitallibrary.un.org/record/274488</w:t>
        </w:r>
      </w:hyperlink>
    </w:p>
  </w:footnote>
  <w:footnote w:id="95">
    <w:p w14:paraId="4C20D58D" w14:textId="77777777" w:rsidR="007065D4" w:rsidRPr="00E666FD" w:rsidRDefault="007065D4" w:rsidP="00E666FD">
      <w:pPr>
        <w:pStyle w:val="FootnoteText"/>
        <w:jc w:val="both"/>
        <w:rPr>
          <w:sz w:val="18"/>
          <w:szCs w:val="18"/>
          <w:lang w:val="en-GB"/>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Global Environment Facility. (2015). Enabling Transboundary Cooperation and Integrated Water Resources Management in the White Drin and the Extended Drin Basin [Project ID 9121]. United Nations Development Programme. https://www.thegef.org/projects-operations/projects/9121</w:t>
      </w:r>
    </w:p>
  </w:footnote>
  <w:footnote w:id="96">
    <w:p w14:paraId="22AD7098" w14:textId="77777777" w:rsidR="007065D4" w:rsidRPr="00F22C96" w:rsidRDefault="007065D4" w:rsidP="00E666FD">
      <w:pPr>
        <w:pStyle w:val="FootnoteText"/>
        <w:jc w:val="both"/>
        <w:rPr>
          <w:rFonts w:ascii="Arial" w:hAnsi="Arial" w:cs="Arial"/>
          <w:lang w:val="en-GB"/>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w:t>
      </w:r>
      <w:r w:rsidRPr="00F22C96">
        <w:rPr>
          <w:rFonts w:ascii="Arial" w:eastAsia="Times New Roman" w:hAnsi="Arial" w:cs="Arial"/>
          <w:color w:val="000000"/>
          <w:sz w:val="18"/>
          <w:szCs w:val="18"/>
          <w:lang w:val="en-GB"/>
        </w:rPr>
        <w:t>Buchner, B., Naran, B., Padmanabhi, R., Stout, S., Strinati, C., Wignarajah, D., Miao, G., Connolly, J., &amp; Marini, N. (2023). Global Landscape of Climate Finance 2023.</w:t>
      </w:r>
    </w:p>
  </w:footnote>
  <w:footnote w:id="97">
    <w:p w14:paraId="72C5400C" w14:textId="77777777" w:rsidR="007065D4" w:rsidRPr="00F22C96" w:rsidRDefault="007065D4" w:rsidP="00094020">
      <w:pPr>
        <w:autoSpaceDE w:val="0"/>
        <w:autoSpaceDN w:val="0"/>
        <w:spacing w:after="0"/>
        <w:jc w:val="both"/>
        <w:rPr>
          <w:rFonts w:ascii="Arial" w:eastAsia="Times New Roman" w:hAnsi="Arial" w:cs="Arial"/>
          <w:sz w:val="18"/>
          <w:szCs w:val="18"/>
          <w:lang w:val="en-GB"/>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w:t>
      </w:r>
      <w:r w:rsidRPr="00F22C96">
        <w:rPr>
          <w:rFonts w:ascii="Arial" w:eastAsia="Times New Roman" w:hAnsi="Arial" w:cs="Arial"/>
          <w:sz w:val="18"/>
          <w:szCs w:val="18"/>
          <w:lang w:val="en-GB"/>
        </w:rPr>
        <w:t>Connolly, J., Richmond, M., Wallock, W., &amp; Abraham, S. (2024). Tracking and Mobilizing Private Sector Climate Adaptation Finance. https://www.climatepolicyinitiative.org/wp-content/uploads/2024/09/Tracking-and-Mobilizing-Private-Sector-Climate-Adaptation-Finance-2024.pdf</w:t>
      </w:r>
    </w:p>
  </w:footnote>
  <w:footnote w:id="98">
    <w:p w14:paraId="1436FB7B" w14:textId="77777777" w:rsidR="007065D4" w:rsidRPr="00F22C96" w:rsidRDefault="007065D4" w:rsidP="00094020">
      <w:pPr>
        <w:pStyle w:val="FootnoteText"/>
        <w:jc w:val="both"/>
        <w:rPr>
          <w:rFonts w:ascii="Arial" w:hAnsi="Arial" w:cs="Arial"/>
          <w:sz w:val="18"/>
          <w:szCs w:val="18"/>
          <w:lang w:val="en-GB"/>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European Bank for Reconstruction and Development. (2025, April 30). Kosovo overview. Retrieved from https://www.ebrd.com/where-we-are/kosovo.html</w:t>
      </w:r>
    </w:p>
  </w:footnote>
  <w:footnote w:id="99">
    <w:p w14:paraId="1C5A5F8C" w14:textId="77777777" w:rsidR="007065D4" w:rsidRPr="00F22C96" w:rsidRDefault="007065D4" w:rsidP="00094020">
      <w:pPr>
        <w:pStyle w:val="FootnoteText"/>
        <w:jc w:val="both"/>
        <w:rPr>
          <w:rFonts w:ascii="Arial" w:hAnsi="Arial" w:cs="Arial"/>
          <w:sz w:val="18"/>
          <w:szCs w:val="18"/>
          <w:lang w:val="en-GB"/>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Raiffeisen Bank Kosovo. (2023). €5 million EBRD loan to Raiffeisen Bank Kosovo to increase green funding for local businesses. https://www.raiffeisen-kosovo.com/en/about-us/media/5-million-EBRD-loan-to-Raiffeisen-Bank-Kosovo-to-increase-green-funding.html</w:t>
      </w:r>
    </w:p>
  </w:footnote>
  <w:footnote w:id="100">
    <w:p w14:paraId="52104ABC" w14:textId="77777777" w:rsidR="007065D4" w:rsidRPr="00F22C96" w:rsidRDefault="007065D4" w:rsidP="00094020">
      <w:pPr>
        <w:pStyle w:val="FootnoteText"/>
        <w:jc w:val="both"/>
        <w:rPr>
          <w:rFonts w:ascii="Arial" w:hAnsi="Arial" w:cs="Arial"/>
          <w:sz w:val="18"/>
          <w:szCs w:val="18"/>
          <w:lang w:val="en-GB"/>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EBRD. (2025, January 20). EBRD provides €50 million to boost energy efficiency in Kosovo’s public buildings. https://www.ebrd.com/home/news-and-events/news/2025/EBRD-provides--50-million-to-boost-energy-efficiency-in-Kosovo-s-public-buildings.html</w:t>
      </w:r>
    </w:p>
  </w:footnote>
  <w:footnote w:id="101">
    <w:p w14:paraId="560FF612" w14:textId="77777777" w:rsidR="007065D4" w:rsidRPr="00E666FD" w:rsidRDefault="007065D4" w:rsidP="00094020">
      <w:pPr>
        <w:pStyle w:val="FootnoteText"/>
        <w:jc w:val="both"/>
        <w:rPr>
          <w:sz w:val="18"/>
          <w:szCs w:val="18"/>
          <w:lang w:val="en-GB"/>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European Commission. (n.d.). Financial assistance under the Instrument for Pre</w:t>
      </w:r>
      <w:r w:rsidRPr="00F22C96">
        <w:rPr>
          <w:rFonts w:ascii="Arial" w:hAnsi="Arial" w:cs="Arial"/>
          <w:sz w:val="18"/>
          <w:szCs w:val="18"/>
          <w:lang w:val="en-GB"/>
        </w:rPr>
        <w:noBreakHyphen/>
        <w:t xml:space="preserve">Accession Assistance (IPA) – Kosovo. Retrieved from: </w:t>
      </w:r>
      <w:hyperlink r:id="rId59" w:tgtFrame="_new" w:history="1">
        <w:r w:rsidRPr="00F22C96">
          <w:rPr>
            <w:rStyle w:val="Hyperlink"/>
            <w:rFonts w:ascii="Arial" w:hAnsi="Arial" w:cs="Arial"/>
            <w:color w:val="auto"/>
            <w:sz w:val="18"/>
            <w:szCs w:val="18"/>
            <w:lang w:val="en-GB"/>
          </w:rPr>
          <w:t>https://neighbourhood-enlargement.ec.europa.eu/kosovo-financial-assistance-under-ipa_en</w:t>
        </w:r>
      </w:hyperlink>
    </w:p>
  </w:footnote>
  <w:footnote w:id="102">
    <w:p w14:paraId="3D600055" w14:textId="77777777" w:rsidR="007065D4" w:rsidRPr="00F22C96" w:rsidRDefault="007065D4" w:rsidP="00094020">
      <w:pPr>
        <w:pStyle w:val="FootnoteText"/>
        <w:jc w:val="both"/>
        <w:rPr>
          <w:rFonts w:ascii="Arial" w:hAnsi="Arial" w:cs="Arial"/>
          <w:sz w:val="18"/>
          <w:szCs w:val="18"/>
          <w:lang w:val="en-GB"/>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Climate Policy Initiative (CPI). (2023, January 26). Enhancing MDB–NDB cooperation: Understanding climate finance flows and Paris alignment. https://www.climatepolicyinitiative.org/publication/enhancing-mdb-ndb-cooperation-understanding-climate-finance-flows-and-paris-alignment/</w:t>
      </w:r>
    </w:p>
  </w:footnote>
  <w:footnote w:id="103">
    <w:p w14:paraId="26F99705" w14:textId="77777777" w:rsidR="007065D4" w:rsidRPr="00F22C96" w:rsidRDefault="007065D4" w:rsidP="00094020">
      <w:pPr>
        <w:pStyle w:val="FootnoteText"/>
        <w:jc w:val="both"/>
        <w:rPr>
          <w:rFonts w:ascii="Arial" w:hAnsi="Arial" w:cs="Arial"/>
          <w:lang w:val="nl-BE"/>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European Bank for Reconstruction and Development (EBRD). (2022, November 26). €5 million EBRD loan to Raiffeisen Bank Kosovo to increase green funding for local businesses. </w:t>
      </w:r>
      <w:r w:rsidRPr="00F22C96">
        <w:rPr>
          <w:rFonts w:ascii="Arial" w:hAnsi="Arial" w:cs="Arial"/>
          <w:sz w:val="18"/>
          <w:szCs w:val="18"/>
          <w:lang w:val="nl-BE"/>
        </w:rPr>
        <w:t>Raiffeisen Bank Kosovo. https://www.raiffeisen-kosovo.com/en/about-us/media/5-million-EBRD-loan-to-Raiffeisen-Bank-Kosovo-to-increase-green-funding.html</w:t>
      </w:r>
    </w:p>
  </w:footnote>
  <w:footnote w:id="104">
    <w:p w14:paraId="502361FF" w14:textId="77777777" w:rsidR="007065D4" w:rsidRPr="00F22C96" w:rsidRDefault="007065D4" w:rsidP="00E666FD">
      <w:pPr>
        <w:pStyle w:val="FootnoteText"/>
        <w:jc w:val="both"/>
        <w:rPr>
          <w:rFonts w:ascii="Arial" w:hAnsi="Arial" w:cs="Arial"/>
          <w:sz w:val="18"/>
          <w:szCs w:val="18"/>
          <w:lang w:val="en-GB"/>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WBIF. (2023). EU-funded infrastructure and environmental resilience projects in Kosovo. </w:t>
      </w:r>
      <w:hyperlink r:id="rId60" w:tgtFrame="_new" w:history="1">
        <w:r w:rsidRPr="00F22C96">
          <w:rPr>
            <w:rStyle w:val="Hyperlink"/>
            <w:rFonts w:ascii="Arial" w:hAnsi="Arial" w:cs="Arial"/>
            <w:color w:val="auto"/>
            <w:sz w:val="18"/>
            <w:szCs w:val="18"/>
            <w:lang w:val="en-GB"/>
          </w:rPr>
          <w:t>https://www.wbif.eu</w:t>
        </w:r>
      </w:hyperlink>
    </w:p>
  </w:footnote>
  <w:footnote w:id="105">
    <w:p w14:paraId="787362E7" w14:textId="77777777" w:rsidR="007065D4" w:rsidRPr="00F22C96" w:rsidRDefault="007065D4" w:rsidP="00E666FD">
      <w:pPr>
        <w:pStyle w:val="FootnoteText"/>
        <w:jc w:val="both"/>
        <w:rPr>
          <w:rFonts w:ascii="Arial" w:hAnsi="Arial" w:cs="Arial"/>
          <w:sz w:val="18"/>
          <w:szCs w:val="18"/>
          <w:lang w:val="en-GB"/>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EBRD. (2023). EBRD supports green economy and MSMEs in Kosovo. </w:t>
      </w:r>
      <w:hyperlink r:id="rId61" w:tgtFrame="_new" w:history="1">
        <w:r w:rsidRPr="00F22C96">
          <w:rPr>
            <w:rStyle w:val="Hyperlink"/>
            <w:rFonts w:ascii="Arial" w:hAnsi="Arial" w:cs="Arial"/>
            <w:color w:val="auto"/>
            <w:sz w:val="18"/>
            <w:szCs w:val="18"/>
            <w:lang w:val="en-GB"/>
          </w:rPr>
          <w:t>https://www.ebrd.com</w:t>
        </w:r>
      </w:hyperlink>
    </w:p>
  </w:footnote>
  <w:footnote w:id="106">
    <w:p w14:paraId="7DA62E00" w14:textId="77777777" w:rsidR="007065D4" w:rsidRPr="00F22C96" w:rsidRDefault="007065D4" w:rsidP="00E666FD">
      <w:pPr>
        <w:pStyle w:val="FootnoteText"/>
        <w:jc w:val="both"/>
        <w:rPr>
          <w:rFonts w:ascii="Arial" w:hAnsi="Arial" w:cs="Arial"/>
          <w:sz w:val="18"/>
          <w:szCs w:val="18"/>
          <w:lang w:val="en-GB"/>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Koha.net. (2023). AFD supports climate alignment of Kosovo with EU standards. https://www.koha.net</w:t>
      </w:r>
    </w:p>
    <w:p w14:paraId="6B3FC064" w14:textId="77777777" w:rsidR="007065D4" w:rsidRPr="00F22C96" w:rsidRDefault="007065D4" w:rsidP="00E666FD">
      <w:pPr>
        <w:pStyle w:val="FootnoteText"/>
        <w:jc w:val="both"/>
        <w:rPr>
          <w:rFonts w:ascii="Arial" w:hAnsi="Arial" w:cs="Arial"/>
          <w:sz w:val="18"/>
          <w:szCs w:val="18"/>
          <w:lang w:val="en-GB"/>
        </w:rPr>
      </w:pPr>
      <w:r w:rsidRPr="00F22C96">
        <w:rPr>
          <w:rFonts w:ascii="Arial" w:hAnsi="Arial" w:cs="Arial"/>
          <w:sz w:val="18"/>
          <w:szCs w:val="18"/>
          <w:lang w:val="en-GB"/>
        </w:rPr>
        <w:t>Support4Partnership. (2023). EU support to circular economy and MSMEs in Kosovo.</w:t>
      </w:r>
    </w:p>
  </w:footnote>
  <w:footnote w:id="107">
    <w:p w14:paraId="07C4A90E" w14:textId="77777777" w:rsidR="007065D4" w:rsidRPr="00E666FD" w:rsidRDefault="007065D4" w:rsidP="00E666FD">
      <w:pPr>
        <w:pStyle w:val="FootnoteText"/>
        <w:jc w:val="both"/>
        <w:rPr>
          <w:sz w:val="18"/>
          <w:szCs w:val="18"/>
          <w:lang w:val="nl-BE"/>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GIZ. (2022). Energy and climate planning in Kosovo. </w:t>
      </w:r>
      <w:r w:rsidRPr="00F22C96">
        <w:rPr>
          <w:rFonts w:ascii="Arial" w:hAnsi="Arial" w:cs="Arial"/>
          <w:sz w:val="18"/>
          <w:szCs w:val="18"/>
          <w:lang w:val="nl-BE"/>
        </w:rPr>
        <w:t>Deutsche Gesellschaft für Internationale Zusammenarbeit. https://www.giz.de/en</w:t>
      </w:r>
    </w:p>
  </w:footnote>
  <w:footnote w:id="108">
    <w:p w14:paraId="1E9620C8" w14:textId="77777777" w:rsidR="007065D4" w:rsidRPr="00F22C96" w:rsidRDefault="007065D4" w:rsidP="00E666FD">
      <w:pPr>
        <w:pStyle w:val="FootnoteText"/>
        <w:jc w:val="both"/>
        <w:rPr>
          <w:rFonts w:ascii="Arial" w:hAnsi="Arial" w:cs="Arial"/>
          <w:sz w:val="18"/>
          <w:szCs w:val="18"/>
          <w:lang w:val="en-GB"/>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GIZ. (2022). Sustainable cities and climate-friendly urban development in Kosovo. https://www.giz.de/en</w:t>
      </w:r>
    </w:p>
  </w:footnote>
  <w:footnote w:id="109">
    <w:p w14:paraId="00744FF5" w14:textId="77777777" w:rsidR="007065D4" w:rsidRPr="00F22C96" w:rsidRDefault="007065D4" w:rsidP="00A35E95">
      <w:pPr>
        <w:pStyle w:val="FootnoteText"/>
        <w:rPr>
          <w:rFonts w:ascii="Arial" w:hAnsi="Arial" w:cs="Arial"/>
          <w:sz w:val="18"/>
          <w:szCs w:val="18"/>
          <w:lang w:val="en-GB"/>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Tirana AICS. (2023). Italian Cooperation in the Western Balkans. </w:t>
      </w:r>
      <w:hyperlink r:id="rId62" w:tgtFrame="_new" w:history="1">
        <w:r w:rsidRPr="00F22C96">
          <w:rPr>
            <w:rStyle w:val="Hyperlink"/>
            <w:rFonts w:ascii="Arial" w:hAnsi="Arial" w:cs="Arial"/>
            <w:color w:val="auto"/>
            <w:sz w:val="18"/>
            <w:szCs w:val="18"/>
            <w:lang w:val="en-GB"/>
          </w:rPr>
          <w:t>https://tirana.aics.gov.it</w:t>
        </w:r>
      </w:hyperlink>
    </w:p>
  </w:footnote>
  <w:footnote w:id="110">
    <w:p w14:paraId="092C1F6E" w14:textId="77777777" w:rsidR="007065D4" w:rsidRPr="00F22C96" w:rsidRDefault="007065D4" w:rsidP="00A35E95">
      <w:pPr>
        <w:pStyle w:val="FootnoteText"/>
        <w:rPr>
          <w:rFonts w:ascii="Arial" w:hAnsi="Arial" w:cs="Arial"/>
          <w:sz w:val="18"/>
          <w:szCs w:val="18"/>
          <w:lang w:val="en-GB"/>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IKI. (2023). Capacity development for climate policies in the Western Balkans. </w:t>
      </w:r>
      <w:hyperlink r:id="rId63" w:tgtFrame="_new" w:history="1">
        <w:r w:rsidRPr="00F22C96">
          <w:rPr>
            <w:rStyle w:val="Hyperlink"/>
            <w:rFonts w:ascii="Arial" w:hAnsi="Arial" w:cs="Arial"/>
            <w:color w:val="auto"/>
            <w:sz w:val="18"/>
            <w:szCs w:val="18"/>
            <w:lang w:val="en-GB"/>
          </w:rPr>
          <w:t>https://www.international-climate-initiative.com</w:t>
        </w:r>
      </w:hyperlink>
    </w:p>
  </w:footnote>
  <w:footnote w:id="111">
    <w:p w14:paraId="7CBE85FE" w14:textId="77777777" w:rsidR="007065D4" w:rsidRPr="00F22C96" w:rsidRDefault="007065D4" w:rsidP="00A35E95">
      <w:pPr>
        <w:pStyle w:val="FootnoteText"/>
        <w:rPr>
          <w:rFonts w:ascii="Arial" w:hAnsi="Arial" w:cs="Arial"/>
          <w:sz w:val="18"/>
          <w:szCs w:val="18"/>
          <w:lang w:val="en-GB"/>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JICA. (2022). Capacity development for air pollution control in the Republic of Kosovo. https://www.jica.go.jp</w:t>
      </w:r>
    </w:p>
  </w:footnote>
  <w:footnote w:id="112">
    <w:p w14:paraId="34274E1C" w14:textId="77777777" w:rsidR="007065D4" w:rsidRPr="00F22C96" w:rsidRDefault="007065D4" w:rsidP="00A35E95">
      <w:pPr>
        <w:pStyle w:val="FootnoteText"/>
        <w:rPr>
          <w:rFonts w:ascii="Arial" w:hAnsi="Arial" w:cs="Arial"/>
          <w:sz w:val="18"/>
          <w:szCs w:val="18"/>
          <w:lang w:val="en-GB"/>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Balkan Green Energy News. (2023). KfW supports development of 120 MW solar power plant in Kosovo. </w:t>
      </w:r>
      <w:hyperlink r:id="rId64" w:tgtFrame="_new" w:history="1">
        <w:r w:rsidRPr="00F22C96">
          <w:rPr>
            <w:rStyle w:val="Hyperlink"/>
            <w:rFonts w:ascii="Arial" w:hAnsi="Arial" w:cs="Arial"/>
            <w:sz w:val="18"/>
            <w:szCs w:val="18"/>
            <w:lang w:val="en-GB"/>
          </w:rPr>
          <w:t>https://balkangreenenergynews.com</w:t>
        </w:r>
      </w:hyperlink>
    </w:p>
  </w:footnote>
  <w:footnote w:id="113">
    <w:p w14:paraId="1DA78ABC" w14:textId="77777777" w:rsidR="007065D4" w:rsidRPr="00F22C96" w:rsidRDefault="007065D4" w:rsidP="00A35E95">
      <w:pPr>
        <w:pStyle w:val="FootnoteText"/>
        <w:rPr>
          <w:rFonts w:ascii="Arial" w:hAnsi="Arial" w:cs="Arial"/>
          <w:sz w:val="18"/>
          <w:szCs w:val="18"/>
          <w:lang w:val="en-GB"/>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CPI. 2024. Global Landscape of Climate Finance 2024: Insights for COP 29. Available online: climatepolicyinitiative.org/publication/global-landscape-of-climate-finance-2024</w:t>
      </w:r>
    </w:p>
  </w:footnote>
  <w:footnote w:id="114">
    <w:p w14:paraId="3F821567" w14:textId="77777777" w:rsidR="007065D4" w:rsidRPr="00F22C96" w:rsidRDefault="007065D4" w:rsidP="00A35E95">
      <w:pPr>
        <w:autoSpaceDE w:val="0"/>
        <w:autoSpaceDN w:val="0"/>
        <w:spacing w:before="0" w:after="0" w:line="240" w:lineRule="auto"/>
        <w:rPr>
          <w:rFonts w:ascii="Arial" w:eastAsia="Times New Roman" w:hAnsi="Arial" w:cs="Arial"/>
          <w:color w:val="000000"/>
          <w:sz w:val="18"/>
          <w:szCs w:val="18"/>
          <w:lang w:val="es-ES"/>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w:t>
      </w:r>
      <w:r w:rsidRPr="00F22C96">
        <w:rPr>
          <w:rFonts w:ascii="Arial" w:eastAsia="Times New Roman" w:hAnsi="Arial" w:cs="Arial"/>
          <w:color w:val="000000"/>
          <w:sz w:val="18"/>
          <w:szCs w:val="18"/>
          <w:lang w:val="en-GB"/>
        </w:rPr>
        <w:t xml:space="preserve">Buchner, B., Naran, B., Padmanabhi, R., Stout, S., Strinati, C., Wignarajah, D., Miao, G., Connolly, J., &amp; Marini, N. (2023). </w:t>
      </w:r>
      <w:r w:rsidRPr="00F22C96">
        <w:rPr>
          <w:rFonts w:ascii="Arial" w:eastAsia="Times New Roman" w:hAnsi="Arial" w:cs="Arial"/>
          <w:color w:val="000000"/>
          <w:sz w:val="18"/>
          <w:szCs w:val="18"/>
          <w:lang w:val="es-ES"/>
        </w:rPr>
        <w:t>Global Landscape of Climate Finance 2023.</w:t>
      </w:r>
    </w:p>
  </w:footnote>
  <w:footnote w:id="115">
    <w:p w14:paraId="7C7BF8B7" w14:textId="77777777" w:rsidR="007065D4" w:rsidRPr="00F22C96" w:rsidRDefault="007065D4" w:rsidP="00A35E95">
      <w:pPr>
        <w:pStyle w:val="FootnoteText"/>
        <w:rPr>
          <w:rFonts w:ascii="Arial" w:hAnsi="Arial" w:cs="Arial"/>
          <w:sz w:val="18"/>
          <w:szCs w:val="18"/>
          <w:lang w:val="es-EC"/>
        </w:rPr>
      </w:pPr>
      <w:r w:rsidRPr="00F22C96">
        <w:rPr>
          <w:rStyle w:val="FootnoteReference"/>
          <w:rFonts w:ascii="Arial" w:hAnsi="Arial" w:cs="Arial"/>
          <w:sz w:val="18"/>
          <w:szCs w:val="18"/>
        </w:rPr>
        <w:footnoteRef/>
      </w:r>
      <w:r w:rsidRPr="00F22C96">
        <w:rPr>
          <w:rFonts w:ascii="Arial" w:hAnsi="Arial" w:cs="Arial"/>
          <w:sz w:val="18"/>
          <w:szCs w:val="18"/>
          <w:lang w:val="es-EC"/>
        </w:rPr>
        <w:t xml:space="preserve"> </w:t>
      </w:r>
      <w:r w:rsidRPr="00F22C96">
        <w:rPr>
          <w:rFonts w:ascii="Arial" w:hAnsi="Arial" w:cs="Arial"/>
          <w:sz w:val="18"/>
          <w:szCs w:val="18"/>
          <w:lang w:val="es-ES"/>
        </w:rPr>
        <w:t>Bibolli, E. (2022). Banco ProCredit en Kosovo: un impulsor de la financiación verde y la transición energética en el país. Koha. https://www.koha.net/es/veshtrime/banka-procredit-ne-kosove-nje-shtytes-i-financimit-te-gjelber-dhe-tranzicionit-te-energjise-ne-vend</w:t>
      </w:r>
    </w:p>
  </w:footnote>
  <w:footnote w:id="116">
    <w:p w14:paraId="3B017EB0" w14:textId="77777777" w:rsidR="007065D4" w:rsidRPr="00E666FD" w:rsidRDefault="007065D4" w:rsidP="00A35E95">
      <w:pPr>
        <w:pStyle w:val="FootnoteText"/>
        <w:rPr>
          <w:sz w:val="18"/>
          <w:szCs w:val="18"/>
          <w:lang w:val="es-EC"/>
        </w:rPr>
      </w:pPr>
      <w:r w:rsidRPr="00F22C96">
        <w:rPr>
          <w:rStyle w:val="FootnoteReference"/>
          <w:rFonts w:ascii="Arial" w:hAnsi="Arial" w:cs="Arial"/>
          <w:sz w:val="18"/>
          <w:szCs w:val="18"/>
        </w:rPr>
        <w:footnoteRef/>
      </w:r>
      <w:r w:rsidRPr="00F22C96">
        <w:rPr>
          <w:rFonts w:ascii="Arial" w:hAnsi="Arial" w:cs="Arial"/>
          <w:sz w:val="18"/>
          <w:szCs w:val="18"/>
          <w:lang w:val="es-EC"/>
        </w:rPr>
        <w:t xml:space="preserve"> </w:t>
      </w:r>
      <w:r w:rsidRPr="00F22C96">
        <w:rPr>
          <w:rFonts w:ascii="Arial" w:hAnsi="Arial" w:cs="Arial"/>
          <w:sz w:val="18"/>
          <w:szCs w:val="18"/>
          <w:lang w:val="es-ES"/>
        </w:rPr>
        <w:t>Bibolli, E. (2022). Banco ProCredit en Kosovo: un impulsor de la financiación verde y la transición energética en el país. Koha. https://www.koha.net/es/veshtrime/banka-procredit-ne-kosove-nje-shtytes-i-financimit-te-gjelber-dhe-tranzicionit-te-energjise-ne-vend</w:t>
      </w:r>
    </w:p>
  </w:footnote>
  <w:footnote w:id="117">
    <w:p w14:paraId="436609AB" w14:textId="77777777" w:rsidR="007065D4" w:rsidRPr="00F22C96" w:rsidRDefault="007065D4" w:rsidP="00A35E95">
      <w:pPr>
        <w:pStyle w:val="FootnoteText"/>
        <w:rPr>
          <w:rFonts w:ascii="Arial" w:hAnsi="Arial" w:cs="Arial"/>
          <w:sz w:val="16"/>
          <w:szCs w:val="16"/>
          <w:lang w:val="en-GB"/>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Cela, J. (2024). EBRD and EU help MSMEs go green in Kosovo. European Bank for Reconstruction and Development. https://www.ebrd.com/news/2024/ebrd-and-eu-help-msmes-go-green-in-kosovo.html</w:t>
      </w:r>
    </w:p>
  </w:footnote>
  <w:footnote w:id="118">
    <w:p w14:paraId="3C8DB5E5" w14:textId="77777777" w:rsidR="007065D4" w:rsidRPr="00F22C96" w:rsidRDefault="007065D4" w:rsidP="00A35E95">
      <w:pPr>
        <w:pStyle w:val="FootnoteText"/>
        <w:rPr>
          <w:rFonts w:ascii="Arial" w:hAnsi="Arial" w:cs="Arial"/>
          <w:sz w:val="18"/>
          <w:szCs w:val="18"/>
          <w:lang w:val="en-GB"/>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Cela, J. (2024). EBRD and EU help MSMEs go green in Kosovo. European Bank for Reconstruction and Development. https://www.ebrd.com/news/2024/ebrd-and-eu-help-msmes-go-green-in-kosovo.html</w:t>
      </w:r>
    </w:p>
  </w:footnote>
  <w:footnote w:id="119">
    <w:p w14:paraId="2387E4B1" w14:textId="77777777" w:rsidR="007065D4" w:rsidRPr="00F22C96" w:rsidRDefault="007065D4" w:rsidP="00A35E95">
      <w:pPr>
        <w:pStyle w:val="FootnoteText"/>
        <w:rPr>
          <w:rFonts w:ascii="Arial" w:hAnsi="Arial" w:cs="Arial"/>
          <w:sz w:val="18"/>
          <w:szCs w:val="18"/>
          <w:lang w:val="en-GB"/>
        </w:rPr>
      </w:pPr>
      <w:r w:rsidRPr="00F22C96">
        <w:rPr>
          <w:rStyle w:val="FootnoteReference"/>
          <w:rFonts w:ascii="Arial" w:hAnsi="Arial" w:cs="Arial"/>
          <w:sz w:val="18"/>
          <w:szCs w:val="18"/>
        </w:rPr>
        <w:footnoteRef/>
      </w:r>
      <w:r w:rsidRPr="00F22C96">
        <w:rPr>
          <w:rFonts w:ascii="Arial" w:hAnsi="Arial" w:cs="Arial"/>
          <w:sz w:val="18"/>
          <w:szCs w:val="18"/>
          <w:lang w:val="nl-NL"/>
        </w:rPr>
        <w:t xml:space="preserve"> Balkan Green Energy News. (2022, 12 de septiembre). </w:t>
      </w:r>
      <w:r w:rsidRPr="00F22C96">
        <w:rPr>
          <w:rFonts w:ascii="Arial" w:hAnsi="Arial" w:cs="Arial"/>
          <w:sz w:val="18"/>
          <w:szCs w:val="18"/>
          <w:lang w:val="en-GB"/>
        </w:rPr>
        <w:t>GGF provides funds to BKT for energy, resource efficiency in Kosovo. Balkan Green Energy News. https://balkangreenenergynews.com/ggf-provides-funds-to-bkt-for-energy-resource-efficiency-in-kosovo/</w:t>
      </w:r>
    </w:p>
  </w:footnote>
  <w:footnote w:id="120">
    <w:p w14:paraId="2F5D0D41" w14:textId="77777777" w:rsidR="007065D4" w:rsidRPr="00F22C96" w:rsidRDefault="007065D4" w:rsidP="00A35E95">
      <w:pPr>
        <w:pStyle w:val="FootnoteText"/>
        <w:rPr>
          <w:rFonts w:ascii="Arial" w:hAnsi="Arial" w:cs="Arial"/>
          <w:sz w:val="18"/>
          <w:szCs w:val="18"/>
          <w:lang w:val="en-GB"/>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w:t>
      </w:r>
      <w:r w:rsidRPr="00F22C96">
        <w:rPr>
          <w:rFonts w:ascii="Arial" w:eastAsia="Times New Roman" w:hAnsi="Arial" w:cs="Arial"/>
          <w:sz w:val="18"/>
          <w:szCs w:val="18"/>
          <w:lang w:val="en-GB"/>
        </w:rPr>
        <w:t>Buchner, B., Naran, B., Padmanabhi, R., Stout, S., Strinati, C., Wignarajah, D., Miao, G., Connolly, J., &amp; Marini, N. (2023). Global Landscape of Climate Finance 2023.</w:t>
      </w:r>
    </w:p>
  </w:footnote>
  <w:footnote w:id="121">
    <w:p w14:paraId="1FD23DDF" w14:textId="77777777" w:rsidR="007065D4" w:rsidRPr="00E666FD" w:rsidRDefault="007065D4" w:rsidP="00A35E95">
      <w:pPr>
        <w:pStyle w:val="FootnoteText"/>
        <w:rPr>
          <w:sz w:val="18"/>
          <w:szCs w:val="18"/>
          <w:lang w:val="en-GB"/>
        </w:rPr>
      </w:pPr>
      <w:r w:rsidRPr="00F22C96">
        <w:rPr>
          <w:rStyle w:val="FootnoteReference"/>
          <w:rFonts w:ascii="Arial" w:hAnsi="Arial" w:cs="Arial"/>
          <w:sz w:val="18"/>
          <w:szCs w:val="18"/>
        </w:rPr>
        <w:footnoteRef/>
      </w:r>
      <w:r w:rsidRPr="00F22C96">
        <w:rPr>
          <w:rFonts w:ascii="Arial" w:hAnsi="Arial" w:cs="Arial"/>
          <w:sz w:val="18"/>
          <w:szCs w:val="18"/>
          <w:lang w:val="en-GB"/>
        </w:rPr>
        <w:t xml:space="preserve"> https://www.proparco.fr/en/actualites/krk-major-kosovan-player-microfinance-becomes-first-partner-proparco-and-afd-group</w:t>
      </w:r>
    </w:p>
  </w:footnote>
  <w:footnote w:id="122">
    <w:p w14:paraId="5F9C63E2" w14:textId="77777777" w:rsidR="007065D4" w:rsidRPr="006C0AEA" w:rsidRDefault="007065D4" w:rsidP="00E666FD">
      <w:pPr>
        <w:pStyle w:val="FootnoteText"/>
        <w:jc w:val="both"/>
        <w:rPr>
          <w:rFonts w:ascii="Arial" w:hAnsi="Arial" w:cs="Arial"/>
          <w:sz w:val="18"/>
          <w:szCs w:val="18"/>
          <w:lang w:val="en-GB"/>
        </w:rPr>
      </w:pPr>
      <w:r w:rsidRPr="006C0AEA">
        <w:rPr>
          <w:rStyle w:val="FootnoteReference"/>
          <w:rFonts w:ascii="Arial" w:hAnsi="Arial" w:cs="Arial"/>
          <w:sz w:val="18"/>
          <w:szCs w:val="18"/>
        </w:rPr>
        <w:footnoteRef/>
      </w:r>
      <w:r w:rsidRPr="006C0AEA">
        <w:rPr>
          <w:rFonts w:ascii="Arial" w:hAnsi="Arial" w:cs="Arial"/>
          <w:sz w:val="18"/>
          <w:szCs w:val="18"/>
          <w:lang w:val="en-GB"/>
        </w:rPr>
        <w:t xml:space="preserve"> IFC. (2023). IFC in Kosovo: Creating Markets for Climate Finance. International Finance Corporation. </w:t>
      </w:r>
      <w:hyperlink r:id="rId65" w:tgtFrame="_new" w:history="1">
        <w:r w:rsidRPr="006C0AEA">
          <w:rPr>
            <w:rStyle w:val="Hyperlink"/>
            <w:rFonts w:ascii="Arial" w:hAnsi="Arial" w:cs="Arial"/>
            <w:color w:val="auto"/>
            <w:sz w:val="18"/>
            <w:szCs w:val="18"/>
            <w:lang w:val="en-GB"/>
          </w:rPr>
          <w:t>https://www.ifc.org/</w:t>
        </w:r>
      </w:hyperlink>
    </w:p>
  </w:footnote>
  <w:footnote w:id="123">
    <w:p w14:paraId="0DB0C712" w14:textId="77777777" w:rsidR="007065D4" w:rsidRPr="006C0AEA" w:rsidRDefault="007065D4" w:rsidP="00E666FD">
      <w:pPr>
        <w:pStyle w:val="FootnoteText"/>
        <w:jc w:val="both"/>
        <w:rPr>
          <w:rFonts w:ascii="Arial" w:hAnsi="Arial" w:cs="Arial"/>
          <w:sz w:val="16"/>
          <w:szCs w:val="16"/>
          <w:lang w:val="en-GB"/>
        </w:rPr>
      </w:pPr>
      <w:r w:rsidRPr="006C0AEA">
        <w:rPr>
          <w:rStyle w:val="FootnoteReference"/>
          <w:rFonts w:ascii="Arial" w:hAnsi="Arial" w:cs="Arial"/>
          <w:sz w:val="18"/>
          <w:szCs w:val="18"/>
        </w:rPr>
        <w:footnoteRef/>
      </w:r>
      <w:r w:rsidRPr="006C0AEA">
        <w:rPr>
          <w:rFonts w:ascii="Arial" w:hAnsi="Arial" w:cs="Arial"/>
          <w:sz w:val="18"/>
          <w:szCs w:val="18"/>
          <w:lang w:val="en-GB"/>
        </w:rPr>
        <w:t xml:space="preserve"> European Bank for Reconstruction and Development (EBRD). (n.d.). FIF – Regional SME CSP – Raiffeisen Leasing Kosovo. https://www.ebrd.com/home/work-with-us/projects/psd/53640.html#customtab-e6a1746038-item-0ab0de7399-tab</w:t>
      </w:r>
    </w:p>
  </w:footnote>
  <w:footnote w:id="124">
    <w:p w14:paraId="51D1BB94" w14:textId="77777777" w:rsidR="007065D4" w:rsidRPr="006C0AEA" w:rsidRDefault="007065D4" w:rsidP="00E666FD">
      <w:pPr>
        <w:pStyle w:val="FootnoteText"/>
        <w:jc w:val="both"/>
        <w:rPr>
          <w:rFonts w:ascii="Arial" w:hAnsi="Arial" w:cs="Arial"/>
          <w:sz w:val="18"/>
          <w:szCs w:val="18"/>
          <w:lang w:val="en-GB"/>
        </w:rPr>
      </w:pPr>
      <w:r w:rsidRPr="006C0AEA">
        <w:rPr>
          <w:rStyle w:val="FootnoteReference"/>
          <w:rFonts w:ascii="Arial" w:hAnsi="Arial" w:cs="Arial"/>
          <w:sz w:val="18"/>
          <w:szCs w:val="18"/>
        </w:rPr>
        <w:footnoteRef/>
      </w:r>
      <w:r w:rsidRPr="006C0AEA">
        <w:rPr>
          <w:rFonts w:ascii="Arial" w:hAnsi="Arial" w:cs="Arial"/>
          <w:sz w:val="18"/>
          <w:szCs w:val="18"/>
          <w:lang w:val="en-GB"/>
        </w:rPr>
        <w:t xml:space="preserve"> IFC. (2023). IFC in Kosovo: Creating Markets for Climate Finance. International Finance Corporation. </w:t>
      </w:r>
      <w:hyperlink r:id="rId66" w:tgtFrame="_new" w:history="1">
        <w:r w:rsidRPr="006C0AEA">
          <w:rPr>
            <w:rStyle w:val="Hyperlink"/>
            <w:rFonts w:ascii="Arial" w:hAnsi="Arial" w:cs="Arial"/>
            <w:color w:val="auto"/>
            <w:sz w:val="18"/>
            <w:szCs w:val="18"/>
            <w:lang w:val="en-GB"/>
          </w:rPr>
          <w:t>https://www.ifc.org/</w:t>
        </w:r>
      </w:hyperlink>
    </w:p>
  </w:footnote>
  <w:footnote w:id="125">
    <w:p w14:paraId="761605E3" w14:textId="77777777" w:rsidR="007065D4" w:rsidRPr="006C0AEA" w:rsidRDefault="007065D4" w:rsidP="00E666FD">
      <w:pPr>
        <w:pStyle w:val="FootnoteText"/>
        <w:jc w:val="both"/>
        <w:rPr>
          <w:rFonts w:ascii="Arial" w:hAnsi="Arial" w:cs="Arial"/>
          <w:sz w:val="18"/>
          <w:szCs w:val="18"/>
          <w:lang w:val="en-GB"/>
        </w:rPr>
      </w:pPr>
      <w:r w:rsidRPr="006C0AEA">
        <w:rPr>
          <w:rStyle w:val="FootnoteReference"/>
          <w:rFonts w:ascii="Arial" w:hAnsi="Arial" w:cs="Arial"/>
          <w:sz w:val="18"/>
          <w:szCs w:val="18"/>
        </w:rPr>
        <w:footnoteRef/>
      </w:r>
      <w:r w:rsidRPr="006C0AEA">
        <w:rPr>
          <w:rFonts w:ascii="Arial" w:hAnsi="Arial" w:cs="Arial"/>
          <w:sz w:val="18"/>
          <w:szCs w:val="18"/>
          <w:lang w:val="en-GB"/>
        </w:rPr>
        <w:t xml:space="preserve"> World Bank. (2023). Country Climate and Development Report for Kosovo. The World Bank. https://www.worldbank.org/en/country/kosovo/publication/kosovo-country-climate-and-development-report#:~:text=Key%20Findings,escalating%20impacts%20of%20climate%20change.</w:t>
      </w:r>
    </w:p>
  </w:footnote>
  <w:footnote w:id="126">
    <w:p w14:paraId="45ECCF99" w14:textId="77777777" w:rsidR="007065D4" w:rsidRPr="006C0AEA" w:rsidRDefault="007065D4" w:rsidP="00E666FD">
      <w:pPr>
        <w:pStyle w:val="FootnoteText"/>
        <w:jc w:val="both"/>
        <w:rPr>
          <w:rFonts w:ascii="Arial" w:hAnsi="Arial" w:cs="Arial"/>
          <w:sz w:val="18"/>
          <w:szCs w:val="18"/>
        </w:rPr>
      </w:pPr>
      <w:r w:rsidRPr="006C0AEA">
        <w:rPr>
          <w:rStyle w:val="FootnoteReference"/>
          <w:rFonts w:ascii="Arial" w:hAnsi="Arial" w:cs="Arial"/>
          <w:sz w:val="18"/>
          <w:szCs w:val="18"/>
        </w:rPr>
        <w:footnoteRef/>
      </w:r>
      <w:r w:rsidRPr="006C0AEA">
        <w:rPr>
          <w:rFonts w:ascii="Arial" w:hAnsi="Arial" w:cs="Arial"/>
          <w:sz w:val="18"/>
          <w:szCs w:val="18"/>
          <w:lang w:val="en-GB"/>
        </w:rPr>
        <w:t xml:space="preserve"> Kreditimi Rural i Kosovës (KRK). (2022). Supporting rural clients in Kosovo. </w:t>
      </w:r>
      <w:r w:rsidRPr="006C0AEA">
        <w:rPr>
          <w:rFonts w:ascii="Arial" w:hAnsi="Arial" w:cs="Arial"/>
          <w:sz w:val="18"/>
          <w:szCs w:val="18"/>
        </w:rPr>
        <w:t xml:space="preserve">Retrieved from </w:t>
      </w:r>
      <w:hyperlink r:id="rId67" w:tgtFrame="_new" w:history="1">
        <w:r w:rsidRPr="006C0AEA">
          <w:rPr>
            <w:rStyle w:val="Hyperlink"/>
            <w:rFonts w:ascii="Arial" w:hAnsi="Arial" w:cs="Arial"/>
            <w:color w:val="auto"/>
            <w:sz w:val="18"/>
            <w:szCs w:val="18"/>
          </w:rPr>
          <w:t>https://www.krk-ks.com/</w:t>
        </w:r>
      </w:hyperlink>
    </w:p>
  </w:footnote>
  <w:footnote w:id="127">
    <w:p w14:paraId="28E4FD6B" w14:textId="77777777" w:rsidR="007065D4" w:rsidRPr="006C0AEA" w:rsidRDefault="007065D4" w:rsidP="00E666FD">
      <w:pPr>
        <w:pStyle w:val="FootnoteText"/>
        <w:jc w:val="both"/>
        <w:rPr>
          <w:rFonts w:ascii="Arial" w:hAnsi="Arial" w:cs="Arial"/>
          <w:sz w:val="18"/>
          <w:szCs w:val="18"/>
          <w:lang w:val="en-GB"/>
        </w:rPr>
      </w:pPr>
      <w:r w:rsidRPr="006C0AEA">
        <w:rPr>
          <w:rStyle w:val="FootnoteReference"/>
          <w:rFonts w:ascii="Arial" w:hAnsi="Arial" w:cs="Arial"/>
          <w:sz w:val="18"/>
          <w:szCs w:val="18"/>
        </w:rPr>
        <w:footnoteRef/>
      </w:r>
      <w:r w:rsidRPr="006C0AEA">
        <w:rPr>
          <w:rFonts w:ascii="Arial" w:hAnsi="Arial" w:cs="Arial"/>
          <w:sz w:val="18"/>
          <w:szCs w:val="18"/>
          <w:lang w:val="en-GB"/>
        </w:rPr>
        <w:t xml:space="preserve"> FINCA Kosovo. (2023). Annual Report 2022–2023. Retrieved from </w:t>
      </w:r>
      <w:hyperlink r:id="rId68" w:tgtFrame="_new" w:history="1">
        <w:r w:rsidRPr="006C0AEA">
          <w:rPr>
            <w:rStyle w:val="Hyperlink"/>
            <w:rFonts w:ascii="Arial" w:hAnsi="Arial" w:cs="Arial"/>
            <w:color w:val="auto"/>
            <w:sz w:val="18"/>
            <w:szCs w:val="18"/>
            <w:lang w:val="en-GB"/>
          </w:rPr>
          <w:t>https://www.fincakosovo.org/</w:t>
        </w:r>
      </w:hyperlink>
    </w:p>
  </w:footnote>
  <w:footnote w:id="128">
    <w:p w14:paraId="73DACDBB" w14:textId="77777777" w:rsidR="007065D4" w:rsidRPr="00E666FD" w:rsidRDefault="007065D4" w:rsidP="00E666FD">
      <w:pPr>
        <w:pStyle w:val="FootnoteText"/>
        <w:jc w:val="both"/>
        <w:rPr>
          <w:sz w:val="18"/>
          <w:szCs w:val="18"/>
          <w:lang w:val="nl-BE"/>
        </w:rPr>
      </w:pPr>
      <w:r w:rsidRPr="006C0AEA">
        <w:rPr>
          <w:rStyle w:val="FootnoteReference"/>
          <w:rFonts w:ascii="Arial" w:hAnsi="Arial" w:cs="Arial"/>
          <w:sz w:val="18"/>
          <w:szCs w:val="18"/>
        </w:rPr>
        <w:footnoteRef/>
      </w:r>
      <w:r w:rsidRPr="006C0AEA">
        <w:rPr>
          <w:rFonts w:ascii="Arial" w:hAnsi="Arial" w:cs="Arial"/>
          <w:sz w:val="18"/>
          <w:szCs w:val="18"/>
          <w:lang w:val="en-GB"/>
        </w:rPr>
        <w:t xml:space="preserve"> GIZ. (2023). EU Support for Rural Development in Kosovo. </w:t>
      </w:r>
      <w:r w:rsidRPr="006C0AEA">
        <w:rPr>
          <w:rFonts w:ascii="Arial" w:hAnsi="Arial" w:cs="Arial"/>
          <w:sz w:val="18"/>
          <w:szCs w:val="18"/>
          <w:lang w:val="nl-BE"/>
        </w:rPr>
        <w:t>Deutsche Gesellschaft für Internationale Zusammenarbeit.</w:t>
      </w:r>
    </w:p>
  </w:footnote>
  <w:footnote w:id="129">
    <w:p w14:paraId="2C13734C" w14:textId="77777777" w:rsidR="007065D4" w:rsidRPr="006C0AEA" w:rsidRDefault="007065D4" w:rsidP="00E666FD">
      <w:pPr>
        <w:pStyle w:val="FootnoteText"/>
        <w:jc w:val="both"/>
        <w:rPr>
          <w:rFonts w:ascii="Arial" w:hAnsi="Arial" w:cs="Arial"/>
          <w:sz w:val="18"/>
          <w:szCs w:val="18"/>
        </w:rPr>
      </w:pPr>
      <w:r w:rsidRPr="006C0AEA">
        <w:rPr>
          <w:rStyle w:val="FootnoteReference"/>
          <w:rFonts w:ascii="Arial" w:hAnsi="Arial" w:cs="Arial"/>
          <w:sz w:val="18"/>
          <w:szCs w:val="18"/>
        </w:rPr>
        <w:footnoteRef/>
      </w:r>
      <w:r w:rsidRPr="006C0AEA">
        <w:rPr>
          <w:rFonts w:ascii="Arial" w:hAnsi="Arial" w:cs="Arial"/>
          <w:sz w:val="18"/>
          <w:szCs w:val="18"/>
          <w:lang w:val="en-GB"/>
        </w:rPr>
        <w:t xml:space="preserve"> EBRD. (2023). Green Economy Transition in the Western Balkans. </w:t>
      </w:r>
      <w:r w:rsidRPr="006C0AEA">
        <w:rPr>
          <w:rFonts w:ascii="Arial" w:hAnsi="Arial" w:cs="Arial"/>
          <w:sz w:val="18"/>
          <w:szCs w:val="18"/>
        </w:rPr>
        <w:t>European Bank for Reconstruction and Development.</w:t>
      </w:r>
    </w:p>
  </w:footnote>
  <w:footnote w:id="130">
    <w:p w14:paraId="013B07E6" w14:textId="77777777" w:rsidR="007065D4" w:rsidRPr="006C0AEA" w:rsidRDefault="007065D4" w:rsidP="00E666FD">
      <w:pPr>
        <w:pStyle w:val="FootnoteText"/>
        <w:jc w:val="both"/>
        <w:rPr>
          <w:rFonts w:ascii="Arial" w:hAnsi="Arial" w:cs="Arial"/>
          <w:sz w:val="22"/>
          <w:szCs w:val="22"/>
          <w:lang w:val="en-GB"/>
        </w:rPr>
      </w:pPr>
      <w:r w:rsidRPr="006C0AEA">
        <w:rPr>
          <w:rStyle w:val="FootnoteReference"/>
          <w:rFonts w:ascii="Arial" w:hAnsi="Arial" w:cs="Arial"/>
          <w:sz w:val="18"/>
          <w:szCs w:val="18"/>
        </w:rPr>
        <w:footnoteRef/>
      </w:r>
      <w:r w:rsidRPr="006C0AEA">
        <w:rPr>
          <w:rFonts w:ascii="Arial" w:hAnsi="Arial" w:cs="Arial"/>
          <w:sz w:val="18"/>
          <w:szCs w:val="18"/>
          <w:lang w:val="en-GB"/>
        </w:rPr>
        <w:t xml:space="preserve"> Banque de France. (2024). Debt-for-nature swaps: Mechanisms and recent developments.</w:t>
      </w:r>
    </w:p>
  </w:footnote>
  <w:footnote w:id="131">
    <w:p w14:paraId="50AABB80" w14:textId="77777777" w:rsidR="007065D4" w:rsidRPr="006C0AEA" w:rsidRDefault="007065D4" w:rsidP="00E678AA">
      <w:pPr>
        <w:pStyle w:val="FootnoteText"/>
        <w:jc w:val="both"/>
        <w:rPr>
          <w:rFonts w:ascii="Arial" w:hAnsi="Arial" w:cs="Arial"/>
          <w:sz w:val="18"/>
          <w:szCs w:val="18"/>
          <w:lang w:val="en-GB"/>
        </w:rPr>
      </w:pPr>
      <w:r w:rsidRPr="006C0AEA">
        <w:rPr>
          <w:rStyle w:val="FootnoteReference"/>
          <w:rFonts w:ascii="Arial" w:hAnsi="Arial" w:cs="Arial"/>
          <w:sz w:val="18"/>
          <w:szCs w:val="18"/>
        </w:rPr>
        <w:footnoteRef/>
      </w:r>
      <w:r w:rsidRPr="006C0AEA">
        <w:rPr>
          <w:rFonts w:ascii="Arial" w:hAnsi="Arial" w:cs="Arial"/>
          <w:sz w:val="18"/>
          <w:szCs w:val="18"/>
          <w:lang w:val="en-GB"/>
        </w:rPr>
        <w:t xml:space="preserve"> International Monetary Fund. (2023). IMF Executive Board Approves Kosovo’s Request for RSF Arrangement.</w:t>
      </w:r>
    </w:p>
  </w:footnote>
  <w:footnote w:id="132">
    <w:p w14:paraId="40E7F924" w14:textId="77777777" w:rsidR="007065D4" w:rsidRPr="006C0AEA" w:rsidRDefault="007065D4" w:rsidP="00E678AA">
      <w:pPr>
        <w:pStyle w:val="FootnoteText"/>
        <w:jc w:val="both"/>
        <w:rPr>
          <w:rFonts w:ascii="Arial" w:hAnsi="Arial" w:cs="Arial"/>
          <w:sz w:val="18"/>
          <w:szCs w:val="18"/>
        </w:rPr>
      </w:pPr>
      <w:r w:rsidRPr="006C0AEA">
        <w:rPr>
          <w:rStyle w:val="FootnoteReference"/>
          <w:rFonts w:ascii="Arial" w:hAnsi="Arial" w:cs="Arial"/>
          <w:sz w:val="18"/>
          <w:szCs w:val="18"/>
        </w:rPr>
        <w:footnoteRef/>
      </w:r>
      <w:r w:rsidRPr="006C0AEA">
        <w:rPr>
          <w:rFonts w:ascii="Arial" w:hAnsi="Arial" w:cs="Arial"/>
          <w:sz w:val="18"/>
          <w:szCs w:val="18"/>
          <w:lang w:val="en-GB"/>
        </w:rPr>
        <w:t xml:space="preserve"> Ministry of Economy. (2022). Kosovo Energy Strategy 2022–2031. </w:t>
      </w:r>
      <w:r w:rsidRPr="006C0AEA">
        <w:rPr>
          <w:rFonts w:ascii="Arial" w:hAnsi="Arial" w:cs="Arial"/>
          <w:sz w:val="18"/>
          <w:szCs w:val="18"/>
        </w:rPr>
        <w:t>Government of Kosovo.</w:t>
      </w:r>
    </w:p>
  </w:footnote>
  <w:footnote w:id="133">
    <w:p w14:paraId="1E4D9EA4" w14:textId="77777777" w:rsidR="007065D4" w:rsidRPr="00553A49" w:rsidRDefault="007065D4" w:rsidP="00E678AA">
      <w:pPr>
        <w:pStyle w:val="FootnoteText"/>
        <w:jc w:val="both"/>
        <w:rPr>
          <w:lang w:val="en-GB"/>
        </w:rPr>
      </w:pPr>
      <w:r w:rsidRPr="006C0AEA">
        <w:rPr>
          <w:rStyle w:val="FootnoteReference"/>
          <w:rFonts w:ascii="Arial" w:hAnsi="Arial" w:cs="Arial"/>
          <w:sz w:val="18"/>
          <w:szCs w:val="18"/>
        </w:rPr>
        <w:footnoteRef/>
      </w:r>
      <w:r w:rsidRPr="006C0AEA">
        <w:rPr>
          <w:rFonts w:ascii="Arial" w:hAnsi="Arial" w:cs="Arial"/>
          <w:sz w:val="18"/>
          <w:szCs w:val="18"/>
          <w:lang w:val="en-GB"/>
        </w:rPr>
        <w:t xml:space="preserve"> World Bank. (2023). Climate and Development Report: Kosovo. Washington, D.C.: World Bank Group.</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D0DA7"/>
    <w:multiLevelType w:val="multilevel"/>
    <w:tmpl w:val="D70A1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23093"/>
    <w:multiLevelType w:val="hybridMultilevel"/>
    <w:tmpl w:val="3EA003CA"/>
    <w:lvl w:ilvl="0" w:tplc="04090005">
      <w:start w:val="1"/>
      <w:numFmt w:val="bullet"/>
      <w:lvlText w:val=""/>
      <w:lvlJc w:val="left"/>
      <w:pPr>
        <w:ind w:left="2628" w:hanging="360"/>
      </w:pPr>
      <w:rPr>
        <w:rFonts w:ascii="Wingdings" w:hAnsi="Wingdings" w:hint="default"/>
      </w:rPr>
    </w:lvl>
    <w:lvl w:ilvl="1" w:tplc="FFFFFFFF" w:tentative="1">
      <w:start w:val="1"/>
      <w:numFmt w:val="bullet"/>
      <w:lvlText w:val="o"/>
      <w:lvlJc w:val="left"/>
      <w:pPr>
        <w:ind w:left="3348" w:hanging="360"/>
      </w:pPr>
      <w:rPr>
        <w:rFonts w:ascii="Courier New" w:hAnsi="Courier New" w:cs="Courier New" w:hint="default"/>
      </w:rPr>
    </w:lvl>
    <w:lvl w:ilvl="2" w:tplc="FFFFFFFF" w:tentative="1">
      <w:start w:val="1"/>
      <w:numFmt w:val="bullet"/>
      <w:lvlText w:val=""/>
      <w:lvlJc w:val="left"/>
      <w:pPr>
        <w:ind w:left="4068" w:hanging="360"/>
      </w:pPr>
      <w:rPr>
        <w:rFonts w:ascii="Wingdings" w:hAnsi="Wingdings" w:hint="default"/>
      </w:rPr>
    </w:lvl>
    <w:lvl w:ilvl="3" w:tplc="FFFFFFFF" w:tentative="1">
      <w:start w:val="1"/>
      <w:numFmt w:val="bullet"/>
      <w:lvlText w:val=""/>
      <w:lvlJc w:val="left"/>
      <w:pPr>
        <w:ind w:left="4788" w:hanging="360"/>
      </w:pPr>
      <w:rPr>
        <w:rFonts w:ascii="Symbol" w:hAnsi="Symbol" w:hint="default"/>
      </w:rPr>
    </w:lvl>
    <w:lvl w:ilvl="4" w:tplc="FFFFFFFF" w:tentative="1">
      <w:start w:val="1"/>
      <w:numFmt w:val="bullet"/>
      <w:lvlText w:val="o"/>
      <w:lvlJc w:val="left"/>
      <w:pPr>
        <w:ind w:left="5508" w:hanging="360"/>
      </w:pPr>
      <w:rPr>
        <w:rFonts w:ascii="Courier New" w:hAnsi="Courier New" w:cs="Courier New" w:hint="default"/>
      </w:rPr>
    </w:lvl>
    <w:lvl w:ilvl="5" w:tplc="FFFFFFFF" w:tentative="1">
      <w:start w:val="1"/>
      <w:numFmt w:val="bullet"/>
      <w:lvlText w:val=""/>
      <w:lvlJc w:val="left"/>
      <w:pPr>
        <w:ind w:left="6228" w:hanging="360"/>
      </w:pPr>
      <w:rPr>
        <w:rFonts w:ascii="Wingdings" w:hAnsi="Wingdings" w:hint="default"/>
      </w:rPr>
    </w:lvl>
    <w:lvl w:ilvl="6" w:tplc="FFFFFFFF" w:tentative="1">
      <w:start w:val="1"/>
      <w:numFmt w:val="bullet"/>
      <w:lvlText w:val=""/>
      <w:lvlJc w:val="left"/>
      <w:pPr>
        <w:ind w:left="6948" w:hanging="360"/>
      </w:pPr>
      <w:rPr>
        <w:rFonts w:ascii="Symbol" w:hAnsi="Symbol" w:hint="default"/>
      </w:rPr>
    </w:lvl>
    <w:lvl w:ilvl="7" w:tplc="FFFFFFFF" w:tentative="1">
      <w:start w:val="1"/>
      <w:numFmt w:val="bullet"/>
      <w:lvlText w:val="o"/>
      <w:lvlJc w:val="left"/>
      <w:pPr>
        <w:ind w:left="7668" w:hanging="360"/>
      </w:pPr>
      <w:rPr>
        <w:rFonts w:ascii="Courier New" w:hAnsi="Courier New" w:cs="Courier New" w:hint="default"/>
      </w:rPr>
    </w:lvl>
    <w:lvl w:ilvl="8" w:tplc="FFFFFFFF" w:tentative="1">
      <w:start w:val="1"/>
      <w:numFmt w:val="bullet"/>
      <w:lvlText w:val=""/>
      <w:lvlJc w:val="left"/>
      <w:pPr>
        <w:ind w:left="8388" w:hanging="360"/>
      </w:pPr>
      <w:rPr>
        <w:rFonts w:ascii="Wingdings" w:hAnsi="Wingdings" w:hint="default"/>
      </w:rPr>
    </w:lvl>
  </w:abstractNum>
  <w:abstractNum w:abstractNumId="2" w15:restartNumberingAfterBreak="0">
    <w:nsid w:val="079E7B7F"/>
    <w:multiLevelType w:val="hybridMultilevel"/>
    <w:tmpl w:val="06F42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61F8E"/>
    <w:multiLevelType w:val="hybridMultilevel"/>
    <w:tmpl w:val="6AD4C3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9A7E78"/>
    <w:multiLevelType w:val="hybridMultilevel"/>
    <w:tmpl w:val="40AC82E0"/>
    <w:lvl w:ilvl="0" w:tplc="0100AD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A2D08"/>
    <w:multiLevelType w:val="hybridMultilevel"/>
    <w:tmpl w:val="9CFAB3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A86CD3"/>
    <w:multiLevelType w:val="hybridMultilevel"/>
    <w:tmpl w:val="7528F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C12D5E"/>
    <w:multiLevelType w:val="hybridMultilevel"/>
    <w:tmpl w:val="46548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0048CC"/>
    <w:multiLevelType w:val="hybridMultilevel"/>
    <w:tmpl w:val="D69CD7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41B5442"/>
    <w:multiLevelType w:val="multilevel"/>
    <w:tmpl w:val="8DF0AC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1E5A57"/>
    <w:multiLevelType w:val="hybridMultilevel"/>
    <w:tmpl w:val="BFEA0F6C"/>
    <w:lvl w:ilvl="0" w:tplc="0C0A0001">
      <w:start w:val="1"/>
      <w:numFmt w:val="bullet"/>
      <w:lvlText w:val=""/>
      <w:lvlJc w:val="left"/>
      <w:pPr>
        <w:ind w:left="720" w:hanging="360"/>
      </w:pPr>
      <w:rPr>
        <w:rFonts w:ascii="Symbol" w:hAnsi="Symbol" w:hint="default"/>
      </w:rPr>
    </w:lvl>
    <w:lvl w:ilvl="1" w:tplc="DEC82248">
      <w:numFmt w:val="bullet"/>
      <w:lvlText w:val="–"/>
      <w:lvlJc w:val="left"/>
      <w:pPr>
        <w:ind w:left="1440" w:hanging="360"/>
      </w:pPr>
      <w:rPr>
        <w:rFonts w:ascii="Aptos" w:eastAsiaTheme="minorHAnsi" w:hAnsi="Aptos"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6FC4648"/>
    <w:multiLevelType w:val="multilevel"/>
    <w:tmpl w:val="7544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685CCE"/>
    <w:multiLevelType w:val="hybridMultilevel"/>
    <w:tmpl w:val="D8BE7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D34D63"/>
    <w:multiLevelType w:val="hybridMultilevel"/>
    <w:tmpl w:val="EB14E57C"/>
    <w:lvl w:ilvl="0" w:tplc="E00EF27A">
      <w:start w:val="2"/>
      <w:numFmt w:val="bullet"/>
      <w:lvlText w:val="•"/>
      <w:lvlJc w:val="left"/>
      <w:pPr>
        <w:ind w:left="1800" w:hanging="360"/>
      </w:pPr>
      <w:rPr>
        <w:rFonts w:ascii="Aptos" w:eastAsiaTheme="minorHAnsi" w:hAnsi="Aptos"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C09104B"/>
    <w:multiLevelType w:val="hybridMultilevel"/>
    <w:tmpl w:val="7BDC0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90470D"/>
    <w:multiLevelType w:val="multilevel"/>
    <w:tmpl w:val="FD680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D04848"/>
    <w:multiLevelType w:val="multilevel"/>
    <w:tmpl w:val="7974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242003"/>
    <w:multiLevelType w:val="hybridMultilevel"/>
    <w:tmpl w:val="96B8A0E6"/>
    <w:lvl w:ilvl="0" w:tplc="30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974D2D"/>
    <w:multiLevelType w:val="hybridMultilevel"/>
    <w:tmpl w:val="09A208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1CA606D"/>
    <w:multiLevelType w:val="hybridMultilevel"/>
    <w:tmpl w:val="E5DEF2E4"/>
    <w:lvl w:ilvl="0" w:tplc="C3DED666">
      <w:start w:val="1"/>
      <w:numFmt w:val="decimal"/>
      <w:lvlText w:val="%1."/>
      <w:lvlJc w:val="left"/>
      <w:pPr>
        <w:ind w:left="1020" w:hanging="360"/>
      </w:pPr>
    </w:lvl>
    <w:lvl w:ilvl="1" w:tplc="AE0C9096">
      <w:start w:val="1"/>
      <w:numFmt w:val="decimal"/>
      <w:lvlText w:val="%2."/>
      <w:lvlJc w:val="left"/>
      <w:pPr>
        <w:ind w:left="1020" w:hanging="360"/>
      </w:pPr>
    </w:lvl>
    <w:lvl w:ilvl="2" w:tplc="69EE2D28">
      <w:start w:val="1"/>
      <w:numFmt w:val="decimal"/>
      <w:lvlText w:val="%3."/>
      <w:lvlJc w:val="left"/>
      <w:pPr>
        <w:ind w:left="1020" w:hanging="360"/>
      </w:pPr>
    </w:lvl>
    <w:lvl w:ilvl="3" w:tplc="A0FC6CBE">
      <w:start w:val="1"/>
      <w:numFmt w:val="decimal"/>
      <w:lvlText w:val="%4."/>
      <w:lvlJc w:val="left"/>
      <w:pPr>
        <w:ind w:left="1020" w:hanging="360"/>
      </w:pPr>
    </w:lvl>
    <w:lvl w:ilvl="4" w:tplc="51046D3C">
      <w:start w:val="1"/>
      <w:numFmt w:val="decimal"/>
      <w:lvlText w:val="%5."/>
      <w:lvlJc w:val="left"/>
      <w:pPr>
        <w:ind w:left="1020" w:hanging="360"/>
      </w:pPr>
    </w:lvl>
    <w:lvl w:ilvl="5" w:tplc="0382EB6C">
      <w:start w:val="1"/>
      <w:numFmt w:val="decimal"/>
      <w:lvlText w:val="%6."/>
      <w:lvlJc w:val="left"/>
      <w:pPr>
        <w:ind w:left="1020" w:hanging="360"/>
      </w:pPr>
    </w:lvl>
    <w:lvl w:ilvl="6" w:tplc="36BACFF2">
      <w:start w:val="1"/>
      <w:numFmt w:val="decimal"/>
      <w:lvlText w:val="%7."/>
      <w:lvlJc w:val="left"/>
      <w:pPr>
        <w:ind w:left="1020" w:hanging="360"/>
      </w:pPr>
    </w:lvl>
    <w:lvl w:ilvl="7" w:tplc="06A8DB7C">
      <w:start w:val="1"/>
      <w:numFmt w:val="decimal"/>
      <w:lvlText w:val="%8."/>
      <w:lvlJc w:val="left"/>
      <w:pPr>
        <w:ind w:left="1020" w:hanging="360"/>
      </w:pPr>
    </w:lvl>
    <w:lvl w:ilvl="8" w:tplc="B9A6CB4A">
      <w:start w:val="1"/>
      <w:numFmt w:val="decimal"/>
      <w:lvlText w:val="%9."/>
      <w:lvlJc w:val="left"/>
      <w:pPr>
        <w:ind w:left="1020" w:hanging="360"/>
      </w:pPr>
    </w:lvl>
  </w:abstractNum>
  <w:abstractNum w:abstractNumId="20" w15:restartNumberingAfterBreak="0">
    <w:nsid w:val="34387D17"/>
    <w:multiLevelType w:val="hybridMultilevel"/>
    <w:tmpl w:val="80D00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51A6367"/>
    <w:multiLevelType w:val="multilevel"/>
    <w:tmpl w:val="58201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A35F9F"/>
    <w:multiLevelType w:val="hybridMultilevel"/>
    <w:tmpl w:val="5196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FB1548"/>
    <w:multiLevelType w:val="hybridMultilevel"/>
    <w:tmpl w:val="20F00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A6292A"/>
    <w:multiLevelType w:val="multilevel"/>
    <w:tmpl w:val="8320080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7203BD"/>
    <w:multiLevelType w:val="hybridMultilevel"/>
    <w:tmpl w:val="768E9AA4"/>
    <w:lvl w:ilvl="0" w:tplc="E00EF27A">
      <w:start w:val="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D427AF"/>
    <w:multiLevelType w:val="multilevel"/>
    <w:tmpl w:val="4374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50400B"/>
    <w:multiLevelType w:val="hybridMultilevel"/>
    <w:tmpl w:val="63AAC6DE"/>
    <w:lvl w:ilvl="0" w:tplc="E88AB90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40569C"/>
    <w:multiLevelType w:val="hybridMultilevel"/>
    <w:tmpl w:val="D0EA5B9A"/>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15:restartNumberingAfterBreak="0">
    <w:nsid w:val="3BCD5D02"/>
    <w:multiLevelType w:val="hybridMultilevel"/>
    <w:tmpl w:val="26D65846"/>
    <w:lvl w:ilvl="0" w:tplc="9A60CAAC">
      <w:start w:val="1"/>
      <w:numFmt w:val="bullet"/>
      <w:lvlText w:val=""/>
      <w:lvlJc w:val="left"/>
      <w:pPr>
        <w:ind w:left="720" w:hanging="360"/>
      </w:pPr>
      <w:rPr>
        <w:rFonts w:ascii="Symbol" w:hAnsi="Symbol" w:hint="default"/>
        <w:sz w:val="20"/>
        <w:szCs w:val="20"/>
      </w:rPr>
    </w:lvl>
    <w:lvl w:ilvl="1" w:tplc="E730B304">
      <w:start w:val="4"/>
      <w:numFmt w:val="bullet"/>
      <w:lvlText w:val="•"/>
      <w:lvlJc w:val="left"/>
      <w:pPr>
        <w:ind w:left="1800" w:hanging="720"/>
      </w:pPr>
      <w:rPr>
        <w:rFonts w:ascii="Abadi" w:eastAsiaTheme="minorHAnsi" w:hAnsi="Abadi"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F0E4043"/>
    <w:multiLevelType w:val="hybridMultilevel"/>
    <w:tmpl w:val="09C4E4E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44D75B6"/>
    <w:multiLevelType w:val="hybridMultilevel"/>
    <w:tmpl w:val="2EA280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5074D4F"/>
    <w:multiLevelType w:val="multilevel"/>
    <w:tmpl w:val="00503D7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C6D4667"/>
    <w:multiLevelType w:val="hybridMultilevel"/>
    <w:tmpl w:val="693C9C5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FA70189"/>
    <w:multiLevelType w:val="hybridMultilevel"/>
    <w:tmpl w:val="14C4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1D058DF"/>
    <w:multiLevelType w:val="multilevel"/>
    <w:tmpl w:val="3474B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654277"/>
    <w:multiLevelType w:val="multilevel"/>
    <w:tmpl w:val="1AC09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B17A26"/>
    <w:multiLevelType w:val="multilevel"/>
    <w:tmpl w:val="ADC60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DF2D9A"/>
    <w:multiLevelType w:val="multilevel"/>
    <w:tmpl w:val="592E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A4B2C6D"/>
    <w:multiLevelType w:val="hybridMultilevel"/>
    <w:tmpl w:val="021653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2F341C4"/>
    <w:multiLevelType w:val="hybridMultilevel"/>
    <w:tmpl w:val="96FE1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35B744E"/>
    <w:multiLevelType w:val="hybridMultilevel"/>
    <w:tmpl w:val="7FBA9A9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8E0643"/>
    <w:multiLevelType w:val="hybridMultilevel"/>
    <w:tmpl w:val="B9768A80"/>
    <w:lvl w:ilvl="0" w:tplc="E00EF27A">
      <w:start w:val="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43" w15:restartNumberingAfterBreak="0">
    <w:nsid w:val="66772909"/>
    <w:multiLevelType w:val="hybridMultilevel"/>
    <w:tmpl w:val="D6C86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B11393"/>
    <w:multiLevelType w:val="hybridMultilevel"/>
    <w:tmpl w:val="5E30C7EA"/>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45" w15:restartNumberingAfterBreak="0">
    <w:nsid w:val="6A3002FB"/>
    <w:multiLevelType w:val="multilevel"/>
    <w:tmpl w:val="11D0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0A71442"/>
    <w:multiLevelType w:val="multilevel"/>
    <w:tmpl w:val="A7AC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2601277"/>
    <w:multiLevelType w:val="hybridMultilevel"/>
    <w:tmpl w:val="81181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B81072"/>
    <w:multiLevelType w:val="hybridMultilevel"/>
    <w:tmpl w:val="14BE1C1A"/>
    <w:lvl w:ilvl="0" w:tplc="F5D820D2">
      <w:start w:val="1"/>
      <w:numFmt w:val="bullet"/>
      <w:lvlText w:val=""/>
      <w:lvlJc w:val="left"/>
      <w:pPr>
        <w:ind w:left="720" w:hanging="360"/>
      </w:pPr>
      <w:rPr>
        <w:rFonts w:ascii="Symbol" w:hAnsi="Symbol" w:hint="default"/>
        <w:color w:val="15608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A706332"/>
    <w:multiLevelType w:val="multilevel"/>
    <w:tmpl w:val="8B76B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AE90656"/>
    <w:multiLevelType w:val="hybridMultilevel"/>
    <w:tmpl w:val="60507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54434F"/>
    <w:multiLevelType w:val="hybridMultilevel"/>
    <w:tmpl w:val="D1E000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31"/>
  </w:num>
  <w:num w:numId="3">
    <w:abstractNumId w:val="18"/>
  </w:num>
  <w:num w:numId="4">
    <w:abstractNumId w:val="6"/>
  </w:num>
  <w:num w:numId="5">
    <w:abstractNumId w:val="10"/>
  </w:num>
  <w:num w:numId="6">
    <w:abstractNumId w:val="28"/>
  </w:num>
  <w:num w:numId="7">
    <w:abstractNumId w:val="24"/>
  </w:num>
  <w:num w:numId="8">
    <w:abstractNumId w:val="41"/>
  </w:num>
  <w:num w:numId="9">
    <w:abstractNumId w:val="51"/>
  </w:num>
  <w:num w:numId="10">
    <w:abstractNumId w:val="1"/>
  </w:num>
  <w:num w:numId="11">
    <w:abstractNumId w:val="9"/>
  </w:num>
  <w:num w:numId="12">
    <w:abstractNumId w:val="3"/>
  </w:num>
  <w:num w:numId="13">
    <w:abstractNumId w:val="37"/>
  </w:num>
  <w:num w:numId="14">
    <w:abstractNumId w:val="32"/>
  </w:num>
  <w:num w:numId="15">
    <w:abstractNumId w:val="8"/>
  </w:num>
  <w:num w:numId="16">
    <w:abstractNumId w:val="26"/>
  </w:num>
  <w:num w:numId="17">
    <w:abstractNumId w:val="47"/>
  </w:num>
  <w:num w:numId="18">
    <w:abstractNumId w:val="29"/>
  </w:num>
  <w:num w:numId="19">
    <w:abstractNumId w:val="17"/>
  </w:num>
  <w:num w:numId="20">
    <w:abstractNumId w:val="20"/>
  </w:num>
  <w:num w:numId="21">
    <w:abstractNumId w:val="7"/>
  </w:num>
  <w:num w:numId="22">
    <w:abstractNumId w:val="5"/>
  </w:num>
  <w:num w:numId="23">
    <w:abstractNumId w:val="12"/>
  </w:num>
  <w:num w:numId="24">
    <w:abstractNumId w:val="40"/>
  </w:num>
  <w:num w:numId="25">
    <w:abstractNumId w:val="34"/>
  </w:num>
  <w:num w:numId="26">
    <w:abstractNumId w:val="45"/>
  </w:num>
  <w:num w:numId="27">
    <w:abstractNumId w:val="27"/>
  </w:num>
  <w:num w:numId="28">
    <w:abstractNumId w:val="30"/>
  </w:num>
  <w:num w:numId="29">
    <w:abstractNumId w:val="14"/>
  </w:num>
  <w:num w:numId="30">
    <w:abstractNumId w:val="43"/>
  </w:num>
  <w:num w:numId="31">
    <w:abstractNumId w:val="22"/>
  </w:num>
  <w:num w:numId="32">
    <w:abstractNumId w:val="23"/>
  </w:num>
  <w:num w:numId="33">
    <w:abstractNumId w:val="33"/>
  </w:num>
  <w:num w:numId="34">
    <w:abstractNumId w:val="25"/>
  </w:num>
  <w:num w:numId="35">
    <w:abstractNumId w:val="15"/>
  </w:num>
  <w:num w:numId="36">
    <w:abstractNumId w:val="13"/>
  </w:num>
  <w:num w:numId="37">
    <w:abstractNumId w:val="44"/>
  </w:num>
  <w:num w:numId="38">
    <w:abstractNumId w:val="42"/>
  </w:num>
  <w:num w:numId="39">
    <w:abstractNumId w:val="48"/>
  </w:num>
  <w:num w:numId="40">
    <w:abstractNumId w:val="21"/>
  </w:num>
  <w:num w:numId="41">
    <w:abstractNumId w:val="11"/>
  </w:num>
  <w:num w:numId="42">
    <w:abstractNumId w:val="49"/>
  </w:num>
  <w:num w:numId="43">
    <w:abstractNumId w:val="46"/>
  </w:num>
  <w:num w:numId="44">
    <w:abstractNumId w:val="16"/>
  </w:num>
  <w:num w:numId="45">
    <w:abstractNumId w:val="38"/>
  </w:num>
  <w:num w:numId="46">
    <w:abstractNumId w:val="35"/>
  </w:num>
  <w:num w:numId="47">
    <w:abstractNumId w:val="0"/>
  </w:num>
  <w:num w:numId="48">
    <w:abstractNumId w:val="19"/>
  </w:num>
  <w:num w:numId="49">
    <w:abstractNumId w:val="36"/>
  </w:num>
  <w:num w:numId="50">
    <w:abstractNumId w:val="4"/>
  </w:num>
  <w:num w:numId="51">
    <w:abstractNumId w:val="2"/>
  </w:num>
  <w:num w:numId="52">
    <w:abstractNumId w:val="5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EE0"/>
    <w:rsid w:val="00001131"/>
    <w:rsid w:val="00004057"/>
    <w:rsid w:val="00006558"/>
    <w:rsid w:val="000070D9"/>
    <w:rsid w:val="00017ED1"/>
    <w:rsid w:val="00020C31"/>
    <w:rsid w:val="00022625"/>
    <w:rsid w:val="00026811"/>
    <w:rsid w:val="0002693F"/>
    <w:rsid w:val="000450F8"/>
    <w:rsid w:val="00045E47"/>
    <w:rsid w:val="0004664C"/>
    <w:rsid w:val="00047384"/>
    <w:rsid w:val="0005524F"/>
    <w:rsid w:val="0005579F"/>
    <w:rsid w:val="00057A51"/>
    <w:rsid w:val="000622A1"/>
    <w:rsid w:val="00062DE0"/>
    <w:rsid w:val="000669B9"/>
    <w:rsid w:val="00070685"/>
    <w:rsid w:val="00075554"/>
    <w:rsid w:val="000763B4"/>
    <w:rsid w:val="00077D78"/>
    <w:rsid w:val="00080BC7"/>
    <w:rsid w:val="000815E7"/>
    <w:rsid w:val="00082721"/>
    <w:rsid w:val="00083FB3"/>
    <w:rsid w:val="00086FDF"/>
    <w:rsid w:val="00087C83"/>
    <w:rsid w:val="000909EE"/>
    <w:rsid w:val="00091AB3"/>
    <w:rsid w:val="00094020"/>
    <w:rsid w:val="000940CE"/>
    <w:rsid w:val="0009598F"/>
    <w:rsid w:val="000A110D"/>
    <w:rsid w:val="000A14EE"/>
    <w:rsid w:val="000A2344"/>
    <w:rsid w:val="000A38AE"/>
    <w:rsid w:val="000A4333"/>
    <w:rsid w:val="000A55E4"/>
    <w:rsid w:val="000A6F64"/>
    <w:rsid w:val="000A728F"/>
    <w:rsid w:val="000B16BE"/>
    <w:rsid w:val="000B1947"/>
    <w:rsid w:val="000B25A6"/>
    <w:rsid w:val="000B25F0"/>
    <w:rsid w:val="000B2AC7"/>
    <w:rsid w:val="000B36E7"/>
    <w:rsid w:val="000B3AEA"/>
    <w:rsid w:val="000B642F"/>
    <w:rsid w:val="000B7089"/>
    <w:rsid w:val="000B7402"/>
    <w:rsid w:val="000C02AE"/>
    <w:rsid w:val="000C19FF"/>
    <w:rsid w:val="000C2040"/>
    <w:rsid w:val="000C26C9"/>
    <w:rsid w:val="000C29FD"/>
    <w:rsid w:val="000D1635"/>
    <w:rsid w:val="000D242C"/>
    <w:rsid w:val="000D69E2"/>
    <w:rsid w:val="000D6B4A"/>
    <w:rsid w:val="000D6CF2"/>
    <w:rsid w:val="000D7628"/>
    <w:rsid w:val="000E0305"/>
    <w:rsid w:val="000E1B03"/>
    <w:rsid w:val="000E1E12"/>
    <w:rsid w:val="000E1EA3"/>
    <w:rsid w:val="000E1F16"/>
    <w:rsid w:val="000E2686"/>
    <w:rsid w:val="000E60AC"/>
    <w:rsid w:val="000E6939"/>
    <w:rsid w:val="000F0AB8"/>
    <w:rsid w:val="000F4B8E"/>
    <w:rsid w:val="001004E1"/>
    <w:rsid w:val="00102FF2"/>
    <w:rsid w:val="0010486D"/>
    <w:rsid w:val="00104875"/>
    <w:rsid w:val="00105C2B"/>
    <w:rsid w:val="0011214D"/>
    <w:rsid w:val="00115935"/>
    <w:rsid w:val="00117756"/>
    <w:rsid w:val="0012189C"/>
    <w:rsid w:val="0012200A"/>
    <w:rsid w:val="00123174"/>
    <w:rsid w:val="00126BE6"/>
    <w:rsid w:val="001310C5"/>
    <w:rsid w:val="00131517"/>
    <w:rsid w:val="00131A5E"/>
    <w:rsid w:val="001327E9"/>
    <w:rsid w:val="00136171"/>
    <w:rsid w:val="001366DB"/>
    <w:rsid w:val="0014103D"/>
    <w:rsid w:val="0014155D"/>
    <w:rsid w:val="00141B02"/>
    <w:rsid w:val="00142752"/>
    <w:rsid w:val="00143017"/>
    <w:rsid w:val="00143DA4"/>
    <w:rsid w:val="00146C17"/>
    <w:rsid w:val="00146E90"/>
    <w:rsid w:val="00147D39"/>
    <w:rsid w:val="00151527"/>
    <w:rsid w:val="00151CD0"/>
    <w:rsid w:val="00153ACB"/>
    <w:rsid w:val="00154494"/>
    <w:rsid w:val="00155197"/>
    <w:rsid w:val="001560F7"/>
    <w:rsid w:val="00156CAE"/>
    <w:rsid w:val="00163891"/>
    <w:rsid w:val="001644A2"/>
    <w:rsid w:val="00164A65"/>
    <w:rsid w:val="001652B8"/>
    <w:rsid w:val="00165D45"/>
    <w:rsid w:val="00167D21"/>
    <w:rsid w:val="00167FF0"/>
    <w:rsid w:val="00170A62"/>
    <w:rsid w:val="0017482F"/>
    <w:rsid w:val="00176202"/>
    <w:rsid w:val="001763CF"/>
    <w:rsid w:val="00177863"/>
    <w:rsid w:val="00177946"/>
    <w:rsid w:val="00177AC6"/>
    <w:rsid w:val="00181218"/>
    <w:rsid w:val="00186789"/>
    <w:rsid w:val="00190465"/>
    <w:rsid w:val="00190F5D"/>
    <w:rsid w:val="00192B95"/>
    <w:rsid w:val="00193895"/>
    <w:rsid w:val="001945AB"/>
    <w:rsid w:val="00194AAE"/>
    <w:rsid w:val="00194C74"/>
    <w:rsid w:val="001968EC"/>
    <w:rsid w:val="00197405"/>
    <w:rsid w:val="001A015B"/>
    <w:rsid w:val="001A2BA2"/>
    <w:rsid w:val="001A47A2"/>
    <w:rsid w:val="001A658A"/>
    <w:rsid w:val="001A751B"/>
    <w:rsid w:val="001A77F8"/>
    <w:rsid w:val="001A7A3D"/>
    <w:rsid w:val="001B5AF0"/>
    <w:rsid w:val="001B6275"/>
    <w:rsid w:val="001C09F6"/>
    <w:rsid w:val="001C0D40"/>
    <w:rsid w:val="001C4311"/>
    <w:rsid w:val="001C48B0"/>
    <w:rsid w:val="001C51AC"/>
    <w:rsid w:val="001C61AE"/>
    <w:rsid w:val="001C7CBD"/>
    <w:rsid w:val="001D0003"/>
    <w:rsid w:val="001D027F"/>
    <w:rsid w:val="001D4FA1"/>
    <w:rsid w:val="001E00A3"/>
    <w:rsid w:val="001E1A6F"/>
    <w:rsid w:val="001E2A02"/>
    <w:rsid w:val="001E3370"/>
    <w:rsid w:val="001E3C9C"/>
    <w:rsid w:val="001F03B9"/>
    <w:rsid w:val="001F0D69"/>
    <w:rsid w:val="001F1CDF"/>
    <w:rsid w:val="001F1F6D"/>
    <w:rsid w:val="001F51DC"/>
    <w:rsid w:val="001F5F3F"/>
    <w:rsid w:val="001F6550"/>
    <w:rsid w:val="00202B84"/>
    <w:rsid w:val="00204424"/>
    <w:rsid w:val="00211E93"/>
    <w:rsid w:val="002120B0"/>
    <w:rsid w:val="00213695"/>
    <w:rsid w:val="00215265"/>
    <w:rsid w:val="00216A05"/>
    <w:rsid w:val="0021712C"/>
    <w:rsid w:val="00217776"/>
    <w:rsid w:val="00221377"/>
    <w:rsid w:val="00221FFB"/>
    <w:rsid w:val="002225C8"/>
    <w:rsid w:val="0022345F"/>
    <w:rsid w:val="00223B35"/>
    <w:rsid w:val="00224265"/>
    <w:rsid w:val="00225E2E"/>
    <w:rsid w:val="002264CE"/>
    <w:rsid w:val="00226D59"/>
    <w:rsid w:val="00226DF3"/>
    <w:rsid w:val="00231C31"/>
    <w:rsid w:val="00232A4E"/>
    <w:rsid w:val="00232DC8"/>
    <w:rsid w:val="00233010"/>
    <w:rsid w:val="00233278"/>
    <w:rsid w:val="002336ED"/>
    <w:rsid w:val="002338BC"/>
    <w:rsid w:val="00233B03"/>
    <w:rsid w:val="0023440C"/>
    <w:rsid w:val="00235C52"/>
    <w:rsid w:val="00240E6D"/>
    <w:rsid w:val="002418E6"/>
    <w:rsid w:val="002425E3"/>
    <w:rsid w:val="002464D6"/>
    <w:rsid w:val="00247324"/>
    <w:rsid w:val="00253FDE"/>
    <w:rsid w:val="00254781"/>
    <w:rsid w:val="00255272"/>
    <w:rsid w:val="00257041"/>
    <w:rsid w:val="00257751"/>
    <w:rsid w:val="00261F04"/>
    <w:rsid w:val="00264DCD"/>
    <w:rsid w:val="002654A8"/>
    <w:rsid w:val="00266203"/>
    <w:rsid w:val="00271D5D"/>
    <w:rsid w:val="0027335B"/>
    <w:rsid w:val="00273658"/>
    <w:rsid w:val="00276B79"/>
    <w:rsid w:val="00277185"/>
    <w:rsid w:val="002825B4"/>
    <w:rsid w:val="00283D6A"/>
    <w:rsid w:val="00284AAA"/>
    <w:rsid w:val="00284CAD"/>
    <w:rsid w:val="0029093B"/>
    <w:rsid w:val="002917E5"/>
    <w:rsid w:val="0029235B"/>
    <w:rsid w:val="00293353"/>
    <w:rsid w:val="0029432B"/>
    <w:rsid w:val="00294414"/>
    <w:rsid w:val="00294889"/>
    <w:rsid w:val="00295F64"/>
    <w:rsid w:val="002A20A8"/>
    <w:rsid w:val="002A29B4"/>
    <w:rsid w:val="002A3AB8"/>
    <w:rsid w:val="002A46E3"/>
    <w:rsid w:val="002A5996"/>
    <w:rsid w:val="002A6F4E"/>
    <w:rsid w:val="002B301D"/>
    <w:rsid w:val="002B3DEC"/>
    <w:rsid w:val="002B4522"/>
    <w:rsid w:val="002B5084"/>
    <w:rsid w:val="002B56A8"/>
    <w:rsid w:val="002B7D4D"/>
    <w:rsid w:val="002C0993"/>
    <w:rsid w:val="002C0E8B"/>
    <w:rsid w:val="002C52B1"/>
    <w:rsid w:val="002C6EC9"/>
    <w:rsid w:val="002D07A4"/>
    <w:rsid w:val="002D2044"/>
    <w:rsid w:val="002D220E"/>
    <w:rsid w:val="002D5BEC"/>
    <w:rsid w:val="002D625C"/>
    <w:rsid w:val="002D7131"/>
    <w:rsid w:val="002E17D3"/>
    <w:rsid w:val="002E3727"/>
    <w:rsid w:val="002E3FC8"/>
    <w:rsid w:val="002E4DE8"/>
    <w:rsid w:val="002E623C"/>
    <w:rsid w:val="002F2AFC"/>
    <w:rsid w:val="002F3AFD"/>
    <w:rsid w:val="002F3FBC"/>
    <w:rsid w:val="002F4F2C"/>
    <w:rsid w:val="002F5F53"/>
    <w:rsid w:val="002F692F"/>
    <w:rsid w:val="002F70D4"/>
    <w:rsid w:val="002F7AAE"/>
    <w:rsid w:val="00303FEE"/>
    <w:rsid w:val="003048C3"/>
    <w:rsid w:val="00305382"/>
    <w:rsid w:val="003071CE"/>
    <w:rsid w:val="003104F2"/>
    <w:rsid w:val="00311473"/>
    <w:rsid w:val="00312500"/>
    <w:rsid w:val="003139F7"/>
    <w:rsid w:val="00315068"/>
    <w:rsid w:val="00316254"/>
    <w:rsid w:val="00330FA8"/>
    <w:rsid w:val="00332471"/>
    <w:rsid w:val="003326A4"/>
    <w:rsid w:val="0033303B"/>
    <w:rsid w:val="00333D04"/>
    <w:rsid w:val="00334F67"/>
    <w:rsid w:val="00335320"/>
    <w:rsid w:val="003359DC"/>
    <w:rsid w:val="00336C87"/>
    <w:rsid w:val="003444FA"/>
    <w:rsid w:val="00344E35"/>
    <w:rsid w:val="00346EBD"/>
    <w:rsid w:val="0034797A"/>
    <w:rsid w:val="00347B2E"/>
    <w:rsid w:val="00351EB6"/>
    <w:rsid w:val="003549E0"/>
    <w:rsid w:val="00354BED"/>
    <w:rsid w:val="003656C2"/>
    <w:rsid w:val="00366A96"/>
    <w:rsid w:val="003705F9"/>
    <w:rsid w:val="003758BC"/>
    <w:rsid w:val="00376116"/>
    <w:rsid w:val="003769F4"/>
    <w:rsid w:val="00381435"/>
    <w:rsid w:val="00381E23"/>
    <w:rsid w:val="0038329E"/>
    <w:rsid w:val="00384CD1"/>
    <w:rsid w:val="0039004D"/>
    <w:rsid w:val="0039068A"/>
    <w:rsid w:val="00391A88"/>
    <w:rsid w:val="00392651"/>
    <w:rsid w:val="00392E9C"/>
    <w:rsid w:val="0039356C"/>
    <w:rsid w:val="00393C3B"/>
    <w:rsid w:val="00393F69"/>
    <w:rsid w:val="003941F0"/>
    <w:rsid w:val="00394625"/>
    <w:rsid w:val="0039630C"/>
    <w:rsid w:val="003A1597"/>
    <w:rsid w:val="003A36C1"/>
    <w:rsid w:val="003A3E9D"/>
    <w:rsid w:val="003A778C"/>
    <w:rsid w:val="003B05DC"/>
    <w:rsid w:val="003B315D"/>
    <w:rsid w:val="003B75C6"/>
    <w:rsid w:val="003C147A"/>
    <w:rsid w:val="003C1569"/>
    <w:rsid w:val="003C4435"/>
    <w:rsid w:val="003D0BCB"/>
    <w:rsid w:val="003D240B"/>
    <w:rsid w:val="003D332A"/>
    <w:rsid w:val="003D7455"/>
    <w:rsid w:val="003E057B"/>
    <w:rsid w:val="003E1910"/>
    <w:rsid w:val="003E2BA4"/>
    <w:rsid w:val="003E2FE9"/>
    <w:rsid w:val="003E7289"/>
    <w:rsid w:val="003F0F9B"/>
    <w:rsid w:val="003F1EF1"/>
    <w:rsid w:val="003F3145"/>
    <w:rsid w:val="003F3C07"/>
    <w:rsid w:val="003F6375"/>
    <w:rsid w:val="003F6572"/>
    <w:rsid w:val="0040198D"/>
    <w:rsid w:val="004026BC"/>
    <w:rsid w:val="00403494"/>
    <w:rsid w:val="004039BF"/>
    <w:rsid w:val="0040465B"/>
    <w:rsid w:val="0040522F"/>
    <w:rsid w:val="00406C27"/>
    <w:rsid w:val="00411EB0"/>
    <w:rsid w:val="0041538B"/>
    <w:rsid w:val="00415D5A"/>
    <w:rsid w:val="004169BD"/>
    <w:rsid w:val="00417EBE"/>
    <w:rsid w:val="004207E9"/>
    <w:rsid w:val="0042167B"/>
    <w:rsid w:val="00421FBC"/>
    <w:rsid w:val="004249A0"/>
    <w:rsid w:val="0043057D"/>
    <w:rsid w:val="00431215"/>
    <w:rsid w:val="00434F47"/>
    <w:rsid w:val="00435784"/>
    <w:rsid w:val="004379C7"/>
    <w:rsid w:val="004429D5"/>
    <w:rsid w:val="00444A63"/>
    <w:rsid w:val="004501E1"/>
    <w:rsid w:val="00452C67"/>
    <w:rsid w:val="00455389"/>
    <w:rsid w:val="00456FD1"/>
    <w:rsid w:val="00462F17"/>
    <w:rsid w:val="004632E4"/>
    <w:rsid w:val="004647E8"/>
    <w:rsid w:val="004667C8"/>
    <w:rsid w:val="0046774C"/>
    <w:rsid w:val="00470A1E"/>
    <w:rsid w:val="0047562E"/>
    <w:rsid w:val="004779A2"/>
    <w:rsid w:val="00477E9D"/>
    <w:rsid w:val="004807C9"/>
    <w:rsid w:val="00480867"/>
    <w:rsid w:val="004816EC"/>
    <w:rsid w:val="00482DE5"/>
    <w:rsid w:val="00483203"/>
    <w:rsid w:val="004839C1"/>
    <w:rsid w:val="0049013D"/>
    <w:rsid w:val="00491457"/>
    <w:rsid w:val="00492F15"/>
    <w:rsid w:val="00494872"/>
    <w:rsid w:val="00495C03"/>
    <w:rsid w:val="00495F0D"/>
    <w:rsid w:val="00497168"/>
    <w:rsid w:val="004A0CFC"/>
    <w:rsid w:val="004A2D2E"/>
    <w:rsid w:val="004A2F56"/>
    <w:rsid w:val="004A350A"/>
    <w:rsid w:val="004B3AAB"/>
    <w:rsid w:val="004B58E7"/>
    <w:rsid w:val="004B7C49"/>
    <w:rsid w:val="004C3259"/>
    <w:rsid w:val="004C4BEF"/>
    <w:rsid w:val="004C6E93"/>
    <w:rsid w:val="004E4111"/>
    <w:rsid w:val="004E4175"/>
    <w:rsid w:val="004E5F15"/>
    <w:rsid w:val="004F09EA"/>
    <w:rsid w:val="004F2ACA"/>
    <w:rsid w:val="004F7C1B"/>
    <w:rsid w:val="004F7D62"/>
    <w:rsid w:val="005001EB"/>
    <w:rsid w:val="005012E6"/>
    <w:rsid w:val="005028F2"/>
    <w:rsid w:val="00502FBE"/>
    <w:rsid w:val="00503A18"/>
    <w:rsid w:val="0050616C"/>
    <w:rsid w:val="0050772F"/>
    <w:rsid w:val="00510F09"/>
    <w:rsid w:val="005110B4"/>
    <w:rsid w:val="0051152E"/>
    <w:rsid w:val="00511AB8"/>
    <w:rsid w:val="00512BD2"/>
    <w:rsid w:val="00513239"/>
    <w:rsid w:val="00515141"/>
    <w:rsid w:val="00522EDA"/>
    <w:rsid w:val="00524FCB"/>
    <w:rsid w:val="00525756"/>
    <w:rsid w:val="00525DCA"/>
    <w:rsid w:val="00530CB6"/>
    <w:rsid w:val="00530EA4"/>
    <w:rsid w:val="0053278B"/>
    <w:rsid w:val="0053311F"/>
    <w:rsid w:val="00533619"/>
    <w:rsid w:val="00536B9D"/>
    <w:rsid w:val="00540947"/>
    <w:rsid w:val="0054125C"/>
    <w:rsid w:val="005422B1"/>
    <w:rsid w:val="005444EB"/>
    <w:rsid w:val="00544A60"/>
    <w:rsid w:val="005459A2"/>
    <w:rsid w:val="00545FD4"/>
    <w:rsid w:val="005507F7"/>
    <w:rsid w:val="00551E15"/>
    <w:rsid w:val="00552941"/>
    <w:rsid w:val="00553387"/>
    <w:rsid w:val="00554A2A"/>
    <w:rsid w:val="00555027"/>
    <w:rsid w:val="00555B49"/>
    <w:rsid w:val="00555EA0"/>
    <w:rsid w:val="00556F7D"/>
    <w:rsid w:val="00561EC3"/>
    <w:rsid w:val="00561F88"/>
    <w:rsid w:val="00563CA2"/>
    <w:rsid w:val="0056632A"/>
    <w:rsid w:val="00571083"/>
    <w:rsid w:val="00574277"/>
    <w:rsid w:val="0057560F"/>
    <w:rsid w:val="00575A7C"/>
    <w:rsid w:val="00577545"/>
    <w:rsid w:val="0057773E"/>
    <w:rsid w:val="00577D55"/>
    <w:rsid w:val="00582D73"/>
    <w:rsid w:val="00582E4F"/>
    <w:rsid w:val="00583366"/>
    <w:rsid w:val="00584F28"/>
    <w:rsid w:val="00585385"/>
    <w:rsid w:val="00585CD8"/>
    <w:rsid w:val="00590834"/>
    <w:rsid w:val="005919AB"/>
    <w:rsid w:val="00595A54"/>
    <w:rsid w:val="005A005C"/>
    <w:rsid w:val="005A0B2D"/>
    <w:rsid w:val="005A0E8C"/>
    <w:rsid w:val="005A1944"/>
    <w:rsid w:val="005A1BC8"/>
    <w:rsid w:val="005A4DE2"/>
    <w:rsid w:val="005A568F"/>
    <w:rsid w:val="005A734C"/>
    <w:rsid w:val="005B3702"/>
    <w:rsid w:val="005B4514"/>
    <w:rsid w:val="005B6505"/>
    <w:rsid w:val="005C0C45"/>
    <w:rsid w:val="005C3798"/>
    <w:rsid w:val="005C67BC"/>
    <w:rsid w:val="005C72D4"/>
    <w:rsid w:val="005D225F"/>
    <w:rsid w:val="005D3F18"/>
    <w:rsid w:val="005D67E7"/>
    <w:rsid w:val="005E06D7"/>
    <w:rsid w:val="005E16D4"/>
    <w:rsid w:val="005E2A1A"/>
    <w:rsid w:val="005E2EF7"/>
    <w:rsid w:val="005E4ECD"/>
    <w:rsid w:val="005E507A"/>
    <w:rsid w:val="005E742C"/>
    <w:rsid w:val="005F0D62"/>
    <w:rsid w:val="005F188A"/>
    <w:rsid w:val="005F3A63"/>
    <w:rsid w:val="005F7683"/>
    <w:rsid w:val="005F796D"/>
    <w:rsid w:val="00602281"/>
    <w:rsid w:val="00602635"/>
    <w:rsid w:val="00604DAE"/>
    <w:rsid w:val="006067ED"/>
    <w:rsid w:val="00606EED"/>
    <w:rsid w:val="006078B0"/>
    <w:rsid w:val="00607A55"/>
    <w:rsid w:val="00611F81"/>
    <w:rsid w:val="00612891"/>
    <w:rsid w:val="006143EC"/>
    <w:rsid w:val="00615166"/>
    <w:rsid w:val="006179D2"/>
    <w:rsid w:val="00620243"/>
    <w:rsid w:val="006249A3"/>
    <w:rsid w:val="006267BD"/>
    <w:rsid w:val="006308A3"/>
    <w:rsid w:val="00631412"/>
    <w:rsid w:val="0063320F"/>
    <w:rsid w:val="006344F1"/>
    <w:rsid w:val="00646A72"/>
    <w:rsid w:val="006507C0"/>
    <w:rsid w:val="00650CA4"/>
    <w:rsid w:val="0065229E"/>
    <w:rsid w:val="00652D18"/>
    <w:rsid w:val="00652F6F"/>
    <w:rsid w:val="00653B1A"/>
    <w:rsid w:val="006542F9"/>
    <w:rsid w:val="00655A74"/>
    <w:rsid w:val="00656EB8"/>
    <w:rsid w:val="00656FAA"/>
    <w:rsid w:val="00661869"/>
    <w:rsid w:val="006624D5"/>
    <w:rsid w:val="00662E42"/>
    <w:rsid w:val="00664EF4"/>
    <w:rsid w:val="0066536A"/>
    <w:rsid w:val="0066546C"/>
    <w:rsid w:val="0066683F"/>
    <w:rsid w:val="00666891"/>
    <w:rsid w:val="00666AA0"/>
    <w:rsid w:val="006672E3"/>
    <w:rsid w:val="00667762"/>
    <w:rsid w:val="00670674"/>
    <w:rsid w:val="00671C96"/>
    <w:rsid w:val="006721B5"/>
    <w:rsid w:val="006727DC"/>
    <w:rsid w:val="00672CF0"/>
    <w:rsid w:val="00673095"/>
    <w:rsid w:val="00674AB2"/>
    <w:rsid w:val="0067515C"/>
    <w:rsid w:val="006769DD"/>
    <w:rsid w:val="00676EE8"/>
    <w:rsid w:val="00677204"/>
    <w:rsid w:val="00681279"/>
    <w:rsid w:val="00681EE4"/>
    <w:rsid w:val="00683E20"/>
    <w:rsid w:val="00684C0E"/>
    <w:rsid w:val="00687DBC"/>
    <w:rsid w:val="00691972"/>
    <w:rsid w:val="0069248A"/>
    <w:rsid w:val="00692B3E"/>
    <w:rsid w:val="00697A0B"/>
    <w:rsid w:val="006A1D45"/>
    <w:rsid w:val="006A7B36"/>
    <w:rsid w:val="006B13EF"/>
    <w:rsid w:val="006B1742"/>
    <w:rsid w:val="006B2107"/>
    <w:rsid w:val="006B24AD"/>
    <w:rsid w:val="006B5A56"/>
    <w:rsid w:val="006B5F5A"/>
    <w:rsid w:val="006B6C11"/>
    <w:rsid w:val="006C0AEA"/>
    <w:rsid w:val="006C127C"/>
    <w:rsid w:val="006D0672"/>
    <w:rsid w:val="006D1316"/>
    <w:rsid w:val="006D77E0"/>
    <w:rsid w:val="006E19BD"/>
    <w:rsid w:val="006E2AAF"/>
    <w:rsid w:val="006E2FA8"/>
    <w:rsid w:val="006E33B5"/>
    <w:rsid w:val="006E5900"/>
    <w:rsid w:val="006E76B8"/>
    <w:rsid w:val="006F31DA"/>
    <w:rsid w:val="006F5E96"/>
    <w:rsid w:val="006F6C76"/>
    <w:rsid w:val="006F7376"/>
    <w:rsid w:val="007001AE"/>
    <w:rsid w:val="00702B19"/>
    <w:rsid w:val="0070388A"/>
    <w:rsid w:val="00703BDA"/>
    <w:rsid w:val="00703F2C"/>
    <w:rsid w:val="00704B53"/>
    <w:rsid w:val="00705628"/>
    <w:rsid w:val="00705B56"/>
    <w:rsid w:val="007062F9"/>
    <w:rsid w:val="007065D4"/>
    <w:rsid w:val="00710336"/>
    <w:rsid w:val="00711BAF"/>
    <w:rsid w:val="00711C9F"/>
    <w:rsid w:val="00712023"/>
    <w:rsid w:val="00712803"/>
    <w:rsid w:val="00717517"/>
    <w:rsid w:val="00721CEA"/>
    <w:rsid w:val="007241F7"/>
    <w:rsid w:val="007301CA"/>
    <w:rsid w:val="00730296"/>
    <w:rsid w:val="007348F1"/>
    <w:rsid w:val="007357EB"/>
    <w:rsid w:val="007370E7"/>
    <w:rsid w:val="007374EA"/>
    <w:rsid w:val="00742C4E"/>
    <w:rsid w:val="00743B7D"/>
    <w:rsid w:val="007464B3"/>
    <w:rsid w:val="00747B40"/>
    <w:rsid w:val="00751466"/>
    <w:rsid w:val="00752F88"/>
    <w:rsid w:val="00753DA3"/>
    <w:rsid w:val="0075424A"/>
    <w:rsid w:val="0075492F"/>
    <w:rsid w:val="00754DF0"/>
    <w:rsid w:val="007570AB"/>
    <w:rsid w:val="00757277"/>
    <w:rsid w:val="007575D2"/>
    <w:rsid w:val="0076285E"/>
    <w:rsid w:val="007633ED"/>
    <w:rsid w:val="00763C59"/>
    <w:rsid w:val="007660E3"/>
    <w:rsid w:val="00772917"/>
    <w:rsid w:val="00773152"/>
    <w:rsid w:val="00774483"/>
    <w:rsid w:val="00774B60"/>
    <w:rsid w:val="0078019D"/>
    <w:rsid w:val="007803D9"/>
    <w:rsid w:val="00782FD9"/>
    <w:rsid w:val="0078382A"/>
    <w:rsid w:val="00783B4B"/>
    <w:rsid w:val="00784A43"/>
    <w:rsid w:val="0078581A"/>
    <w:rsid w:val="007862FC"/>
    <w:rsid w:val="00786FAA"/>
    <w:rsid w:val="00791EF2"/>
    <w:rsid w:val="00793276"/>
    <w:rsid w:val="0079348D"/>
    <w:rsid w:val="00793D60"/>
    <w:rsid w:val="00794DF9"/>
    <w:rsid w:val="00794F06"/>
    <w:rsid w:val="0079645A"/>
    <w:rsid w:val="0079688E"/>
    <w:rsid w:val="007970D6"/>
    <w:rsid w:val="007A06E7"/>
    <w:rsid w:val="007A0F64"/>
    <w:rsid w:val="007A189C"/>
    <w:rsid w:val="007A22DD"/>
    <w:rsid w:val="007A2B89"/>
    <w:rsid w:val="007A4BB0"/>
    <w:rsid w:val="007A6643"/>
    <w:rsid w:val="007A6AE2"/>
    <w:rsid w:val="007A7511"/>
    <w:rsid w:val="007B0C6E"/>
    <w:rsid w:val="007B0EDB"/>
    <w:rsid w:val="007B266A"/>
    <w:rsid w:val="007B30B5"/>
    <w:rsid w:val="007B3547"/>
    <w:rsid w:val="007B4274"/>
    <w:rsid w:val="007B4AFF"/>
    <w:rsid w:val="007B4F5F"/>
    <w:rsid w:val="007B5458"/>
    <w:rsid w:val="007B6BC9"/>
    <w:rsid w:val="007B7D90"/>
    <w:rsid w:val="007C019F"/>
    <w:rsid w:val="007C0662"/>
    <w:rsid w:val="007C0869"/>
    <w:rsid w:val="007C26E9"/>
    <w:rsid w:val="007C7012"/>
    <w:rsid w:val="007D3958"/>
    <w:rsid w:val="007E1B68"/>
    <w:rsid w:val="007E1C33"/>
    <w:rsid w:val="007E3D08"/>
    <w:rsid w:val="007E4877"/>
    <w:rsid w:val="007E4976"/>
    <w:rsid w:val="007E504A"/>
    <w:rsid w:val="007F0A20"/>
    <w:rsid w:val="007F0C31"/>
    <w:rsid w:val="007F2127"/>
    <w:rsid w:val="007F4F16"/>
    <w:rsid w:val="007F6A30"/>
    <w:rsid w:val="007F773D"/>
    <w:rsid w:val="007F7A5B"/>
    <w:rsid w:val="00801000"/>
    <w:rsid w:val="008015F7"/>
    <w:rsid w:val="00803913"/>
    <w:rsid w:val="0080416A"/>
    <w:rsid w:val="00806A46"/>
    <w:rsid w:val="00810D60"/>
    <w:rsid w:val="00811C52"/>
    <w:rsid w:val="00811F88"/>
    <w:rsid w:val="00812D20"/>
    <w:rsid w:val="00813AD4"/>
    <w:rsid w:val="00814E5D"/>
    <w:rsid w:val="00814F8B"/>
    <w:rsid w:val="00816CC9"/>
    <w:rsid w:val="00817E58"/>
    <w:rsid w:val="0082065C"/>
    <w:rsid w:val="00822544"/>
    <w:rsid w:val="008229D4"/>
    <w:rsid w:val="0082328D"/>
    <w:rsid w:val="008244CF"/>
    <w:rsid w:val="00824B48"/>
    <w:rsid w:val="00826BEF"/>
    <w:rsid w:val="00830E7A"/>
    <w:rsid w:val="00831486"/>
    <w:rsid w:val="008349F0"/>
    <w:rsid w:val="00834CBE"/>
    <w:rsid w:val="00834F6A"/>
    <w:rsid w:val="00836610"/>
    <w:rsid w:val="00836D5E"/>
    <w:rsid w:val="00840283"/>
    <w:rsid w:val="008419B2"/>
    <w:rsid w:val="0084259C"/>
    <w:rsid w:val="00845823"/>
    <w:rsid w:val="00846837"/>
    <w:rsid w:val="00847BE9"/>
    <w:rsid w:val="008504BC"/>
    <w:rsid w:val="008531FD"/>
    <w:rsid w:val="0086033A"/>
    <w:rsid w:val="00860AF2"/>
    <w:rsid w:val="00861386"/>
    <w:rsid w:val="008614D6"/>
    <w:rsid w:val="00862097"/>
    <w:rsid w:val="00862AC4"/>
    <w:rsid w:val="00862D4B"/>
    <w:rsid w:val="0087043B"/>
    <w:rsid w:val="008710EB"/>
    <w:rsid w:val="008732CD"/>
    <w:rsid w:val="0088039F"/>
    <w:rsid w:val="00880E70"/>
    <w:rsid w:val="00883FFD"/>
    <w:rsid w:val="00884F57"/>
    <w:rsid w:val="00887B17"/>
    <w:rsid w:val="008927A2"/>
    <w:rsid w:val="0089523F"/>
    <w:rsid w:val="0089597E"/>
    <w:rsid w:val="008A0FCD"/>
    <w:rsid w:val="008A34E5"/>
    <w:rsid w:val="008A406F"/>
    <w:rsid w:val="008A438C"/>
    <w:rsid w:val="008A5234"/>
    <w:rsid w:val="008A7CB1"/>
    <w:rsid w:val="008B0754"/>
    <w:rsid w:val="008B30BD"/>
    <w:rsid w:val="008B3692"/>
    <w:rsid w:val="008B47E2"/>
    <w:rsid w:val="008B6EB2"/>
    <w:rsid w:val="008C0028"/>
    <w:rsid w:val="008C007F"/>
    <w:rsid w:val="008C0C3D"/>
    <w:rsid w:val="008C2253"/>
    <w:rsid w:val="008C24FD"/>
    <w:rsid w:val="008C273F"/>
    <w:rsid w:val="008C4693"/>
    <w:rsid w:val="008C4FBF"/>
    <w:rsid w:val="008C6B6A"/>
    <w:rsid w:val="008D041E"/>
    <w:rsid w:val="008D1E34"/>
    <w:rsid w:val="008D2B2C"/>
    <w:rsid w:val="008D42DC"/>
    <w:rsid w:val="008D5D24"/>
    <w:rsid w:val="008D6BF0"/>
    <w:rsid w:val="008D7FAB"/>
    <w:rsid w:val="008E0599"/>
    <w:rsid w:val="008E17FD"/>
    <w:rsid w:val="008E2C5E"/>
    <w:rsid w:val="008E6F44"/>
    <w:rsid w:val="008E72B2"/>
    <w:rsid w:val="008E799B"/>
    <w:rsid w:val="008F46F8"/>
    <w:rsid w:val="00901A73"/>
    <w:rsid w:val="00903B08"/>
    <w:rsid w:val="00904C92"/>
    <w:rsid w:val="00905BF3"/>
    <w:rsid w:val="0090639F"/>
    <w:rsid w:val="00907558"/>
    <w:rsid w:val="00907FA0"/>
    <w:rsid w:val="0091157C"/>
    <w:rsid w:val="00911BC9"/>
    <w:rsid w:val="00913342"/>
    <w:rsid w:val="0091384E"/>
    <w:rsid w:val="0091468A"/>
    <w:rsid w:val="00920142"/>
    <w:rsid w:val="00920FC0"/>
    <w:rsid w:val="00922144"/>
    <w:rsid w:val="00922770"/>
    <w:rsid w:val="00922DCF"/>
    <w:rsid w:val="009300BE"/>
    <w:rsid w:val="00933350"/>
    <w:rsid w:val="00933D54"/>
    <w:rsid w:val="00934266"/>
    <w:rsid w:val="00936765"/>
    <w:rsid w:val="00940EC6"/>
    <w:rsid w:val="00943DD4"/>
    <w:rsid w:val="00945296"/>
    <w:rsid w:val="00945E70"/>
    <w:rsid w:val="009478EC"/>
    <w:rsid w:val="00950E51"/>
    <w:rsid w:val="009539B6"/>
    <w:rsid w:val="00955E05"/>
    <w:rsid w:val="00961182"/>
    <w:rsid w:val="009628C6"/>
    <w:rsid w:val="00967B45"/>
    <w:rsid w:val="0097035C"/>
    <w:rsid w:val="0097040B"/>
    <w:rsid w:val="00970E39"/>
    <w:rsid w:val="00973023"/>
    <w:rsid w:val="00975399"/>
    <w:rsid w:val="00976D89"/>
    <w:rsid w:val="00982FBC"/>
    <w:rsid w:val="009831E2"/>
    <w:rsid w:val="00984315"/>
    <w:rsid w:val="009848E2"/>
    <w:rsid w:val="00990C96"/>
    <w:rsid w:val="009948CC"/>
    <w:rsid w:val="00994F47"/>
    <w:rsid w:val="009A2EAE"/>
    <w:rsid w:val="009A4C0F"/>
    <w:rsid w:val="009A574A"/>
    <w:rsid w:val="009A5A20"/>
    <w:rsid w:val="009A5C2C"/>
    <w:rsid w:val="009B7497"/>
    <w:rsid w:val="009C1E05"/>
    <w:rsid w:val="009C2E35"/>
    <w:rsid w:val="009C3234"/>
    <w:rsid w:val="009C4875"/>
    <w:rsid w:val="009C5F46"/>
    <w:rsid w:val="009C6625"/>
    <w:rsid w:val="009D1A17"/>
    <w:rsid w:val="009D3691"/>
    <w:rsid w:val="009D3F65"/>
    <w:rsid w:val="009D5B44"/>
    <w:rsid w:val="009D7A9C"/>
    <w:rsid w:val="009E00F5"/>
    <w:rsid w:val="009E0311"/>
    <w:rsid w:val="009E257D"/>
    <w:rsid w:val="009E345F"/>
    <w:rsid w:val="009E5186"/>
    <w:rsid w:val="009E5EB2"/>
    <w:rsid w:val="009F0007"/>
    <w:rsid w:val="009F0029"/>
    <w:rsid w:val="009F055B"/>
    <w:rsid w:val="009F463F"/>
    <w:rsid w:val="009F4A1D"/>
    <w:rsid w:val="009F641C"/>
    <w:rsid w:val="009F64EA"/>
    <w:rsid w:val="00A07A4F"/>
    <w:rsid w:val="00A1155C"/>
    <w:rsid w:val="00A146F8"/>
    <w:rsid w:val="00A15A52"/>
    <w:rsid w:val="00A20E0F"/>
    <w:rsid w:val="00A216E9"/>
    <w:rsid w:val="00A2227F"/>
    <w:rsid w:val="00A2270A"/>
    <w:rsid w:val="00A22F43"/>
    <w:rsid w:val="00A25142"/>
    <w:rsid w:val="00A267D7"/>
    <w:rsid w:val="00A27CD8"/>
    <w:rsid w:val="00A30DE5"/>
    <w:rsid w:val="00A31213"/>
    <w:rsid w:val="00A35E95"/>
    <w:rsid w:val="00A36696"/>
    <w:rsid w:val="00A37080"/>
    <w:rsid w:val="00A37B65"/>
    <w:rsid w:val="00A40140"/>
    <w:rsid w:val="00A402D1"/>
    <w:rsid w:val="00A40FCE"/>
    <w:rsid w:val="00A4252B"/>
    <w:rsid w:val="00A42DA8"/>
    <w:rsid w:val="00A45048"/>
    <w:rsid w:val="00A47B19"/>
    <w:rsid w:val="00A50A28"/>
    <w:rsid w:val="00A514DA"/>
    <w:rsid w:val="00A5158A"/>
    <w:rsid w:val="00A54074"/>
    <w:rsid w:val="00A57692"/>
    <w:rsid w:val="00A612F2"/>
    <w:rsid w:val="00A61B74"/>
    <w:rsid w:val="00A61BC2"/>
    <w:rsid w:val="00A625AB"/>
    <w:rsid w:val="00A64641"/>
    <w:rsid w:val="00A65A4E"/>
    <w:rsid w:val="00A65F50"/>
    <w:rsid w:val="00A66C0C"/>
    <w:rsid w:val="00A6786F"/>
    <w:rsid w:val="00A70686"/>
    <w:rsid w:val="00A70751"/>
    <w:rsid w:val="00A70CE0"/>
    <w:rsid w:val="00A77783"/>
    <w:rsid w:val="00A8055B"/>
    <w:rsid w:val="00A82750"/>
    <w:rsid w:val="00A83784"/>
    <w:rsid w:val="00A86779"/>
    <w:rsid w:val="00A93719"/>
    <w:rsid w:val="00A95D28"/>
    <w:rsid w:val="00A97746"/>
    <w:rsid w:val="00AA0020"/>
    <w:rsid w:val="00AA0320"/>
    <w:rsid w:val="00AA0F26"/>
    <w:rsid w:val="00AA1220"/>
    <w:rsid w:val="00AA1B6E"/>
    <w:rsid w:val="00AA3EAD"/>
    <w:rsid w:val="00AA66DB"/>
    <w:rsid w:val="00AA6F6D"/>
    <w:rsid w:val="00AB155E"/>
    <w:rsid w:val="00AB47BA"/>
    <w:rsid w:val="00AB5F03"/>
    <w:rsid w:val="00AB6E2D"/>
    <w:rsid w:val="00AB7CBF"/>
    <w:rsid w:val="00AC0FCB"/>
    <w:rsid w:val="00AC3C7C"/>
    <w:rsid w:val="00AC3FCB"/>
    <w:rsid w:val="00AC4F54"/>
    <w:rsid w:val="00AC67CE"/>
    <w:rsid w:val="00AC7D44"/>
    <w:rsid w:val="00AD00C6"/>
    <w:rsid w:val="00AD0D94"/>
    <w:rsid w:val="00AD31C9"/>
    <w:rsid w:val="00AD6702"/>
    <w:rsid w:val="00AE00EF"/>
    <w:rsid w:val="00AE0422"/>
    <w:rsid w:val="00AE16AB"/>
    <w:rsid w:val="00AE200F"/>
    <w:rsid w:val="00AE3B06"/>
    <w:rsid w:val="00AE5502"/>
    <w:rsid w:val="00AF1A39"/>
    <w:rsid w:val="00AF36AD"/>
    <w:rsid w:val="00AF3A18"/>
    <w:rsid w:val="00AF47DB"/>
    <w:rsid w:val="00AF5D3A"/>
    <w:rsid w:val="00AF6C69"/>
    <w:rsid w:val="00B01886"/>
    <w:rsid w:val="00B019E5"/>
    <w:rsid w:val="00B01AB4"/>
    <w:rsid w:val="00B0343E"/>
    <w:rsid w:val="00B03F1D"/>
    <w:rsid w:val="00B047E7"/>
    <w:rsid w:val="00B04838"/>
    <w:rsid w:val="00B05FCA"/>
    <w:rsid w:val="00B10273"/>
    <w:rsid w:val="00B12DE0"/>
    <w:rsid w:val="00B136CF"/>
    <w:rsid w:val="00B14D82"/>
    <w:rsid w:val="00B152BF"/>
    <w:rsid w:val="00B15518"/>
    <w:rsid w:val="00B20640"/>
    <w:rsid w:val="00B214CB"/>
    <w:rsid w:val="00B2256E"/>
    <w:rsid w:val="00B22DD8"/>
    <w:rsid w:val="00B2307F"/>
    <w:rsid w:val="00B23ED1"/>
    <w:rsid w:val="00B245A4"/>
    <w:rsid w:val="00B26315"/>
    <w:rsid w:val="00B27126"/>
    <w:rsid w:val="00B30ADE"/>
    <w:rsid w:val="00B32F3D"/>
    <w:rsid w:val="00B349D1"/>
    <w:rsid w:val="00B3521B"/>
    <w:rsid w:val="00B354AF"/>
    <w:rsid w:val="00B35C05"/>
    <w:rsid w:val="00B361F7"/>
    <w:rsid w:val="00B405A9"/>
    <w:rsid w:val="00B4266D"/>
    <w:rsid w:val="00B427CA"/>
    <w:rsid w:val="00B42EC6"/>
    <w:rsid w:val="00B45374"/>
    <w:rsid w:val="00B45AB9"/>
    <w:rsid w:val="00B4742D"/>
    <w:rsid w:val="00B47EB2"/>
    <w:rsid w:val="00B516CC"/>
    <w:rsid w:val="00B51D61"/>
    <w:rsid w:val="00B5207D"/>
    <w:rsid w:val="00B527C8"/>
    <w:rsid w:val="00B53D3B"/>
    <w:rsid w:val="00B55CB3"/>
    <w:rsid w:val="00B57EA9"/>
    <w:rsid w:val="00B60465"/>
    <w:rsid w:val="00B615CA"/>
    <w:rsid w:val="00B62004"/>
    <w:rsid w:val="00B66001"/>
    <w:rsid w:val="00B67FB7"/>
    <w:rsid w:val="00B70992"/>
    <w:rsid w:val="00B7213E"/>
    <w:rsid w:val="00B72434"/>
    <w:rsid w:val="00B728C7"/>
    <w:rsid w:val="00B75E67"/>
    <w:rsid w:val="00B800F2"/>
    <w:rsid w:val="00B80A1E"/>
    <w:rsid w:val="00B80AF8"/>
    <w:rsid w:val="00B85011"/>
    <w:rsid w:val="00B87B4D"/>
    <w:rsid w:val="00B912C3"/>
    <w:rsid w:val="00B924F4"/>
    <w:rsid w:val="00B931E4"/>
    <w:rsid w:val="00B93C26"/>
    <w:rsid w:val="00B9571C"/>
    <w:rsid w:val="00B97993"/>
    <w:rsid w:val="00BA1829"/>
    <w:rsid w:val="00BA1838"/>
    <w:rsid w:val="00BA1DD1"/>
    <w:rsid w:val="00BA39AE"/>
    <w:rsid w:val="00BA67DD"/>
    <w:rsid w:val="00BA79CE"/>
    <w:rsid w:val="00BB1ABA"/>
    <w:rsid w:val="00BB3056"/>
    <w:rsid w:val="00BB46CE"/>
    <w:rsid w:val="00BB5D22"/>
    <w:rsid w:val="00BC00BE"/>
    <w:rsid w:val="00BC2C89"/>
    <w:rsid w:val="00BC39BA"/>
    <w:rsid w:val="00BC432A"/>
    <w:rsid w:val="00BC4A8C"/>
    <w:rsid w:val="00BC61C5"/>
    <w:rsid w:val="00BD03D8"/>
    <w:rsid w:val="00BD0ACA"/>
    <w:rsid w:val="00BD0EAB"/>
    <w:rsid w:val="00BD2A59"/>
    <w:rsid w:val="00BD3A54"/>
    <w:rsid w:val="00BD6094"/>
    <w:rsid w:val="00BD715C"/>
    <w:rsid w:val="00BD7AB2"/>
    <w:rsid w:val="00BE0D45"/>
    <w:rsid w:val="00BE1835"/>
    <w:rsid w:val="00BE2A2E"/>
    <w:rsid w:val="00BE39C7"/>
    <w:rsid w:val="00BE771B"/>
    <w:rsid w:val="00BE785F"/>
    <w:rsid w:val="00BE799C"/>
    <w:rsid w:val="00BF1E20"/>
    <w:rsid w:val="00BF2F57"/>
    <w:rsid w:val="00BF3129"/>
    <w:rsid w:val="00BF3D56"/>
    <w:rsid w:val="00BF5C54"/>
    <w:rsid w:val="00BF5E34"/>
    <w:rsid w:val="00BF6450"/>
    <w:rsid w:val="00C024CF"/>
    <w:rsid w:val="00C038D2"/>
    <w:rsid w:val="00C0794B"/>
    <w:rsid w:val="00C07BC5"/>
    <w:rsid w:val="00C07CC3"/>
    <w:rsid w:val="00C07E8E"/>
    <w:rsid w:val="00C129E7"/>
    <w:rsid w:val="00C1335C"/>
    <w:rsid w:val="00C15CAE"/>
    <w:rsid w:val="00C1684B"/>
    <w:rsid w:val="00C168AA"/>
    <w:rsid w:val="00C17A97"/>
    <w:rsid w:val="00C17CB2"/>
    <w:rsid w:val="00C17D5C"/>
    <w:rsid w:val="00C20047"/>
    <w:rsid w:val="00C216AD"/>
    <w:rsid w:val="00C23251"/>
    <w:rsid w:val="00C2361B"/>
    <w:rsid w:val="00C24668"/>
    <w:rsid w:val="00C24677"/>
    <w:rsid w:val="00C2627D"/>
    <w:rsid w:val="00C318D2"/>
    <w:rsid w:val="00C31D15"/>
    <w:rsid w:val="00C32059"/>
    <w:rsid w:val="00C333E9"/>
    <w:rsid w:val="00C3355B"/>
    <w:rsid w:val="00C34C0D"/>
    <w:rsid w:val="00C351C2"/>
    <w:rsid w:val="00C35E4B"/>
    <w:rsid w:val="00C361A1"/>
    <w:rsid w:val="00C37A02"/>
    <w:rsid w:val="00C37E86"/>
    <w:rsid w:val="00C435C1"/>
    <w:rsid w:val="00C44AB8"/>
    <w:rsid w:val="00C45D83"/>
    <w:rsid w:val="00C475C8"/>
    <w:rsid w:val="00C50175"/>
    <w:rsid w:val="00C55891"/>
    <w:rsid w:val="00C5695B"/>
    <w:rsid w:val="00C56A27"/>
    <w:rsid w:val="00C5790C"/>
    <w:rsid w:val="00C57C60"/>
    <w:rsid w:val="00C6123C"/>
    <w:rsid w:val="00C61440"/>
    <w:rsid w:val="00C619D8"/>
    <w:rsid w:val="00C61CCB"/>
    <w:rsid w:val="00C62DE9"/>
    <w:rsid w:val="00C632D0"/>
    <w:rsid w:val="00C63DE6"/>
    <w:rsid w:val="00C65386"/>
    <w:rsid w:val="00C71683"/>
    <w:rsid w:val="00C71B2F"/>
    <w:rsid w:val="00C740EE"/>
    <w:rsid w:val="00C74191"/>
    <w:rsid w:val="00C757A2"/>
    <w:rsid w:val="00C758B1"/>
    <w:rsid w:val="00C82F5D"/>
    <w:rsid w:val="00C84973"/>
    <w:rsid w:val="00C85020"/>
    <w:rsid w:val="00C85FF0"/>
    <w:rsid w:val="00C90C11"/>
    <w:rsid w:val="00C912A2"/>
    <w:rsid w:val="00C92133"/>
    <w:rsid w:val="00C92566"/>
    <w:rsid w:val="00C9325E"/>
    <w:rsid w:val="00C93F16"/>
    <w:rsid w:val="00C943C8"/>
    <w:rsid w:val="00C97305"/>
    <w:rsid w:val="00CA182C"/>
    <w:rsid w:val="00CA32E3"/>
    <w:rsid w:val="00CA56EE"/>
    <w:rsid w:val="00CA6EFB"/>
    <w:rsid w:val="00CA73E1"/>
    <w:rsid w:val="00CB1450"/>
    <w:rsid w:val="00CB15BF"/>
    <w:rsid w:val="00CB460D"/>
    <w:rsid w:val="00CB5EB1"/>
    <w:rsid w:val="00CB73A0"/>
    <w:rsid w:val="00CB7A6E"/>
    <w:rsid w:val="00CC2BDB"/>
    <w:rsid w:val="00CC31DF"/>
    <w:rsid w:val="00CC340D"/>
    <w:rsid w:val="00CC47D5"/>
    <w:rsid w:val="00CC4997"/>
    <w:rsid w:val="00CC6D61"/>
    <w:rsid w:val="00CD1454"/>
    <w:rsid w:val="00CD1E18"/>
    <w:rsid w:val="00CD40B5"/>
    <w:rsid w:val="00CE0A0A"/>
    <w:rsid w:val="00CE176D"/>
    <w:rsid w:val="00CE40FB"/>
    <w:rsid w:val="00CE6000"/>
    <w:rsid w:val="00CF3FD3"/>
    <w:rsid w:val="00CF4C50"/>
    <w:rsid w:val="00CF501E"/>
    <w:rsid w:val="00CF6374"/>
    <w:rsid w:val="00CF7930"/>
    <w:rsid w:val="00CF7F82"/>
    <w:rsid w:val="00D02A2F"/>
    <w:rsid w:val="00D0389D"/>
    <w:rsid w:val="00D057D3"/>
    <w:rsid w:val="00D06CB0"/>
    <w:rsid w:val="00D127F0"/>
    <w:rsid w:val="00D137FB"/>
    <w:rsid w:val="00D23BB3"/>
    <w:rsid w:val="00D24D52"/>
    <w:rsid w:val="00D25A9C"/>
    <w:rsid w:val="00D25E3D"/>
    <w:rsid w:val="00D30D59"/>
    <w:rsid w:val="00D33E70"/>
    <w:rsid w:val="00D34ECA"/>
    <w:rsid w:val="00D35DDE"/>
    <w:rsid w:val="00D36D55"/>
    <w:rsid w:val="00D37C8F"/>
    <w:rsid w:val="00D400A2"/>
    <w:rsid w:val="00D4083C"/>
    <w:rsid w:val="00D41D01"/>
    <w:rsid w:val="00D42597"/>
    <w:rsid w:val="00D4369C"/>
    <w:rsid w:val="00D43EC9"/>
    <w:rsid w:val="00D440E1"/>
    <w:rsid w:val="00D468F3"/>
    <w:rsid w:val="00D47101"/>
    <w:rsid w:val="00D52031"/>
    <w:rsid w:val="00D52812"/>
    <w:rsid w:val="00D53579"/>
    <w:rsid w:val="00D536BB"/>
    <w:rsid w:val="00D53AE2"/>
    <w:rsid w:val="00D546CE"/>
    <w:rsid w:val="00D570FA"/>
    <w:rsid w:val="00D60024"/>
    <w:rsid w:val="00D604D0"/>
    <w:rsid w:val="00D617FD"/>
    <w:rsid w:val="00D61D1B"/>
    <w:rsid w:val="00D623CB"/>
    <w:rsid w:val="00D62F49"/>
    <w:rsid w:val="00D632FA"/>
    <w:rsid w:val="00D66245"/>
    <w:rsid w:val="00D662AB"/>
    <w:rsid w:val="00D701F2"/>
    <w:rsid w:val="00D72010"/>
    <w:rsid w:val="00D729C0"/>
    <w:rsid w:val="00D731D9"/>
    <w:rsid w:val="00D7334A"/>
    <w:rsid w:val="00D75BD2"/>
    <w:rsid w:val="00D77F2A"/>
    <w:rsid w:val="00D80A8B"/>
    <w:rsid w:val="00D810F6"/>
    <w:rsid w:val="00D81AE1"/>
    <w:rsid w:val="00D820CF"/>
    <w:rsid w:val="00D8265F"/>
    <w:rsid w:val="00D82E0E"/>
    <w:rsid w:val="00D846AE"/>
    <w:rsid w:val="00D86519"/>
    <w:rsid w:val="00D87564"/>
    <w:rsid w:val="00D95396"/>
    <w:rsid w:val="00D9571E"/>
    <w:rsid w:val="00D957DD"/>
    <w:rsid w:val="00DA030E"/>
    <w:rsid w:val="00DA48FC"/>
    <w:rsid w:val="00DA6A34"/>
    <w:rsid w:val="00DA6C45"/>
    <w:rsid w:val="00DB267B"/>
    <w:rsid w:val="00DB359B"/>
    <w:rsid w:val="00DB3776"/>
    <w:rsid w:val="00DB57E3"/>
    <w:rsid w:val="00DB5CD7"/>
    <w:rsid w:val="00DB5FA2"/>
    <w:rsid w:val="00DB6689"/>
    <w:rsid w:val="00DC056E"/>
    <w:rsid w:val="00DC0AD1"/>
    <w:rsid w:val="00DC1E26"/>
    <w:rsid w:val="00DC4A8C"/>
    <w:rsid w:val="00DC5BC1"/>
    <w:rsid w:val="00DC612F"/>
    <w:rsid w:val="00DD21C6"/>
    <w:rsid w:val="00DD7381"/>
    <w:rsid w:val="00DE0673"/>
    <w:rsid w:val="00DE3CCC"/>
    <w:rsid w:val="00DE4876"/>
    <w:rsid w:val="00DE7A14"/>
    <w:rsid w:val="00DF1E03"/>
    <w:rsid w:val="00DF1F32"/>
    <w:rsid w:val="00DF4156"/>
    <w:rsid w:val="00DF6076"/>
    <w:rsid w:val="00E00F4A"/>
    <w:rsid w:val="00E01059"/>
    <w:rsid w:val="00E01381"/>
    <w:rsid w:val="00E0225B"/>
    <w:rsid w:val="00E028F1"/>
    <w:rsid w:val="00E038CA"/>
    <w:rsid w:val="00E03B48"/>
    <w:rsid w:val="00E0500D"/>
    <w:rsid w:val="00E0504F"/>
    <w:rsid w:val="00E0587F"/>
    <w:rsid w:val="00E07C76"/>
    <w:rsid w:val="00E10CE0"/>
    <w:rsid w:val="00E112EE"/>
    <w:rsid w:val="00E11DD9"/>
    <w:rsid w:val="00E12391"/>
    <w:rsid w:val="00E12B43"/>
    <w:rsid w:val="00E16080"/>
    <w:rsid w:val="00E1647E"/>
    <w:rsid w:val="00E20888"/>
    <w:rsid w:val="00E20F6D"/>
    <w:rsid w:val="00E25302"/>
    <w:rsid w:val="00E2607D"/>
    <w:rsid w:val="00E30741"/>
    <w:rsid w:val="00E30A67"/>
    <w:rsid w:val="00E34389"/>
    <w:rsid w:val="00E3439F"/>
    <w:rsid w:val="00E36B20"/>
    <w:rsid w:val="00E4128F"/>
    <w:rsid w:val="00E42EEB"/>
    <w:rsid w:val="00E44A4F"/>
    <w:rsid w:val="00E45E38"/>
    <w:rsid w:val="00E461BD"/>
    <w:rsid w:val="00E46277"/>
    <w:rsid w:val="00E46D15"/>
    <w:rsid w:val="00E47B9C"/>
    <w:rsid w:val="00E5062C"/>
    <w:rsid w:val="00E51B94"/>
    <w:rsid w:val="00E55236"/>
    <w:rsid w:val="00E55DD3"/>
    <w:rsid w:val="00E5631A"/>
    <w:rsid w:val="00E56B52"/>
    <w:rsid w:val="00E6099F"/>
    <w:rsid w:val="00E65DD8"/>
    <w:rsid w:val="00E666FD"/>
    <w:rsid w:val="00E678AA"/>
    <w:rsid w:val="00E702CC"/>
    <w:rsid w:val="00E709F0"/>
    <w:rsid w:val="00E72B78"/>
    <w:rsid w:val="00E7411B"/>
    <w:rsid w:val="00E76A08"/>
    <w:rsid w:val="00E806F8"/>
    <w:rsid w:val="00E83EB3"/>
    <w:rsid w:val="00E85839"/>
    <w:rsid w:val="00E859DB"/>
    <w:rsid w:val="00E86E55"/>
    <w:rsid w:val="00E87562"/>
    <w:rsid w:val="00E913BC"/>
    <w:rsid w:val="00E9331B"/>
    <w:rsid w:val="00E945AC"/>
    <w:rsid w:val="00E94D2D"/>
    <w:rsid w:val="00E97975"/>
    <w:rsid w:val="00EA3210"/>
    <w:rsid w:val="00EA4E5B"/>
    <w:rsid w:val="00EA5911"/>
    <w:rsid w:val="00EA5E5E"/>
    <w:rsid w:val="00EA6770"/>
    <w:rsid w:val="00EB0BC5"/>
    <w:rsid w:val="00EB2691"/>
    <w:rsid w:val="00EB332A"/>
    <w:rsid w:val="00EB41DA"/>
    <w:rsid w:val="00EB4F7D"/>
    <w:rsid w:val="00EB692C"/>
    <w:rsid w:val="00EB6F0B"/>
    <w:rsid w:val="00EC177A"/>
    <w:rsid w:val="00EC2883"/>
    <w:rsid w:val="00EC3B3F"/>
    <w:rsid w:val="00EC493B"/>
    <w:rsid w:val="00EC7829"/>
    <w:rsid w:val="00EC7B05"/>
    <w:rsid w:val="00ED109E"/>
    <w:rsid w:val="00ED17B8"/>
    <w:rsid w:val="00ED6D16"/>
    <w:rsid w:val="00EE51B0"/>
    <w:rsid w:val="00EE7C53"/>
    <w:rsid w:val="00EF184E"/>
    <w:rsid w:val="00EF5818"/>
    <w:rsid w:val="00EF62C2"/>
    <w:rsid w:val="00EF6996"/>
    <w:rsid w:val="00EF6CCF"/>
    <w:rsid w:val="00EF741C"/>
    <w:rsid w:val="00EF76B4"/>
    <w:rsid w:val="00F0123E"/>
    <w:rsid w:val="00F015C2"/>
    <w:rsid w:val="00F016B9"/>
    <w:rsid w:val="00F023B6"/>
    <w:rsid w:val="00F0262F"/>
    <w:rsid w:val="00F028C0"/>
    <w:rsid w:val="00F02F85"/>
    <w:rsid w:val="00F1149F"/>
    <w:rsid w:val="00F1257A"/>
    <w:rsid w:val="00F12BB8"/>
    <w:rsid w:val="00F14579"/>
    <w:rsid w:val="00F1735C"/>
    <w:rsid w:val="00F22C96"/>
    <w:rsid w:val="00F2442C"/>
    <w:rsid w:val="00F25436"/>
    <w:rsid w:val="00F301A0"/>
    <w:rsid w:val="00F32607"/>
    <w:rsid w:val="00F3357E"/>
    <w:rsid w:val="00F33C27"/>
    <w:rsid w:val="00F34486"/>
    <w:rsid w:val="00F347DB"/>
    <w:rsid w:val="00F3538E"/>
    <w:rsid w:val="00F36447"/>
    <w:rsid w:val="00F36D96"/>
    <w:rsid w:val="00F3711C"/>
    <w:rsid w:val="00F402F2"/>
    <w:rsid w:val="00F41E79"/>
    <w:rsid w:val="00F42F15"/>
    <w:rsid w:val="00F441C1"/>
    <w:rsid w:val="00F50624"/>
    <w:rsid w:val="00F53052"/>
    <w:rsid w:val="00F54B4B"/>
    <w:rsid w:val="00F55020"/>
    <w:rsid w:val="00F552E0"/>
    <w:rsid w:val="00F57D9B"/>
    <w:rsid w:val="00F6096B"/>
    <w:rsid w:val="00F642AD"/>
    <w:rsid w:val="00F6763B"/>
    <w:rsid w:val="00F75CBD"/>
    <w:rsid w:val="00F76A80"/>
    <w:rsid w:val="00F80C74"/>
    <w:rsid w:val="00F85CBE"/>
    <w:rsid w:val="00F915C6"/>
    <w:rsid w:val="00F91A0F"/>
    <w:rsid w:val="00F91A70"/>
    <w:rsid w:val="00F974FE"/>
    <w:rsid w:val="00F97D55"/>
    <w:rsid w:val="00FA2A49"/>
    <w:rsid w:val="00FA3ACA"/>
    <w:rsid w:val="00FA3E3A"/>
    <w:rsid w:val="00FA4B38"/>
    <w:rsid w:val="00FA5770"/>
    <w:rsid w:val="00FA57B3"/>
    <w:rsid w:val="00FA6732"/>
    <w:rsid w:val="00FA6EAC"/>
    <w:rsid w:val="00FA75DF"/>
    <w:rsid w:val="00FB1067"/>
    <w:rsid w:val="00FB1164"/>
    <w:rsid w:val="00FB1BD2"/>
    <w:rsid w:val="00FB1CBA"/>
    <w:rsid w:val="00FB2CD3"/>
    <w:rsid w:val="00FB3DFB"/>
    <w:rsid w:val="00FB535F"/>
    <w:rsid w:val="00FB6265"/>
    <w:rsid w:val="00FB7F08"/>
    <w:rsid w:val="00FC2EE0"/>
    <w:rsid w:val="00FC4EF1"/>
    <w:rsid w:val="00FD1025"/>
    <w:rsid w:val="00FD42BB"/>
    <w:rsid w:val="00FD6B7A"/>
    <w:rsid w:val="00FD781D"/>
    <w:rsid w:val="00FE1773"/>
    <w:rsid w:val="00FE6BDF"/>
    <w:rsid w:val="00FE755E"/>
    <w:rsid w:val="00FF51E6"/>
    <w:rsid w:val="00FF6A98"/>
    <w:rsid w:val="00FF6F0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883AF"/>
  <w15:chartTrackingRefBased/>
  <w15:docId w15:val="{370D7CF4-89A1-41B8-8974-5A60D8C46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9571C"/>
    <w:pPr>
      <w:spacing w:before="120" w:line="276" w:lineRule="auto"/>
    </w:pPr>
    <w:rPr>
      <w:sz w:val="22"/>
      <w:szCs w:val="22"/>
      <w:lang w:val="en-US"/>
    </w:rPr>
  </w:style>
  <w:style w:type="paragraph" w:styleId="Heading1">
    <w:name w:val="heading 1"/>
    <w:basedOn w:val="Normal"/>
    <w:next w:val="Normal"/>
    <w:link w:val="Heading1Char"/>
    <w:uiPriority w:val="9"/>
    <w:qFormat/>
    <w:rsid w:val="00FC2E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C2E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C2E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2E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2E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2E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2E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2E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2E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E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C2E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C2E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2E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2E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2E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2E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2E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2EE0"/>
    <w:rPr>
      <w:rFonts w:eastAsiaTheme="majorEastAsia" w:cstheme="majorBidi"/>
      <w:color w:val="272727" w:themeColor="text1" w:themeTint="D8"/>
    </w:rPr>
  </w:style>
  <w:style w:type="paragraph" w:styleId="Title">
    <w:name w:val="Title"/>
    <w:basedOn w:val="Normal"/>
    <w:next w:val="Normal"/>
    <w:link w:val="TitleChar"/>
    <w:uiPriority w:val="10"/>
    <w:qFormat/>
    <w:rsid w:val="00FC2E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2E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2E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2E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2EE0"/>
    <w:pPr>
      <w:spacing w:before="160"/>
      <w:jc w:val="center"/>
    </w:pPr>
    <w:rPr>
      <w:i/>
      <w:iCs/>
      <w:color w:val="404040" w:themeColor="text1" w:themeTint="BF"/>
    </w:rPr>
  </w:style>
  <w:style w:type="character" w:customStyle="1" w:styleId="QuoteChar">
    <w:name w:val="Quote Char"/>
    <w:basedOn w:val="DefaultParagraphFont"/>
    <w:link w:val="Quote"/>
    <w:uiPriority w:val="29"/>
    <w:rsid w:val="00FC2EE0"/>
    <w:rPr>
      <w:i/>
      <w:iCs/>
      <w:color w:val="404040" w:themeColor="text1" w:themeTint="BF"/>
    </w:rPr>
  </w:style>
  <w:style w:type="paragraph" w:styleId="ListParagraph">
    <w:name w:val="List Paragraph"/>
    <w:basedOn w:val="Normal"/>
    <w:uiPriority w:val="34"/>
    <w:qFormat/>
    <w:rsid w:val="00FC2EE0"/>
    <w:pPr>
      <w:ind w:left="720"/>
      <w:contextualSpacing/>
    </w:pPr>
  </w:style>
  <w:style w:type="character" w:styleId="IntenseEmphasis">
    <w:name w:val="Intense Emphasis"/>
    <w:basedOn w:val="DefaultParagraphFont"/>
    <w:uiPriority w:val="21"/>
    <w:qFormat/>
    <w:rsid w:val="00FC2EE0"/>
    <w:rPr>
      <w:i/>
      <w:iCs/>
      <w:color w:val="0F4761" w:themeColor="accent1" w:themeShade="BF"/>
    </w:rPr>
  </w:style>
  <w:style w:type="paragraph" w:styleId="IntenseQuote">
    <w:name w:val="Intense Quote"/>
    <w:basedOn w:val="Normal"/>
    <w:next w:val="Normal"/>
    <w:link w:val="IntenseQuoteChar"/>
    <w:uiPriority w:val="30"/>
    <w:qFormat/>
    <w:rsid w:val="00FC2E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2EE0"/>
    <w:rPr>
      <w:i/>
      <w:iCs/>
      <w:color w:val="0F4761" w:themeColor="accent1" w:themeShade="BF"/>
    </w:rPr>
  </w:style>
  <w:style w:type="character" w:styleId="IntenseReference">
    <w:name w:val="Intense Reference"/>
    <w:basedOn w:val="DefaultParagraphFont"/>
    <w:uiPriority w:val="32"/>
    <w:qFormat/>
    <w:rsid w:val="00FC2EE0"/>
    <w:rPr>
      <w:b/>
      <w:bCs/>
      <w:smallCaps/>
      <w:color w:val="0F4761" w:themeColor="accent1" w:themeShade="BF"/>
      <w:spacing w:val="5"/>
    </w:rPr>
  </w:style>
  <w:style w:type="character" w:styleId="CommentReference">
    <w:name w:val="annotation reference"/>
    <w:basedOn w:val="DefaultParagraphFont"/>
    <w:uiPriority w:val="99"/>
    <w:semiHidden/>
    <w:unhideWhenUsed/>
    <w:rsid w:val="00213695"/>
    <w:rPr>
      <w:sz w:val="16"/>
      <w:szCs w:val="16"/>
    </w:rPr>
  </w:style>
  <w:style w:type="paragraph" w:styleId="CommentText">
    <w:name w:val="annotation text"/>
    <w:basedOn w:val="Normal"/>
    <w:link w:val="CommentTextChar"/>
    <w:uiPriority w:val="99"/>
    <w:unhideWhenUsed/>
    <w:rsid w:val="00213695"/>
    <w:pPr>
      <w:spacing w:line="240" w:lineRule="auto"/>
    </w:pPr>
    <w:rPr>
      <w:sz w:val="20"/>
      <w:szCs w:val="20"/>
    </w:rPr>
  </w:style>
  <w:style w:type="character" w:customStyle="1" w:styleId="CommentTextChar">
    <w:name w:val="Comment Text Char"/>
    <w:basedOn w:val="DefaultParagraphFont"/>
    <w:link w:val="CommentText"/>
    <w:uiPriority w:val="99"/>
    <w:rsid w:val="00213695"/>
    <w:rPr>
      <w:sz w:val="20"/>
      <w:szCs w:val="20"/>
      <w:lang w:val="en-US"/>
    </w:rPr>
  </w:style>
  <w:style w:type="table" w:styleId="GridTable1Light-Accent6">
    <w:name w:val="Grid Table 1 Light Accent 6"/>
    <w:basedOn w:val="TableNormal"/>
    <w:uiPriority w:val="46"/>
    <w:rsid w:val="00213695"/>
    <w:pPr>
      <w:spacing w:after="0" w:line="240" w:lineRule="auto"/>
    </w:pPr>
    <w:rPr>
      <w:sz w:val="22"/>
      <w:szCs w:val="22"/>
      <w:lang w:val="en-IN"/>
    </w:r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CE6000"/>
    <w:pPr>
      <w:spacing w:before="0" w:after="200" w:line="240" w:lineRule="auto"/>
    </w:pPr>
    <w:rPr>
      <w:i/>
      <w:iCs/>
      <w:color w:val="0E2841" w:themeColor="text2"/>
      <w:sz w:val="18"/>
      <w:szCs w:val="18"/>
      <w:lang w:val="es-ES"/>
    </w:rPr>
  </w:style>
  <w:style w:type="paragraph" w:styleId="NormalWeb">
    <w:name w:val="Normal (Web)"/>
    <w:basedOn w:val="Normal"/>
    <w:uiPriority w:val="99"/>
    <w:unhideWhenUsed/>
    <w:rsid w:val="00CE6000"/>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character" w:styleId="Hyperlink">
    <w:name w:val="Hyperlink"/>
    <w:basedOn w:val="DefaultParagraphFont"/>
    <w:uiPriority w:val="99"/>
    <w:unhideWhenUsed/>
    <w:rsid w:val="00CE6000"/>
    <w:rPr>
      <w:color w:val="467886" w:themeColor="hyperlink"/>
      <w:u w:val="single"/>
    </w:rPr>
  </w:style>
  <w:style w:type="table" w:styleId="TableGrid">
    <w:name w:val="Table Grid"/>
    <w:basedOn w:val="TableNormal"/>
    <w:uiPriority w:val="39"/>
    <w:rsid w:val="00C129E7"/>
    <w:pPr>
      <w:spacing w:after="0" w:line="240" w:lineRule="auto"/>
    </w:pPr>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4">
    <w:name w:val="Pa24"/>
    <w:basedOn w:val="Normal"/>
    <w:next w:val="Normal"/>
    <w:uiPriority w:val="99"/>
    <w:rsid w:val="00C129E7"/>
    <w:pPr>
      <w:autoSpaceDE w:val="0"/>
      <w:autoSpaceDN w:val="0"/>
      <w:adjustRightInd w:val="0"/>
      <w:spacing w:before="0" w:after="0" w:line="221" w:lineRule="atLeast"/>
    </w:pPr>
    <w:rPr>
      <w:rFonts w:ascii="Franklin Gothic Book" w:hAnsi="Franklin Gothic Book"/>
      <w:kern w:val="0"/>
      <w:sz w:val="24"/>
      <w:szCs w:val="24"/>
      <w:lang w:eastAsia="ja-JP"/>
    </w:rPr>
  </w:style>
  <w:style w:type="paragraph" w:styleId="Revision">
    <w:name w:val="Revision"/>
    <w:hidden/>
    <w:uiPriority w:val="99"/>
    <w:semiHidden/>
    <w:rsid w:val="003A778C"/>
    <w:pPr>
      <w:spacing w:after="0" w:line="240" w:lineRule="auto"/>
    </w:pPr>
    <w:rPr>
      <w:sz w:val="22"/>
      <w:szCs w:val="22"/>
      <w:lang w:val="en-US"/>
    </w:rPr>
  </w:style>
  <w:style w:type="paragraph" w:styleId="CommentSubject">
    <w:name w:val="annotation subject"/>
    <w:basedOn w:val="CommentText"/>
    <w:next w:val="CommentText"/>
    <w:link w:val="CommentSubjectChar"/>
    <w:uiPriority w:val="99"/>
    <w:semiHidden/>
    <w:unhideWhenUsed/>
    <w:rsid w:val="000669B9"/>
    <w:rPr>
      <w:b/>
      <w:bCs/>
    </w:rPr>
  </w:style>
  <w:style w:type="character" w:customStyle="1" w:styleId="CommentSubjectChar">
    <w:name w:val="Comment Subject Char"/>
    <w:basedOn w:val="CommentTextChar"/>
    <w:link w:val="CommentSubject"/>
    <w:uiPriority w:val="99"/>
    <w:semiHidden/>
    <w:rsid w:val="000669B9"/>
    <w:rPr>
      <w:b/>
      <w:bCs/>
      <w:sz w:val="20"/>
      <w:szCs w:val="20"/>
      <w:lang w:val="en-US"/>
    </w:rPr>
  </w:style>
  <w:style w:type="table" w:customStyle="1" w:styleId="PlainTable21">
    <w:name w:val="Plain Table 21"/>
    <w:basedOn w:val="TableNormal"/>
    <w:uiPriority w:val="42"/>
    <w:rsid w:val="006E5900"/>
    <w:pPr>
      <w:widowControl w:val="0"/>
      <w:autoSpaceDE w:val="0"/>
      <w:autoSpaceDN w:val="0"/>
      <w:spacing w:after="0" w:line="240" w:lineRule="auto"/>
    </w:pPr>
    <w:rPr>
      <w:kern w:val="0"/>
      <w:sz w:val="22"/>
      <w:szCs w:val="22"/>
      <w:lang w:val="en-US"/>
      <w14:ligatures w14:val="none"/>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1">
    <w:name w:val="Plain Table 1"/>
    <w:basedOn w:val="TableNormal"/>
    <w:uiPriority w:val="41"/>
    <w:rsid w:val="008704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unhideWhenUsed/>
    <w:rsid w:val="001C7CBD"/>
    <w:pPr>
      <w:spacing w:before="0" w:after="0" w:line="240" w:lineRule="auto"/>
    </w:pPr>
    <w:rPr>
      <w:sz w:val="20"/>
      <w:szCs w:val="20"/>
    </w:rPr>
  </w:style>
  <w:style w:type="character" w:customStyle="1" w:styleId="FootnoteTextChar">
    <w:name w:val="Footnote Text Char"/>
    <w:basedOn w:val="DefaultParagraphFont"/>
    <w:link w:val="FootnoteText"/>
    <w:uiPriority w:val="99"/>
    <w:rsid w:val="001C7CBD"/>
    <w:rPr>
      <w:sz w:val="20"/>
      <w:szCs w:val="20"/>
      <w:lang w:val="en-US"/>
    </w:rPr>
  </w:style>
  <w:style w:type="character" w:styleId="FootnoteReference">
    <w:name w:val="footnote reference"/>
    <w:basedOn w:val="DefaultParagraphFont"/>
    <w:uiPriority w:val="99"/>
    <w:semiHidden/>
    <w:unhideWhenUsed/>
    <w:rsid w:val="001C7CBD"/>
    <w:rPr>
      <w:vertAlign w:val="superscript"/>
    </w:rPr>
  </w:style>
  <w:style w:type="table" w:styleId="GridTable1Light-Accent1">
    <w:name w:val="Grid Table 1 Light Accent 1"/>
    <w:basedOn w:val="TableNormal"/>
    <w:uiPriority w:val="46"/>
    <w:rsid w:val="00E94D2D"/>
    <w:pPr>
      <w:spacing w:after="0" w:line="240" w:lineRule="auto"/>
    </w:pPr>
    <w:rPr>
      <w:kern w:val="0"/>
      <w:sz w:val="22"/>
      <w:szCs w:val="22"/>
      <w:lang w:val="en-US"/>
      <w14:ligatures w14:val="none"/>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37611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BE771B"/>
    <w:rPr>
      <w:color w:val="605E5C"/>
      <w:shd w:val="clear" w:color="auto" w:fill="E1DFDD"/>
    </w:rPr>
  </w:style>
  <w:style w:type="paragraph" w:styleId="Header">
    <w:name w:val="header"/>
    <w:basedOn w:val="Normal"/>
    <w:link w:val="HeaderChar"/>
    <w:uiPriority w:val="99"/>
    <w:unhideWhenUsed/>
    <w:rsid w:val="003E1910"/>
    <w:pPr>
      <w:tabs>
        <w:tab w:val="center" w:pos="4252"/>
        <w:tab w:val="right" w:pos="8504"/>
      </w:tabs>
      <w:spacing w:before="0" w:after="0" w:line="240" w:lineRule="auto"/>
    </w:pPr>
  </w:style>
  <w:style w:type="character" w:customStyle="1" w:styleId="HeaderChar">
    <w:name w:val="Header Char"/>
    <w:basedOn w:val="DefaultParagraphFont"/>
    <w:link w:val="Header"/>
    <w:uiPriority w:val="99"/>
    <w:rsid w:val="003E1910"/>
    <w:rPr>
      <w:sz w:val="22"/>
      <w:szCs w:val="22"/>
      <w:lang w:val="en-US"/>
    </w:rPr>
  </w:style>
  <w:style w:type="paragraph" w:styleId="Footer">
    <w:name w:val="footer"/>
    <w:basedOn w:val="Normal"/>
    <w:link w:val="FooterChar"/>
    <w:uiPriority w:val="99"/>
    <w:unhideWhenUsed/>
    <w:rsid w:val="003E1910"/>
    <w:pPr>
      <w:tabs>
        <w:tab w:val="center" w:pos="4252"/>
        <w:tab w:val="right" w:pos="8504"/>
      </w:tabs>
      <w:spacing w:before="0" w:after="0" w:line="240" w:lineRule="auto"/>
    </w:pPr>
  </w:style>
  <w:style w:type="character" w:customStyle="1" w:styleId="FooterChar">
    <w:name w:val="Footer Char"/>
    <w:basedOn w:val="DefaultParagraphFont"/>
    <w:link w:val="Footer"/>
    <w:uiPriority w:val="99"/>
    <w:rsid w:val="003E1910"/>
    <w:rPr>
      <w:sz w:val="22"/>
      <w:szCs w:val="22"/>
      <w:lang w:val="en-US"/>
    </w:rPr>
  </w:style>
  <w:style w:type="paragraph" w:styleId="BalloonText">
    <w:name w:val="Balloon Text"/>
    <w:basedOn w:val="Normal"/>
    <w:link w:val="BalloonTextChar"/>
    <w:uiPriority w:val="99"/>
    <w:semiHidden/>
    <w:unhideWhenUsed/>
    <w:rsid w:val="00A514D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4DA"/>
    <w:rPr>
      <w:rFonts w:ascii="Segoe UI" w:hAnsi="Segoe UI" w:cs="Segoe UI"/>
      <w:sz w:val="18"/>
      <w:szCs w:val="18"/>
      <w:lang w:val="en-US"/>
    </w:rPr>
  </w:style>
  <w:style w:type="character" w:styleId="Strong">
    <w:name w:val="Strong"/>
    <w:basedOn w:val="DefaultParagraphFont"/>
    <w:uiPriority w:val="22"/>
    <w:qFormat/>
    <w:rsid w:val="00A514DA"/>
    <w:rPr>
      <w:b/>
      <w:bCs/>
    </w:rPr>
  </w:style>
  <w:style w:type="character" w:customStyle="1" w:styleId="UnresolvedMention2">
    <w:name w:val="Unresolved Mention2"/>
    <w:basedOn w:val="DefaultParagraphFont"/>
    <w:uiPriority w:val="99"/>
    <w:semiHidden/>
    <w:unhideWhenUsed/>
    <w:rsid w:val="00477E9D"/>
    <w:rPr>
      <w:color w:val="605E5C"/>
      <w:shd w:val="clear" w:color="auto" w:fill="E1DFDD"/>
    </w:rPr>
  </w:style>
  <w:style w:type="table" w:styleId="GridTable2-Accent1">
    <w:name w:val="Grid Table 2 Accent 1"/>
    <w:basedOn w:val="TableNormal"/>
    <w:uiPriority w:val="47"/>
    <w:rsid w:val="005028F2"/>
    <w:pPr>
      <w:spacing w:after="0" w:line="240" w:lineRule="auto"/>
    </w:pPr>
    <w:rPr>
      <w:kern w:val="0"/>
      <w:sz w:val="22"/>
      <w:szCs w:val="22"/>
      <w:lang w:val="en-US"/>
      <w14:ligatures w14:val="none"/>
    </w:rPr>
    <w:tblPr>
      <w:tblStyleRowBandSize w:val="1"/>
      <w:tblStyleColBandSize w:val="1"/>
      <w:tblInd w:w="0" w:type="nil"/>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2">
    <w:name w:val="Grid Table 2"/>
    <w:basedOn w:val="TableNormal"/>
    <w:uiPriority w:val="47"/>
    <w:rsid w:val="005028F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16">
    <w:name w:val="A16"/>
    <w:uiPriority w:val="99"/>
    <w:rsid w:val="00DB6689"/>
    <w:rPr>
      <w:rFonts w:cs="Franklin Gothic Demi"/>
      <w:b/>
      <w:bCs/>
      <w:color w:val="FFFFFF"/>
      <w:sz w:val="17"/>
      <w:szCs w:val="17"/>
    </w:rPr>
  </w:style>
  <w:style w:type="paragraph" w:styleId="NoSpacing">
    <w:name w:val="No Spacing"/>
    <w:link w:val="NoSpacingChar"/>
    <w:uiPriority w:val="1"/>
    <w:qFormat/>
    <w:rsid w:val="00E4128F"/>
    <w:pPr>
      <w:spacing w:after="0" w:line="240" w:lineRule="auto"/>
    </w:pPr>
    <w:rPr>
      <w:kern w:val="0"/>
      <w:sz w:val="22"/>
      <w:szCs w:val="22"/>
      <w:lang w:eastAsia="es-ES"/>
      <w14:ligatures w14:val="none"/>
    </w:rPr>
  </w:style>
  <w:style w:type="character" w:customStyle="1" w:styleId="NoSpacingChar">
    <w:name w:val="No Spacing Char"/>
    <w:basedOn w:val="DefaultParagraphFont"/>
    <w:link w:val="NoSpacing"/>
    <w:uiPriority w:val="1"/>
    <w:rsid w:val="00E4128F"/>
    <w:rPr>
      <w:rFonts w:eastAsiaTheme="minorEastAsia"/>
      <w:kern w:val="0"/>
      <w:sz w:val="22"/>
      <w:szCs w:val="22"/>
      <w:lang w:eastAsia="es-ES"/>
      <w14:ligatures w14:val="none"/>
    </w:rPr>
  </w:style>
  <w:style w:type="paragraph" w:styleId="TOCHeading">
    <w:name w:val="TOC Heading"/>
    <w:basedOn w:val="Heading1"/>
    <w:next w:val="Normal"/>
    <w:uiPriority w:val="39"/>
    <w:unhideWhenUsed/>
    <w:qFormat/>
    <w:rsid w:val="00492F15"/>
    <w:pPr>
      <w:spacing w:before="240" w:after="0" w:line="259" w:lineRule="auto"/>
      <w:outlineLvl w:val="9"/>
    </w:pPr>
    <w:rPr>
      <w:kern w:val="0"/>
      <w:sz w:val="32"/>
      <w:szCs w:val="32"/>
      <w:lang w:val="es-ES" w:eastAsia="es-ES"/>
      <w14:ligatures w14:val="none"/>
    </w:rPr>
  </w:style>
  <w:style w:type="paragraph" w:styleId="TOC3">
    <w:name w:val="toc 3"/>
    <w:basedOn w:val="Normal"/>
    <w:next w:val="Normal"/>
    <w:autoRedefine/>
    <w:uiPriority w:val="39"/>
    <w:unhideWhenUsed/>
    <w:rsid w:val="00492F15"/>
    <w:pPr>
      <w:spacing w:after="100"/>
      <w:ind w:left="440"/>
    </w:pPr>
  </w:style>
  <w:style w:type="paragraph" w:styleId="TableofFigures">
    <w:name w:val="table of figures"/>
    <w:basedOn w:val="Normal"/>
    <w:next w:val="Normal"/>
    <w:uiPriority w:val="99"/>
    <w:unhideWhenUsed/>
    <w:rsid w:val="00492F15"/>
    <w:pPr>
      <w:spacing w:after="0"/>
    </w:pPr>
  </w:style>
  <w:style w:type="table" w:customStyle="1" w:styleId="Tablanormal21">
    <w:name w:val="Tabla normal 21"/>
    <w:basedOn w:val="TableNormal"/>
    <w:next w:val="PlainTable2"/>
    <w:uiPriority w:val="42"/>
    <w:rsid w:val="003F3145"/>
    <w:pPr>
      <w:spacing w:after="0" w:line="240" w:lineRule="auto"/>
    </w:pPr>
    <w:rPr>
      <w:sz w:val="22"/>
      <w:szCs w:val="22"/>
      <w:lang w:val="en-IN"/>
    </w:rPr>
    <w:tblPr>
      <w:tblStyleRowBandSize w:val="1"/>
      <w:tblStyleColBandSize w:val="1"/>
      <w:tblBorders>
        <w:top w:val="single" w:sz="4" w:space="0" w:color="909090"/>
        <w:bottom w:val="single" w:sz="4" w:space="0" w:color="909090"/>
      </w:tblBorders>
    </w:tblPr>
    <w:tblStylePr w:type="firstRow">
      <w:rPr>
        <w:b/>
        <w:bCs/>
      </w:rPr>
      <w:tblPr/>
      <w:tcPr>
        <w:tcBorders>
          <w:bottom w:val="single" w:sz="4" w:space="0" w:color="909090"/>
        </w:tcBorders>
      </w:tcPr>
    </w:tblStylePr>
    <w:tblStylePr w:type="lastRow">
      <w:rPr>
        <w:b/>
        <w:bCs/>
      </w:rPr>
      <w:tblPr/>
      <w:tcPr>
        <w:tcBorders>
          <w:top w:val="single" w:sz="4" w:space="0" w:color="909090"/>
        </w:tcBorders>
      </w:tcPr>
    </w:tblStylePr>
    <w:tblStylePr w:type="firstCol">
      <w:rPr>
        <w:b/>
        <w:bCs/>
      </w:rPr>
    </w:tblStylePr>
    <w:tblStylePr w:type="lastCol">
      <w:rPr>
        <w:b/>
        <w:bCs/>
      </w:rPr>
    </w:tblStylePr>
    <w:tblStylePr w:type="band1Vert">
      <w:tblPr/>
      <w:tcPr>
        <w:tcBorders>
          <w:left w:val="single" w:sz="4" w:space="0" w:color="909090"/>
          <w:right w:val="single" w:sz="4" w:space="0" w:color="909090"/>
        </w:tcBorders>
      </w:tcPr>
    </w:tblStylePr>
    <w:tblStylePr w:type="band2Vert">
      <w:tblPr/>
      <w:tcPr>
        <w:tcBorders>
          <w:left w:val="single" w:sz="4" w:space="0" w:color="909090"/>
          <w:right w:val="single" w:sz="4" w:space="0" w:color="909090"/>
        </w:tcBorders>
      </w:tcPr>
    </w:tblStylePr>
    <w:tblStylePr w:type="band1Horz">
      <w:tblPr/>
      <w:tcPr>
        <w:tcBorders>
          <w:top w:val="single" w:sz="4" w:space="0" w:color="909090"/>
          <w:bottom w:val="single" w:sz="4" w:space="0" w:color="909090"/>
        </w:tcBorders>
      </w:tcPr>
    </w:tblStylePr>
  </w:style>
  <w:style w:type="table" w:styleId="PlainTable2">
    <w:name w:val="Plain Table 2"/>
    <w:basedOn w:val="TableNormal"/>
    <w:uiPriority w:val="42"/>
    <w:rsid w:val="003F31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1">
    <w:name w:val="toc 1"/>
    <w:basedOn w:val="Normal"/>
    <w:next w:val="Normal"/>
    <w:autoRedefine/>
    <w:uiPriority w:val="39"/>
    <w:unhideWhenUsed/>
    <w:rsid w:val="0078019D"/>
    <w:pPr>
      <w:spacing w:after="100"/>
    </w:pPr>
  </w:style>
  <w:style w:type="paragraph" w:styleId="TOC2">
    <w:name w:val="toc 2"/>
    <w:basedOn w:val="Normal"/>
    <w:next w:val="Normal"/>
    <w:autoRedefine/>
    <w:uiPriority w:val="39"/>
    <w:unhideWhenUsed/>
    <w:rsid w:val="0078019D"/>
    <w:pPr>
      <w:spacing w:after="100"/>
      <w:ind w:left="220"/>
    </w:pPr>
  </w:style>
  <w:style w:type="character" w:styleId="FollowedHyperlink">
    <w:name w:val="FollowedHyperlink"/>
    <w:basedOn w:val="DefaultParagraphFont"/>
    <w:uiPriority w:val="99"/>
    <w:semiHidden/>
    <w:unhideWhenUsed/>
    <w:rsid w:val="005A4DE2"/>
    <w:rPr>
      <w:color w:val="96607D" w:themeColor="followedHyperlink"/>
      <w:u w:val="single"/>
    </w:rPr>
  </w:style>
  <w:style w:type="table" w:customStyle="1" w:styleId="GridTable1Light-Accent51">
    <w:name w:val="Grid Table 1 Light - Accent 51"/>
    <w:basedOn w:val="TableNormal"/>
    <w:next w:val="GridTable1Light-Accent5"/>
    <w:uiPriority w:val="46"/>
    <w:rsid w:val="00A36696"/>
    <w:pPr>
      <w:spacing w:after="0" w:line="240" w:lineRule="auto"/>
    </w:pPr>
    <w:rPr>
      <w:kern w:val="0"/>
      <w:sz w:val="22"/>
      <w:szCs w:val="22"/>
      <w:lang w:val="en-GB"/>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36696"/>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customStyle="1" w:styleId="Tablaconcuadrcula1">
    <w:name w:val="Tabla con cuadrícula1"/>
    <w:basedOn w:val="TableNormal"/>
    <w:next w:val="TableGrid"/>
    <w:uiPriority w:val="39"/>
    <w:rsid w:val="00E03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39"/>
    <w:rsid w:val="00B45AB9"/>
    <w:pPr>
      <w:spacing w:after="0" w:line="240" w:lineRule="auto"/>
    </w:pPr>
    <w:rPr>
      <w:rFonts w:ascii="Aptos" w:eastAsia="Aptos"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D0672"/>
    <w:pPr>
      <w:autoSpaceDE w:val="0"/>
      <w:autoSpaceDN w:val="0"/>
      <w:adjustRightInd w:val="0"/>
      <w:spacing w:after="0" w:line="240" w:lineRule="auto"/>
    </w:pPr>
    <w:rPr>
      <w:rFonts w:ascii="Times New Roman" w:hAnsi="Times New Roman" w:cs="Times New Roman"/>
      <w:color w:val="000000"/>
      <w:kern w:val="0"/>
      <w:lang w:val="en-US" w:eastAsia="ja-JP"/>
    </w:rPr>
  </w:style>
  <w:style w:type="character" w:customStyle="1" w:styleId="UnresolvedMention">
    <w:name w:val="Unresolved Mention"/>
    <w:basedOn w:val="DefaultParagraphFont"/>
    <w:uiPriority w:val="99"/>
    <w:semiHidden/>
    <w:unhideWhenUsed/>
    <w:rsid w:val="00197405"/>
    <w:rPr>
      <w:color w:val="605E5C"/>
      <w:shd w:val="clear" w:color="auto" w:fill="E1DFDD"/>
    </w:rPr>
  </w:style>
  <w:style w:type="table" w:styleId="TableGridLight">
    <w:name w:val="Grid Table Light"/>
    <w:basedOn w:val="TableNormal"/>
    <w:uiPriority w:val="40"/>
    <w:rsid w:val="008244CF"/>
    <w:pPr>
      <w:spacing w:before="120" w:after="0" w:line="240" w:lineRule="auto"/>
    </w:pPr>
    <w:rPr>
      <w:rFonts w:ascii="Aptos" w:eastAsia="Aptos" w:hAnsi="Aptos" w:cs="Aptos"/>
      <w:kern w:val="0"/>
      <w:sz w:val="22"/>
      <w:szCs w:val="22"/>
      <w:lang w:val="en" w:eastAsia="ja-JP"/>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4211">
      <w:bodyDiv w:val="1"/>
      <w:marLeft w:val="0"/>
      <w:marRight w:val="0"/>
      <w:marTop w:val="0"/>
      <w:marBottom w:val="0"/>
      <w:divBdr>
        <w:top w:val="none" w:sz="0" w:space="0" w:color="auto"/>
        <w:left w:val="none" w:sz="0" w:space="0" w:color="auto"/>
        <w:bottom w:val="none" w:sz="0" w:space="0" w:color="auto"/>
        <w:right w:val="none" w:sz="0" w:space="0" w:color="auto"/>
      </w:divBdr>
    </w:div>
    <w:div w:id="4747431">
      <w:bodyDiv w:val="1"/>
      <w:marLeft w:val="0"/>
      <w:marRight w:val="0"/>
      <w:marTop w:val="0"/>
      <w:marBottom w:val="0"/>
      <w:divBdr>
        <w:top w:val="none" w:sz="0" w:space="0" w:color="auto"/>
        <w:left w:val="none" w:sz="0" w:space="0" w:color="auto"/>
        <w:bottom w:val="none" w:sz="0" w:space="0" w:color="auto"/>
        <w:right w:val="none" w:sz="0" w:space="0" w:color="auto"/>
      </w:divBdr>
    </w:div>
    <w:div w:id="9377947">
      <w:bodyDiv w:val="1"/>
      <w:marLeft w:val="0"/>
      <w:marRight w:val="0"/>
      <w:marTop w:val="0"/>
      <w:marBottom w:val="0"/>
      <w:divBdr>
        <w:top w:val="none" w:sz="0" w:space="0" w:color="auto"/>
        <w:left w:val="none" w:sz="0" w:space="0" w:color="auto"/>
        <w:bottom w:val="none" w:sz="0" w:space="0" w:color="auto"/>
        <w:right w:val="none" w:sz="0" w:space="0" w:color="auto"/>
      </w:divBdr>
    </w:div>
    <w:div w:id="11341357">
      <w:bodyDiv w:val="1"/>
      <w:marLeft w:val="0"/>
      <w:marRight w:val="0"/>
      <w:marTop w:val="0"/>
      <w:marBottom w:val="0"/>
      <w:divBdr>
        <w:top w:val="none" w:sz="0" w:space="0" w:color="auto"/>
        <w:left w:val="none" w:sz="0" w:space="0" w:color="auto"/>
        <w:bottom w:val="none" w:sz="0" w:space="0" w:color="auto"/>
        <w:right w:val="none" w:sz="0" w:space="0" w:color="auto"/>
      </w:divBdr>
    </w:div>
    <w:div w:id="18699773">
      <w:bodyDiv w:val="1"/>
      <w:marLeft w:val="0"/>
      <w:marRight w:val="0"/>
      <w:marTop w:val="0"/>
      <w:marBottom w:val="0"/>
      <w:divBdr>
        <w:top w:val="none" w:sz="0" w:space="0" w:color="auto"/>
        <w:left w:val="none" w:sz="0" w:space="0" w:color="auto"/>
        <w:bottom w:val="none" w:sz="0" w:space="0" w:color="auto"/>
        <w:right w:val="none" w:sz="0" w:space="0" w:color="auto"/>
      </w:divBdr>
      <w:divsChild>
        <w:div w:id="339092002">
          <w:marLeft w:val="0"/>
          <w:marRight w:val="0"/>
          <w:marTop w:val="0"/>
          <w:marBottom w:val="0"/>
          <w:divBdr>
            <w:top w:val="none" w:sz="0" w:space="0" w:color="auto"/>
            <w:left w:val="none" w:sz="0" w:space="0" w:color="auto"/>
            <w:bottom w:val="none" w:sz="0" w:space="0" w:color="auto"/>
            <w:right w:val="none" w:sz="0" w:space="0" w:color="auto"/>
          </w:divBdr>
          <w:divsChild>
            <w:div w:id="2051106180">
              <w:marLeft w:val="0"/>
              <w:marRight w:val="0"/>
              <w:marTop w:val="0"/>
              <w:marBottom w:val="0"/>
              <w:divBdr>
                <w:top w:val="none" w:sz="0" w:space="0" w:color="auto"/>
                <w:left w:val="none" w:sz="0" w:space="0" w:color="auto"/>
                <w:bottom w:val="none" w:sz="0" w:space="0" w:color="auto"/>
                <w:right w:val="none" w:sz="0" w:space="0" w:color="auto"/>
              </w:divBdr>
              <w:divsChild>
                <w:div w:id="1015420612">
                  <w:marLeft w:val="0"/>
                  <w:marRight w:val="0"/>
                  <w:marTop w:val="0"/>
                  <w:marBottom w:val="0"/>
                  <w:divBdr>
                    <w:top w:val="none" w:sz="0" w:space="0" w:color="auto"/>
                    <w:left w:val="none" w:sz="0" w:space="0" w:color="auto"/>
                    <w:bottom w:val="none" w:sz="0" w:space="0" w:color="auto"/>
                    <w:right w:val="none" w:sz="0" w:space="0" w:color="auto"/>
                  </w:divBdr>
                  <w:divsChild>
                    <w:div w:id="1949972459">
                      <w:marLeft w:val="0"/>
                      <w:marRight w:val="0"/>
                      <w:marTop w:val="0"/>
                      <w:marBottom w:val="0"/>
                      <w:divBdr>
                        <w:top w:val="none" w:sz="0" w:space="0" w:color="auto"/>
                        <w:left w:val="none" w:sz="0" w:space="0" w:color="auto"/>
                        <w:bottom w:val="none" w:sz="0" w:space="0" w:color="auto"/>
                        <w:right w:val="none" w:sz="0" w:space="0" w:color="auto"/>
                      </w:divBdr>
                      <w:divsChild>
                        <w:div w:id="1912158392">
                          <w:marLeft w:val="0"/>
                          <w:marRight w:val="0"/>
                          <w:marTop w:val="0"/>
                          <w:marBottom w:val="0"/>
                          <w:divBdr>
                            <w:top w:val="none" w:sz="0" w:space="0" w:color="auto"/>
                            <w:left w:val="none" w:sz="0" w:space="0" w:color="auto"/>
                            <w:bottom w:val="none" w:sz="0" w:space="0" w:color="auto"/>
                            <w:right w:val="none" w:sz="0" w:space="0" w:color="auto"/>
                          </w:divBdr>
                          <w:divsChild>
                            <w:div w:id="859588306">
                              <w:marLeft w:val="0"/>
                              <w:marRight w:val="0"/>
                              <w:marTop w:val="0"/>
                              <w:marBottom w:val="0"/>
                              <w:divBdr>
                                <w:top w:val="none" w:sz="0" w:space="0" w:color="auto"/>
                                <w:left w:val="none" w:sz="0" w:space="0" w:color="auto"/>
                                <w:bottom w:val="none" w:sz="0" w:space="0" w:color="auto"/>
                                <w:right w:val="none" w:sz="0" w:space="0" w:color="auto"/>
                              </w:divBdr>
                              <w:divsChild>
                                <w:div w:id="1672370771">
                                  <w:marLeft w:val="0"/>
                                  <w:marRight w:val="0"/>
                                  <w:marTop w:val="0"/>
                                  <w:marBottom w:val="0"/>
                                  <w:divBdr>
                                    <w:top w:val="none" w:sz="0" w:space="0" w:color="auto"/>
                                    <w:left w:val="none" w:sz="0" w:space="0" w:color="auto"/>
                                    <w:bottom w:val="none" w:sz="0" w:space="0" w:color="auto"/>
                                    <w:right w:val="none" w:sz="0" w:space="0" w:color="auto"/>
                                  </w:divBdr>
                                  <w:divsChild>
                                    <w:div w:id="98462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07150">
      <w:bodyDiv w:val="1"/>
      <w:marLeft w:val="0"/>
      <w:marRight w:val="0"/>
      <w:marTop w:val="0"/>
      <w:marBottom w:val="0"/>
      <w:divBdr>
        <w:top w:val="none" w:sz="0" w:space="0" w:color="auto"/>
        <w:left w:val="none" w:sz="0" w:space="0" w:color="auto"/>
        <w:bottom w:val="none" w:sz="0" w:space="0" w:color="auto"/>
        <w:right w:val="none" w:sz="0" w:space="0" w:color="auto"/>
      </w:divBdr>
    </w:div>
    <w:div w:id="24868554">
      <w:bodyDiv w:val="1"/>
      <w:marLeft w:val="0"/>
      <w:marRight w:val="0"/>
      <w:marTop w:val="0"/>
      <w:marBottom w:val="0"/>
      <w:divBdr>
        <w:top w:val="none" w:sz="0" w:space="0" w:color="auto"/>
        <w:left w:val="none" w:sz="0" w:space="0" w:color="auto"/>
        <w:bottom w:val="none" w:sz="0" w:space="0" w:color="auto"/>
        <w:right w:val="none" w:sz="0" w:space="0" w:color="auto"/>
      </w:divBdr>
    </w:div>
    <w:div w:id="24988833">
      <w:bodyDiv w:val="1"/>
      <w:marLeft w:val="0"/>
      <w:marRight w:val="0"/>
      <w:marTop w:val="0"/>
      <w:marBottom w:val="0"/>
      <w:divBdr>
        <w:top w:val="none" w:sz="0" w:space="0" w:color="auto"/>
        <w:left w:val="none" w:sz="0" w:space="0" w:color="auto"/>
        <w:bottom w:val="none" w:sz="0" w:space="0" w:color="auto"/>
        <w:right w:val="none" w:sz="0" w:space="0" w:color="auto"/>
      </w:divBdr>
    </w:div>
    <w:div w:id="36853399">
      <w:bodyDiv w:val="1"/>
      <w:marLeft w:val="0"/>
      <w:marRight w:val="0"/>
      <w:marTop w:val="0"/>
      <w:marBottom w:val="0"/>
      <w:divBdr>
        <w:top w:val="none" w:sz="0" w:space="0" w:color="auto"/>
        <w:left w:val="none" w:sz="0" w:space="0" w:color="auto"/>
        <w:bottom w:val="none" w:sz="0" w:space="0" w:color="auto"/>
        <w:right w:val="none" w:sz="0" w:space="0" w:color="auto"/>
      </w:divBdr>
    </w:div>
    <w:div w:id="37902708">
      <w:bodyDiv w:val="1"/>
      <w:marLeft w:val="0"/>
      <w:marRight w:val="0"/>
      <w:marTop w:val="0"/>
      <w:marBottom w:val="0"/>
      <w:divBdr>
        <w:top w:val="none" w:sz="0" w:space="0" w:color="auto"/>
        <w:left w:val="none" w:sz="0" w:space="0" w:color="auto"/>
        <w:bottom w:val="none" w:sz="0" w:space="0" w:color="auto"/>
        <w:right w:val="none" w:sz="0" w:space="0" w:color="auto"/>
      </w:divBdr>
    </w:div>
    <w:div w:id="42558500">
      <w:bodyDiv w:val="1"/>
      <w:marLeft w:val="0"/>
      <w:marRight w:val="0"/>
      <w:marTop w:val="0"/>
      <w:marBottom w:val="0"/>
      <w:divBdr>
        <w:top w:val="none" w:sz="0" w:space="0" w:color="auto"/>
        <w:left w:val="none" w:sz="0" w:space="0" w:color="auto"/>
        <w:bottom w:val="none" w:sz="0" w:space="0" w:color="auto"/>
        <w:right w:val="none" w:sz="0" w:space="0" w:color="auto"/>
      </w:divBdr>
    </w:div>
    <w:div w:id="49430190">
      <w:bodyDiv w:val="1"/>
      <w:marLeft w:val="0"/>
      <w:marRight w:val="0"/>
      <w:marTop w:val="0"/>
      <w:marBottom w:val="0"/>
      <w:divBdr>
        <w:top w:val="none" w:sz="0" w:space="0" w:color="auto"/>
        <w:left w:val="none" w:sz="0" w:space="0" w:color="auto"/>
        <w:bottom w:val="none" w:sz="0" w:space="0" w:color="auto"/>
        <w:right w:val="none" w:sz="0" w:space="0" w:color="auto"/>
      </w:divBdr>
    </w:div>
    <w:div w:id="56443024">
      <w:bodyDiv w:val="1"/>
      <w:marLeft w:val="0"/>
      <w:marRight w:val="0"/>
      <w:marTop w:val="0"/>
      <w:marBottom w:val="0"/>
      <w:divBdr>
        <w:top w:val="none" w:sz="0" w:space="0" w:color="auto"/>
        <w:left w:val="none" w:sz="0" w:space="0" w:color="auto"/>
        <w:bottom w:val="none" w:sz="0" w:space="0" w:color="auto"/>
        <w:right w:val="none" w:sz="0" w:space="0" w:color="auto"/>
      </w:divBdr>
    </w:div>
    <w:div w:id="63721791">
      <w:bodyDiv w:val="1"/>
      <w:marLeft w:val="0"/>
      <w:marRight w:val="0"/>
      <w:marTop w:val="0"/>
      <w:marBottom w:val="0"/>
      <w:divBdr>
        <w:top w:val="none" w:sz="0" w:space="0" w:color="auto"/>
        <w:left w:val="none" w:sz="0" w:space="0" w:color="auto"/>
        <w:bottom w:val="none" w:sz="0" w:space="0" w:color="auto"/>
        <w:right w:val="none" w:sz="0" w:space="0" w:color="auto"/>
      </w:divBdr>
    </w:div>
    <w:div w:id="68314098">
      <w:bodyDiv w:val="1"/>
      <w:marLeft w:val="0"/>
      <w:marRight w:val="0"/>
      <w:marTop w:val="0"/>
      <w:marBottom w:val="0"/>
      <w:divBdr>
        <w:top w:val="none" w:sz="0" w:space="0" w:color="auto"/>
        <w:left w:val="none" w:sz="0" w:space="0" w:color="auto"/>
        <w:bottom w:val="none" w:sz="0" w:space="0" w:color="auto"/>
        <w:right w:val="none" w:sz="0" w:space="0" w:color="auto"/>
      </w:divBdr>
    </w:div>
    <w:div w:id="68814713">
      <w:bodyDiv w:val="1"/>
      <w:marLeft w:val="0"/>
      <w:marRight w:val="0"/>
      <w:marTop w:val="0"/>
      <w:marBottom w:val="0"/>
      <w:divBdr>
        <w:top w:val="none" w:sz="0" w:space="0" w:color="auto"/>
        <w:left w:val="none" w:sz="0" w:space="0" w:color="auto"/>
        <w:bottom w:val="none" w:sz="0" w:space="0" w:color="auto"/>
        <w:right w:val="none" w:sz="0" w:space="0" w:color="auto"/>
      </w:divBdr>
    </w:div>
    <w:div w:id="70935170">
      <w:bodyDiv w:val="1"/>
      <w:marLeft w:val="0"/>
      <w:marRight w:val="0"/>
      <w:marTop w:val="0"/>
      <w:marBottom w:val="0"/>
      <w:divBdr>
        <w:top w:val="none" w:sz="0" w:space="0" w:color="auto"/>
        <w:left w:val="none" w:sz="0" w:space="0" w:color="auto"/>
        <w:bottom w:val="none" w:sz="0" w:space="0" w:color="auto"/>
        <w:right w:val="none" w:sz="0" w:space="0" w:color="auto"/>
      </w:divBdr>
    </w:div>
    <w:div w:id="77944194">
      <w:bodyDiv w:val="1"/>
      <w:marLeft w:val="0"/>
      <w:marRight w:val="0"/>
      <w:marTop w:val="0"/>
      <w:marBottom w:val="0"/>
      <w:divBdr>
        <w:top w:val="none" w:sz="0" w:space="0" w:color="auto"/>
        <w:left w:val="none" w:sz="0" w:space="0" w:color="auto"/>
        <w:bottom w:val="none" w:sz="0" w:space="0" w:color="auto"/>
        <w:right w:val="none" w:sz="0" w:space="0" w:color="auto"/>
      </w:divBdr>
    </w:div>
    <w:div w:id="79956078">
      <w:bodyDiv w:val="1"/>
      <w:marLeft w:val="0"/>
      <w:marRight w:val="0"/>
      <w:marTop w:val="0"/>
      <w:marBottom w:val="0"/>
      <w:divBdr>
        <w:top w:val="none" w:sz="0" w:space="0" w:color="auto"/>
        <w:left w:val="none" w:sz="0" w:space="0" w:color="auto"/>
        <w:bottom w:val="none" w:sz="0" w:space="0" w:color="auto"/>
        <w:right w:val="none" w:sz="0" w:space="0" w:color="auto"/>
      </w:divBdr>
    </w:div>
    <w:div w:id="81150451">
      <w:bodyDiv w:val="1"/>
      <w:marLeft w:val="0"/>
      <w:marRight w:val="0"/>
      <w:marTop w:val="0"/>
      <w:marBottom w:val="0"/>
      <w:divBdr>
        <w:top w:val="none" w:sz="0" w:space="0" w:color="auto"/>
        <w:left w:val="none" w:sz="0" w:space="0" w:color="auto"/>
        <w:bottom w:val="none" w:sz="0" w:space="0" w:color="auto"/>
        <w:right w:val="none" w:sz="0" w:space="0" w:color="auto"/>
      </w:divBdr>
    </w:div>
    <w:div w:id="84544177">
      <w:bodyDiv w:val="1"/>
      <w:marLeft w:val="0"/>
      <w:marRight w:val="0"/>
      <w:marTop w:val="0"/>
      <w:marBottom w:val="0"/>
      <w:divBdr>
        <w:top w:val="none" w:sz="0" w:space="0" w:color="auto"/>
        <w:left w:val="none" w:sz="0" w:space="0" w:color="auto"/>
        <w:bottom w:val="none" w:sz="0" w:space="0" w:color="auto"/>
        <w:right w:val="none" w:sz="0" w:space="0" w:color="auto"/>
      </w:divBdr>
      <w:divsChild>
        <w:div w:id="825825392">
          <w:marLeft w:val="346"/>
          <w:marRight w:val="0"/>
          <w:marTop w:val="60"/>
          <w:marBottom w:val="60"/>
          <w:divBdr>
            <w:top w:val="none" w:sz="0" w:space="0" w:color="auto"/>
            <w:left w:val="none" w:sz="0" w:space="0" w:color="auto"/>
            <w:bottom w:val="none" w:sz="0" w:space="0" w:color="auto"/>
            <w:right w:val="none" w:sz="0" w:space="0" w:color="auto"/>
          </w:divBdr>
        </w:div>
      </w:divsChild>
    </w:div>
    <w:div w:id="84612224">
      <w:bodyDiv w:val="1"/>
      <w:marLeft w:val="0"/>
      <w:marRight w:val="0"/>
      <w:marTop w:val="0"/>
      <w:marBottom w:val="0"/>
      <w:divBdr>
        <w:top w:val="none" w:sz="0" w:space="0" w:color="auto"/>
        <w:left w:val="none" w:sz="0" w:space="0" w:color="auto"/>
        <w:bottom w:val="none" w:sz="0" w:space="0" w:color="auto"/>
        <w:right w:val="none" w:sz="0" w:space="0" w:color="auto"/>
      </w:divBdr>
    </w:div>
    <w:div w:id="89744797">
      <w:bodyDiv w:val="1"/>
      <w:marLeft w:val="0"/>
      <w:marRight w:val="0"/>
      <w:marTop w:val="0"/>
      <w:marBottom w:val="0"/>
      <w:divBdr>
        <w:top w:val="none" w:sz="0" w:space="0" w:color="auto"/>
        <w:left w:val="none" w:sz="0" w:space="0" w:color="auto"/>
        <w:bottom w:val="none" w:sz="0" w:space="0" w:color="auto"/>
        <w:right w:val="none" w:sz="0" w:space="0" w:color="auto"/>
      </w:divBdr>
    </w:div>
    <w:div w:id="90861780">
      <w:bodyDiv w:val="1"/>
      <w:marLeft w:val="0"/>
      <w:marRight w:val="0"/>
      <w:marTop w:val="0"/>
      <w:marBottom w:val="0"/>
      <w:divBdr>
        <w:top w:val="none" w:sz="0" w:space="0" w:color="auto"/>
        <w:left w:val="none" w:sz="0" w:space="0" w:color="auto"/>
        <w:bottom w:val="none" w:sz="0" w:space="0" w:color="auto"/>
        <w:right w:val="none" w:sz="0" w:space="0" w:color="auto"/>
      </w:divBdr>
    </w:div>
    <w:div w:id="96603618">
      <w:bodyDiv w:val="1"/>
      <w:marLeft w:val="0"/>
      <w:marRight w:val="0"/>
      <w:marTop w:val="0"/>
      <w:marBottom w:val="0"/>
      <w:divBdr>
        <w:top w:val="none" w:sz="0" w:space="0" w:color="auto"/>
        <w:left w:val="none" w:sz="0" w:space="0" w:color="auto"/>
        <w:bottom w:val="none" w:sz="0" w:space="0" w:color="auto"/>
        <w:right w:val="none" w:sz="0" w:space="0" w:color="auto"/>
      </w:divBdr>
    </w:div>
    <w:div w:id="97799533">
      <w:bodyDiv w:val="1"/>
      <w:marLeft w:val="0"/>
      <w:marRight w:val="0"/>
      <w:marTop w:val="0"/>
      <w:marBottom w:val="0"/>
      <w:divBdr>
        <w:top w:val="none" w:sz="0" w:space="0" w:color="auto"/>
        <w:left w:val="none" w:sz="0" w:space="0" w:color="auto"/>
        <w:bottom w:val="none" w:sz="0" w:space="0" w:color="auto"/>
        <w:right w:val="none" w:sz="0" w:space="0" w:color="auto"/>
      </w:divBdr>
    </w:div>
    <w:div w:id="99300434">
      <w:bodyDiv w:val="1"/>
      <w:marLeft w:val="0"/>
      <w:marRight w:val="0"/>
      <w:marTop w:val="0"/>
      <w:marBottom w:val="0"/>
      <w:divBdr>
        <w:top w:val="none" w:sz="0" w:space="0" w:color="auto"/>
        <w:left w:val="none" w:sz="0" w:space="0" w:color="auto"/>
        <w:bottom w:val="none" w:sz="0" w:space="0" w:color="auto"/>
        <w:right w:val="none" w:sz="0" w:space="0" w:color="auto"/>
      </w:divBdr>
    </w:div>
    <w:div w:id="104933080">
      <w:bodyDiv w:val="1"/>
      <w:marLeft w:val="0"/>
      <w:marRight w:val="0"/>
      <w:marTop w:val="0"/>
      <w:marBottom w:val="0"/>
      <w:divBdr>
        <w:top w:val="none" w:sz="0" w:space="0" w:color="auto"/>
        <w:left w:val="none" w:sz="0" w:space="0" w:color="auto"/>
        <w:bottom w:val="none" w:sz="0" w:space="0" w:color="auto"/>
        <w:right w:val="none" w:sz="0" w:space="0" w:color="auto"/>
      </w:divBdr>
    </w:div>
    <w:div w:id="114956486">
      <w:bodyDiv w:val="1"/>
      <w:marLeft w:val="0"/>
      <w:marRight w:val="0"/>
      <w:marTop w:val="0"/>
      <w:marBottom w:val="0"/>
      <w:divBdr>
        <w:top w:val="none" w:sz="0" w:space="0" w:color="auto"/>
        <w:left w:val="none" w:sz="0" w:space="0" w:color="auto"/>
        <w:bottom w:val="none" w:sz="0" w:space="0" w:color="auto"/>
        <w:right w:val="none" w:sz="0" w:space="0" w:color="auto"/>
      </w:divBdr>
    </w:div>
    <w:div w:id="117724436">
      <w:bodyDiv w:val="1"/>
      <w:marLeft w:val="0"/>
      <w:marRight w:val="0"/>
      <w:marTop w:val="0"/>
      <w:marBottom w:val="0"/>
      <w:divBdr>
        <w:top w:val="none" w:sz="0" w:space="0" w:color="auto"/>
        <w:left w:val="none" w:sz="0" w:space="0" w:color="auto"/>
        <w:bottom w:val="none" w:sz="0" w:space="0" w:color="auto"/>
        <w:right w:val="none" w:sz="0" w:space="0" w:color="auto"/>
      </w:divBdr>
    </w:div>
    <w:div w:id="122116902">
      <w:bodyDiv w:val="1"/>
      <w:marLeft w:val="0"/>
      <w:marRight w:val="0"/>
      <w:marTop w:val="0"/>
      <w:marBottom w:val="0"/>
      <w:divBdr>
        <w:top w:val="none" w:sz="0" w:space="0" w:color="auto"/>
        <w:left w:val="none" w:sz="0" w:space="0" w:color="auto"/>
        <w:bottom w:val="none" w:sz="0" w:space="0" w:color="auto"/>
        <w:right w:val="none" w:sz="0" w:space="0" w:color="auto"/>
      </w:divBdr>
    </w:div>
    <w:div w:id="122507442">
      <w:bodyDiv w:val="1"/>
      <w:marLeft w:val="0"/>
      <w:marRight w:val="0"/>
      <w:marTop w:val="0"/>
      <w:marBottom w:val="0"/>
      <w:divBdr>
        <w:top w:val="none" w:sz="0" w:space="0" w:color="auto"/>
        <w:left w:val="none" w:sz="0" w:space="0" w:color="auto"/>
        <w:bottom w:val="none" w:sz="0" w:space="0" w:color="auto"/>
        <w:right w:val="none" w:sz="0" w:space="0" w:color="auto"/>
      </w:divBdr>
    </w:div>
    <w:div w:id="127355813">
      <w:bodyDiv w:val="1"/>
      <w:marLeft w:val="0"/>
      <w:marRight w:val="0"/>
      <w:marTop w:val="0"/>
      <w:marBottom w:val="0"/>
      <w:divBdr>
        <w:top w:val="none" w:sz="0" w:space="0" w:color="auto"/>
        <w:left w:val="none" w:sz="0" w:space="0" w:color="auto"/>
        <w:bottom w:val="none" w:sz="0" w:space="0" w:color="auto"/>
        <w:right w:val="none" w:sz="0" w:space="0" w:color="auto"/>
      </w:divBdr>
    </w:div>
    <w:div w:id="128672587">
      <w:bodyDiv w:val="1"/>
      <w:marLeft w:val="0"/>
      <w:marRight w:val="0"/>
      <w:marTop w:val="0"/>
      <w:marBottom w:val="0"/>
      <w:divBdr>
        <w:top w:val="none" w:sz="0" w:space="0" w:color="auto"/>
        <w:left w:val="none" w:sz="0" w:space="0" w:color="auto"/>
        <w:bottom w:val="none" w:sz="0" w:space="0" w:color="auto"/>
        <w:right w:val="none" w:sz="0" w:space="0" w:color="auto"/>
      </w:divBdr>
    </w:div>
    <w:div w:id="137192471">
      <w:bodyDiv w:val="1"/>
      <w:marLeft w:val="0"/>
      <w:marRight w:val="0"/>
      <w:marTop w:val="0"/>
      <w:marBottom w:val="0"/>
      <w:divBdr>
        <w:top w:val="none" w:sz="0" w:space="0" w:color="auto"/>
        <w:left w:val="none" w:sz="0" w:space="0" w:color="auto"/>
        <w:bottom w:val="none" w:sz="0" w:space="0" w:color="auto"/>
        <w:right w:val="none" w:sz="0" w:space="0" w:color="auto"/>
      </w:divBdr>
    </w:div>
    <w:div w:id="138227777">
      <w:bodyDiv w:val="1"/>
      <w:marLeft w:val="0"/>
      <w:marRight w:val="0"/>
      <w:marTop w:val="0"/>
      <w:marBottom w:val="0"/>
      <w:divBdr>
        <w:top w:val="none" w:sz="0" w:space="0" w:color="auto"/>
        <w:left w:val="none" w:sz="0" w:space="0" w:color="auto"/>
        <w:bottom w:val="none" w:sz="0" w:space="0" w:color="auto"/>
        <w:right w:val="none" w:sz="0" w:space="0" w:color="auto"/>
      </w:divBdr>
    </w:div>
    <w:div w:id="144662764">
      <w:bodyDiv w:val="1"/>
      <w:marLeft w:val="0"/>
      <w:marRight w:val="0"/>
      <w:marTop w:val="0"/>
      <w:marBottom w:val="0"/>
      <w:divBdr>
        <w:top w:val="none" w:sz="0" w:space="0" w:color="auto"/>
        <w:left w:val="none" w:sz="0" w:space="0" w:color="auto"/>
        <w:bottom w:val="none" w:sz="0" w:space="0" w:color="auto"/>
        <w:right w:val="none" w:sz="0" w:space="0" w:color="auto"/>
      </w:divBdr>
    </w:div>
    <w:div w:id="144667465">
      <w:bodyDiv w:val="1"/>
      <w:marLeft w:val="0"/>
      <w:marRight w:val="0"/>
      <w:marTop w:val="0"/>
      <w:marBottom w:val="0"/>
      <w:divBdr>
        <w:top w:val="none" w:sz="0" w:space="0" w:color="auto"/>
        <w:left w:val="none" w:sz="0" w:space="0" w:color="auto"/>
        <w:bottom w:val="none" w:sz="0" w:space="0" w:color="auto"/>
        <w:right w:val="none" w:sz="0" w:space="0" w:color="auto"/>
      </w:divBdr>
    </w:div>
    <w:div w:id="148792744">
      <w:bodyDiv w:val="1"/>
      <w:marLeft w:val="0"/>
      <w:marRight w:val="0"/>
      <w:marTop w:val="0"/>
      <w:marBottom w:val="0"/>
      <w:divBdr>
        <w:top w:val="none" w:sz="0" w:space="0" w:color="auto"/>
        <w:left w:val="none" w:sz="0" w:space="0" w:color="auto"/>
        <w:bottom w:val="none" w:sz="0" w:space="0" w:color="auto"/>
        <w:right w:val="none" w:sz="0" w:space="0" w:color="auto"/>
      </w:divBdr>
    </w:div>
    <w:div w:id="153763276">
      <w:bodyDiv w:val="1"/>
      <w:marLeft w:val="0"/>
      <w:marRight w:val="0"/>
      <w:marTop w:val="0"/>
      <w:marBottom w:val="0"/>
      <w:divBdr>
        <w:top w:val="none" w:sz="0" w:space="0" w:color="auto"/>
        <w:left w:val="none" w:sz="0" w:space="0" w:color="auto"/>
        <w:bottom w:val="none" w:sz="0" w:space="0" w:color="auto"/>
        <w:right w:val="none" w:sz="0" w:space="0" w:color="auto"/>
      </w:divBdr>
    </w:div>
    <w:div w:id="159660149">
      <w:bodyDiv w:val="1"/>
      <w:marLeft w:val="0"/>
      <w:marRight w:val="0"/>
      <w:marTop w:val="0"/>
      <w:marBottom w:val="0"/>
      <w:divBdr>
        <w:top w:val="none" w:sz="0" w:space="0" w:color="auto"/>
        <w:left w:val="none" w:sz="0" w:space="0" w:color="auto"/>
        <w:bottom w:val="none" w:sz="0" w:space="0" w:color="auto"/>
        <w:right w:val="none" w:sz="0" w:space="0" w:color="auto"/>
      </w:divBdr>
    </w:div>
    <w:div w:id="162936458">
      <w:bodyDiv w:val="1"/>
      <w:marLeft w:val="0"/>
      <w:marRight w:val="0"/>
      <w:marTop w:val="0"/>
      <w:marBottom w:val="0"/>
      <w:divBdr>
        <w:top w:val="none" w:sz="0" w:space="0" w:color="auto"/>
        <w:left w:val="none" w:sz="0" w:space="0" w:color="auto"/>
        <w:bottom w:val="none" w:sz="0" w:space="0" w:color="auto"/>
        <w:right w:val="none" w:sz="0" w:space="0" w:color="auto"/>
      </w:divBdr>
    </w:div>
    <w:div w:id="163517159">
      <w:bodyDiv w:val="1"/>
      <w:marLeft w:val="0"/>
      <w:marRight w:val="0"/>
      <w:marTop w:val="0"/>
      <w:marBottom w:val="0"/>
      <w:divBdr>
        <w:top w:val="none" w:sz="0" w:space="0" w:color="auto"/>
        <w:left w:val="none" w:sz="0" w:space="0" w:color="auto"/>
        <w:bottom w:val="none" w:sz="0" w:space="0" w:color="auto"/>
        <w:right w:val="none" w:sz="0" w:space="0" w:color="auto"/>
      </w:divBdr>
    </w:div>
    <w:div w:id="164782726">
      <w:bodyDiv w:val="1"/>
      <w:marLeft w:val="0"/>
      <w:marRight w:val="0"/>
      <w:marTop w:val="0"/>
      <w:marBottom w:val="0"/>
      <w:divBdr>
        <w:top w:val="none" w:sz="0" w:space="0" w:color="auto"/>
        <w:left w:val="none" w:sz="0" w:space="0" w:color="auto"/>
        <w:bottom w:val="none" w:sz="0" w:space="0" w:color="auto"/>
        <w:right w:val="none" w:sz="0" w:space="0" w:color="auto"/>
      </w:divBdr>
    </w:div>
    <w:div w:id="179903595">
      <w:bodyDiv w:val="1"/>
      <w:marLeft w:val="0"/>
      <w:marRight w:val="0"/>
      <w:marTop w:val="0"/>
      <w:marBottom w:val="0"/>
      <w:divBdr>
        <w:top w:val="none" w:sz="0" w:space="0" w:color="auto"/>
        <w:left w:val="none" w:sz="0" w:space="0" w:color="auto"/>
        <w:bottom w:val="none" w:sz="0" w:space="0" w:color="auto"/>
        <w:right w:val="none" w:sz="0" w:space="0" w:color="auto"/>
      </w:divBdr>
    </w:div>
    <w:div w:id="181365417">
      <w:bodyDiv w:val="1"/>
      <w:marLeft w:val="0"/>
      <w:marRight w:val="0"/>
      <w:marTop w:val="0"/>
      <w:marBottom w:val="0"/>
      <w:divBdr>
        <w:top w:val="none" w:sz="0" w:space="0" w:color="auto"/>
        <w:left w:val="none" w:sz="0" w:space="0" w:color="auto"/>
        <w:bottom w:val="none" w:sz="0" w:space="0" w:color="auto"/>
        <w:right w:val="none" w:sz="0" w:space="0" w:color="auto"/>
      </w:divBdr>
    </w:div>
    <w:div w:id="187105425">
      <w:bodyDiv w:val="1"/>
      <w:marLeft w:val="0"/>
      <w:marRight w:val="0"/>
      <w:marTop w:val="0"/>
      <w:marBottom w:val="0"/>
      <w:divBdr>
        <w:top w:val="none" w:sz="0" w:space="0" w:color="auto"/>
        <w:left w:val="none" w:sz="0" w:space="0" w:color="auto"/>
        <w:bottom w:val="none" w:sz="0" w:space="0" w:color="auto"/>
        <w:right w:val="none" w:sz="0" w:space="0" w:color="auto"/>
      </w:divBdr>
    </w:div>
    <w:div w:id="188418262">
      <w:bodyDiv w:val="1"/>
      <w:marLeft w:val="0"/>
      <w:marRight w:val="0"/>
      <w:marTop w:val="0"/>
      <w:marBottom w:val="0"/>
      <w:divBdr>
        <w:top w:val="none" w:sz="0" w:space="0" w:color="auto"/>
        <w:left w:val="none" w:sz="0" w:space="0" w:color="auto"/>
        <w:bottom w:val="none" w:sz="0" w:space="0" w:color="auto"/>
        <w:right w:val="none" w:sz="0" w:space="0" w:color="auto"/>
      </w:divBdr>
    </w:div>
    <w:div w:id="194273424">
      <w:bodyDiv w:val="1"/>
      <w:marLeft w:val="0"/>
      <w:marRight w:val="0"/>
      <w:marTop w:val="0"/>
      <w:marBottom w:val="0"/>
      <w:divBdr>
        <w:top w:val="none" w:sz="0" w:space="0" w:color="auto"/>
        <w:left w:val="none" w:sz="0" w:space="0" w:color="auto"/>
        <w:bottom w:val="none" w:sz="0" w:space="0" w:color="auto"/>
        <w:right w:val="none" w:sz="0" w:space="0" w:color="auto"/>
      </w:divBdr>
    </w:div>
    <w:div w:id="199054486">
      <w:bodyDiv w:val="1"/>
      <w:marLeft w:val="0"/>
      <w:marRight w:val="0"/>
      <w:marTop w:val="0"/>
      <w:marBottom w:val="0"/>
      <w:divBdr>
        <w:top w:val="none" w:sz="0" w:space="0" w:color="auto"/>
        <w:left w:val="none" w:sz="0" w:space="0" w:color="auto"/>
        <w:bottom w:val="none" w:sz="0" w:space="0" w:color="auto"/>
        <w:right w:val="none" w:sz="0" w:space="0" w:color="auto"/>
      </w:divBdr>
    </w:div>
    <w:div w:id="200823072">
      <w:bodyDiv w:val="1"/>
      <w:marLeft w:val="0"/>
      <w:marRight w:val="0"/>
      <w:marTop w:val="0"/>
      <w:marBottom w:val="0"/>
      <w:divBdr>
        <w:top w:val="none" w:sz="0" w:space="0" w:color="auto"/>
        <w:left w:val="none" w:sz="0" w:space="0" w:color="auto"/>
        <w:bottom w:val="none" w:sz="0" w:space="0" w:color="auto"/>
        <w:right w:val="none" w:sz="0" w:space="0" w:color="auto"/>
      </w:divBdr>
    </w:div>
    <w:div w:id="202058912">
      <w:bodyDiv w:val="1"/>
      <w:marLeft w:val="0"/>
      <w:marRight w:val="0"/>
      <w:marTop w:val="0"/>
      <w:marBottom w:val="0"/>
      <w:divBdr>
        <w:top w:val="none" w:sz="0" w:space="0" w:color="auto"/>
        <w:left w:val="none" w:sz="0" w:space="0" w:color="auto"/>
        <w:bottom w:val="none" w:sz="0" w:space="0" w:color="auto"/>
        <w:right w:val="none" w:sz="0" w:space="0" w:color="auto"/>
      </w:divBdr>
    </w:div>
    <w:div w:id="207304204">
      <w:bodyDiv w:val="1"/>
      <w:marLeft w:val="0"/>
      <w:marRight w:val="0"/>
      <w:marTop w:val="0"/>
      <w:marBottom w:val="0"/>
      <w:divBdr>
        <w:top w:val="none" w:sz="0" w:space="0" w:color="auto"/>
        <w:left w:val="none" w:sz="0" w:space="0" w:color="auto"/>
        <w:bottom w:val="none" w:sz="0" w:space="0" w:color="auto"/>
        <w:right w:val="none" w:sz="0" w:space="0" w:color="auto"/>
      </w:divBdr>
    </w:div>
    <w:div w:id="211189138">
      <w:bodyDiv w:val="1"/>
      <w:marLeft w:val="0"/>
      <w:marRight w:val="0"/>
      <w:marTop w:val="0"/>
      <w:marBottom w:val="0"/>
      <w:divBdr>
        <w:top w:val="none" w:sz="0" w:space="0" w:color="auto"/>
        <w:left w:val="none" w:sz="0" w:space="0" w:color="auto"/>
        <w:bottom w:val="none" w:sz="0" w:space="0" w:color="auto"/>
        <w:right w:val="none" w:sz="0" w:space="0" w:color="auto"/>
      </w:divBdr>
    </w:div>
    <w:div w:id="213128854">
      <w:bodyDiv w:val="1"/>
      <w:marLeft w:val="0"/>
      <w:marRight w:val="0"/>
      <w:marTop w:val="0"/>
      <w:marBottom w:val="0"/>
      <w:divBdr>
        <w:top w:val="none" w:sz="0" w:space="0" w:color="auto"/>
        <w:left w:val="none" w:sz="0" w:space="0" w:color="auto"/>
        <w:bottom w:val="none" w:sz="0" w:space="0" w:color="auto"/>
        <w:right w:val="none" w:sz="0" w:space="0" w:color="auto"/>
      </w:divBdr>
    </w:div>
    <w:div w:id="215556016">
      <w:bodyDiv w:val="1"/>
      <w:marLeft w:val="0"/>
      <w:marRight w:val="0"/>
      <w:marTop w:val="0"/>
      <w:marBottom w:val="0"/>
      <w:divBdr>
        <w:top w:val="none" w:sz="0" w:space="0" w:color="auto"/>
        <w:left w:val="none" w:sz="0" w:space="0" w:color="auto"/>
        <w:bottom w:val="none" w:sz="0" w:space="0" w:color="auto"/>
        <w:right w:val="none" w:sz="0" w:space="0" w:color="auto"/>
      </w:divBdr>
    </w:div>
    <w:div w:id="227306287">
      <w:bodyDiv w:val="1"/>
      <w:marLeft w:val="0"/>
      <w:marRight w:val="0"/>
      <w:marTop w:val="0"/>
      <w:marBottom w:val="0"/>
      <w:divBdr>
        <w:top w:val="none" w:sz="0" w:space="0" w:color="auto"/>
        <w:left w:val="none" w:sz="0" w:space="0" w:color="auto"/>
        <w:bottom w:val="none" w:sz="0" w:space="0" w:color="auto"/>
        <w:right w:val="none" w:sz="0" w:space="0" w:color="auto"/>
      </w:divBdr>
    </w:div>
    <w:div w:id="229268015">
      <w:bodyDiv w:val="1"/>
      <w:marLeft w:val="0"/>
      <w:marRight w:val="0"/>
      <w:marTop w:val="0"/>
      <w:marBottom w:val="0"/>
      <w:divBdr>
        <w:top w:val="none" w:sz="0" w:space="0" w:color="auto"/>
        <w:left w:val="none" w:sz="0" w:space="0" w:color="auto"/>
        <w:bottom w:val="none" w:sz="0" w:space="0" w:color="auto"/>
        <w:right w:val="none" w:sz="0" w:space="0" w:color="auto"/>
      </w:divBdr>
    </w:div>
    <w:div w:id="230968150">
      <w:bodyDiv w:val="1"/>
      <w:marLeft w:val="0"/>
      <w:marRight w:val="0"/>
      <w:marTop w:val="0"/>
      <w:marBottom w:val="0"/>
      <w:divBdr>
        <w:top w:val="none" w:sz="0" w:space="0" w:color="auto"/>
        <w:left w:val="none" w:sz="0" w:space="0" w:color="auto"/>
        <w:bottom w:val="none" w:sz="0" w:space="0" w:color="auto"/>
        <w:right w:val="none" w:sz="0" w:space="0" w:color="auto"/>
      </w:divBdr>
    </w:div>
    <w:div w:id="237591390">
      <w:bodyDiv w:val="1"/>
      <w:marLeft w:val="0"/>
      <w:marRight w:val="0"/>
      <w:marTop w:val="0"/>
      <w:marBottom w:val="0"/>
      <w:divBdr>
        <w:top w:val="none" w:sz="0" w:space="0" w:color="auto"/>
        <w:left w:val="none" w:sz="0" w:space="0" w:color="auto"/>
        <w:bottom w:val="none" w:sz="0" w:space="0" w:color="auto"/>
        <w:right w:val="none" w:sz="0" w:space="0" w:color="auto"/>
      </w:divBdr>
    </w:div>
    <w:div w:id="248269488">
      <w:bodyDiv w:val="1"/>
      <w:marLeft w:val="0"/>
      <w:marRight w:val="0"/>
      <w:marTop w:val="0"/>
      <w:marBottom w:val="0"/>
      <w:divBdr>
        <w:top w:val="none" w:sz="0" w:space="0" w:color="auto"/>
        <w:left w:val="none" w:sz="0" w:space="0" w:color="auto"/>
        <w:bottom w:val="none" w:sz="0" w:space="0" w:color="auto"/>
        <w:right w:val="none" w:sz="0" w:space="0" w:color="auto"/>
      </w:divBdr>
    </w:div>
    <w:div w:id="251864020">
      <w:bodyDiv w:val="1"/>
      <w:marLeft w:val="0"/>
      <w:marRight w:val="0"/>
      <w:marTop w:val="0"/>
      <w:marBottom w:val="0"/>
      <w:divBdr>
        <w:top w:val="none" w:sz="0" w:space="0" w:color="auto"/>
        <w:left w:val="none" w:sz="0" w:space="0" w:color="auto"/>
        <w:bottom w:val="none" w:sz="0" w:space="0" w:color="auto"/>
        <w:right w:val="none" w:sz="0" w:space="0" w:color="auto"/>
      </w:divBdr>
    </w:div>
    <w:div w:id="252710923">
      <w:bodyDiv w:val="1"/>
      <w:marLeft w:val="0"/>
      <w:marRight w:val="0"/>
      <w:marTop w:val="0"/>
      <w:marBottom w:val="0"/>
      <w:divBdr>
        <w:top w:val="none" w:sz="0" w:space="0" w:color="auto"/>
        <w:left w:val="none" w:sz="0" w:space="0" w:color="auto"/>
        <w:bottom w:val="none" w:sz="0" w:space="0" w:color="auto"/>
        <w:right w:val="none" w:sz="0" w:space="0" w:color="auto"/>
      </w:divBdr>
    </w:div>
    <w:div w:id="267663725">
      <w:bodyDiv w:val="1"/>
      <w:marLeft w:val="0"/>
      <w:marRight w:val="0"/>
      <w:marTop w:val="0"/>
      <w:marBottom w:val="0"/>
      <w:divBdr>
        <w:top w:val="none" w:sz="0" w:space="0" w:color="auto"/>
        <w:left w:val="none" w:sz="0" w:space="0" w:color="auto"/>
        <w:bottom w:val="none" w:sz="0" w:space="0" w:color="auto"/>
        <w:right w:val="none" w:sz="0" w:space="0" w:color="auto"/>
      </w:divBdr>
      <w:divsChild>
        <w:div w:id="2030796042">
          <w:marLeft w:val="346"/>
          <w:marRight w:val="0"/>
          <w:marTop w:val="60"/>
          <w:marBottom w:val="60"/>
          <w:divBdr>
            <w:top w:val="none" w:sz="0" w:space="0" w:color="auto"/>
            <w:left w:val="none" w:sz="0" w:space="0" w:color="auto"/>
            <w:bottom w:val="none" w:sz="0" w:space="0" w:color="auto"/>
            <w:right w:val="none" w:sz="0" w:space="0" w:color="auto"/>
          </w:divBdr>
        </w:div>
      </w:divsChild>
    </w:div>
    <w:div w:id="268050905">
      <w:bodyDiv w:val="1"/>
      <w:marLeft w:val="0"/>
      <w:marRight w:val="0"/>
      <w:marTop w:val="0"/>
      <w:marBottom w:val="0"/>
      <w:divBdr>
        <w:top w:val="none" w:sz="0" w:space="0" w:color="auto"/>
        <w:left w:val="none" w:sz="0" w:space="0" w:color="auto"/>
        <w:bottom w:val="none" w:sz="0" w:space="0" w:color="auto"/>
        <w:right w:val="none" w:sz="0" w:space="0" w:color="auto"/>
      </w:divBdr>
    </w:div>
    <w:div w:id="270626351">
      <w:bodyDiv w:val="1"/>
      <w:marLeft w:val="0"/>
      <w:marRight w:val="0"/>
      <w:marTop w:val="0"/>
      <w:marBottom w:val="0"/>
      <w:divBdr>
        <w:top w:val="none" w:sz="0" w:space="0" w:color="auto"/>
        <w:left w:val="none" w:sz="0" w:space="0" w:color="auto"/>
        <w:bottom w:val="none" w:sz="0" w:space="0" w:color="auto"/>
        <w:right w:val="none" w:sz="0" w:space="0" w:color="auto"/>
      </w:divBdr>
    </w:div>
    <w:div w:id="284190561">
      <w:bodyDiv w:val="1"/>
      <w:marLeft w:val="0"/>
      <w:marRight w:val="0"/>
      <w:marTop w:val="0"/>
      <w:marBottom w:val="0"/>
      <w:divBdr>
        <w:top w:val="none" w:sz="0" w:space="0" w:color="auto"/>
        <w:left w:val="none" w:sz="0" w:space="0" w:color="auto"/>
        <w:bottom w:val="none" w:sz="0" w:space="0" w:color="auto"/>
        <w:right w:val="none" w:sz="0" w:space="0" w:color="auto"/>
      </w:divBdr>
    </w:div>
    <w:div w:id="286738055">
      <w:bodyDiv w:val="1"/>
      <w:marLeft w:val="0"/>
      <w:marRight w:val="0"/>
      <w:marTop w:val="0"/>
      <w:marBottom w:val="0"/>
      <w:divBdr>
        <w:top w:val="none" w:sz="0" w:space="0" w:color="auto"/>
        <w:left w:val="none" w:sz="0" w:space="0" w:color="auto"/>
        <w:bottom w:val="none" w:sz="0" w:space="0" w:color="auto"/>
        <w:right w:val="none" w:sz="0" w:space="0" w:color="auto"/>
      </w:divBdr>
    </w:div>
    <w:div w:id="297346300">
      <w:bodyDiv w:val="1"/>
      <w:marLeft w:val="0"/>
      <w:marRight w:val="0"/>
      <w:marTop w:val="0"/>
      <w:marBottom w:val="0"/>
      <w:divBdr>
        <w:top w:val="none" w:sz="0" w:space="0" w:color="auto"/>
        <w:left w:val="none" w:sz="0" w:space="0" w:color="auto"/>
        <w:bottom w:val="none" w:sz="0" w:space="0" w:color="auto"/>
        <w:right w:val="none" w:sz="0" w:space="0" w:color="auto"/>
      </w:divBdr>
    </w:div>
    <w:div w:id="297883052">
      <w:bodyDiv w:val="1"/>
      <w:marLeft w:val="0"/>
      <w:marRight w:val="0"/>
      <w:marTop w:val="0"/>
      <w:marBottom w:val="0"/>
      <w:divBdr>
        <w:top w:val="none" w:sz="0" w:space="0" w:color="auto"/>
        <w:left w:val="none" w:sz="0" w:space="0" w:color="auto"/>
        <w:bottom w:val="none" w:sz="0" w:space="0" w:color="auto"/>
        <w:right w:val="none" w:sz="0" w:space="0" w:color="auto"/>
      </w:divBdr>
    </w:div>
    <w:div w:id="298851910">
      <w:bodyDiv w:val="1"/>
      <w:marLeft w:val="0"/>
      <w:marRight w:val="0"/>
      <w:marTop w:val="0"/>
      <w:marBottom w:val="0"/>
      <w:divBdr>
        <w:top w:val="none" w:sz="0" w:space="0" w:color="auto"/>
        <w:left w:val="none" w:sz="0" w:space="0" w:color="auto"/>
        <w:bottom w:val="none" w:sz="0" w:space="0" w:color="auto"/>
        <w:right w:val="none" w:sz="0" w:space="0" w:color="auto"/>
      </w:divBdr>
    </w:div>
    <w:div w:id="300157474">
      <w:bodyDiv w:val="1"/>
      <w:marLeft w:val="0"/>
      <w:marRight w:val="0"/>
      <w:marTop w:val="0"/>
      <w:marBottom w:val="0"/>
      <w:divBdr>
        <w:top w:val="none" w:sz="0" w:space="0" w:color="auto"/>
        <w:left w:val="none" w:sz="0" w:space="0" w:color="auto"/>
        <w:bottom w:val="none" w:sz="0" w:space="0" w:color="auto"/>
        <w:right w:val="none" w:sz="0" w:space="0" w:color="auto"/>
      </w:divBdr>
    </w:div>
    <w:div w:id="308244620">
      <w:bodyDiv w:val="1"/>
      <w:marLeft w:val="0"/>
      <w:marRight w:val="0"/>
      <w:marTop w:val="0"/>
      <w:marBottom w:val="0"/>
      <w:divBdr>
        <w:top w:val="none" w:sz="0" w:space="0" w:color="auto"/>
        <w:left w:val="none" w:sz="0" w:space="0" w:color="auto"/>
        <w:bottom w:val="none" w:sz="0" w:space="0" w:color="auto"/>
        <w:right w:val="none" w:sz="0" w:space="0" w:color="auto"/>
      </w:divBdr>
    </w:div>
    <w:div w:id="308943458">
      <w:bodyDiv w:val="1"/>
      <w:marLeft w:val="0"/>
      <w:marRight w:val="0"/>
      <w:marTop w:val="0"/>
      <w:marBottom w:val="0"/>
      <w:divBdr>
        <w:top w:val="none" w:sz="0" w:space="0" w:color="auto"/>
        <w:left w:val="none" w:sz="0" w:space="0" w:color="auto"/>
        <w:bottom w:val="none" w:sz="0" w:space="0" w:color="auto"/>
        <w:right w:val="none" w:sz="0" w:space="0" w:color="auto"/>
      </w:divBdr>
    </w:div>
    <w:div w:id="313461054">
      <w:bodyDiv w:val="1"/>
      <w:marLeft w:val="0"/>
      <w:marRight w:val="0"/>
      <w:marTop w:val="0"/>
      <w:marBottom w:val="0"/>
      <w:divBdr>
        <w:top w:val="none" w:sz="0" w:space="0" w:color="auto"/>
        <w:left w:val="none" w:sz="0" w:space="0" w:color="auto"/>
        <w:bottom w:val="none" w:sz="0" w:space="0" w:color="auto"/>
        <w:right w:val="none" w:sz="0" w:space="0" w:color="auto"/>
      </w:divBdr>
    </w:div>
    <w:div w:id="317341485">
      <w:bodyDiv w:val="1"/>
      <w:marLeft w:val="0"/>
      <w:marRight w:val="0"/>
      <w:marTop w:val="0"/>
      <w:marBottom w:val="0"/>
      <w:divBdr>
        <w:top w:val="none" w:sz="0" w:space="0" w:color="auto"/>
        <w:left w:val="none" w:sz="0" w:space="0" w:color="auto"/>
        <w:bottom w:val="none" w:sz="0" w:space="0" w:color="auto"/>
        <w:right w:val="none" w:sz="0" w:space="0" w:color="auto"/>
      </w:divBdr>
    </w:div>
    <w:div w:id="323629554">
      <w:bodyDiv w:val="1"/>
      <w:marLeft w:val="0"/>
      <w:marRight w:val="0"/>
      <w:marTop w:val="0"/>
      <w:marBottom w:val="0"/>
      <w:divBdr>
        <w:top w:val="none" w:sz="0" w:space="0" w:color="auto"/>
        <w:left w:val="none" w:sz="0" w:space="0" w:color="auto"/>
        <w:bottom w:val="none" w:sz="0" w:space="0" w:color="auto"/>
        <w:right w:val="none" w:sz="0" w:space="0" w:color="auto"/>
      </w:divBdr>
    </w:div>
    <w:div w:id="325283389">
      <w:bodyDiv w:val="1"/>
      <w:marLeft w:val="0"/>
      <w:marRight w:val="0"/>
      <w:marTop w:val="0"/>
      <w:marBottom w:val="0"/>
      <w:divBdr>
        <w:top w:val="none" w:sz="0" w:space="0" w:color="auto"/>
        <w:left w:val="none" w:sz="0" w:space="0" w:color="auto"/>
        <w:bottom w:val="none" w:sz="0" w:space="0" w:color="auto"/>
        <w:right w:val="none" w:sz="0" w:space="0" w:color="auto"/>
      </w:divBdr>
    </w:div>
    <w:div w:id="326521819">
      <w:bodyDiv w:val="1"/>
      <w:marLeft w:val="0"/>
      <w:marRight w:val="0"/>
      <w:marTop w:val="0"/>
      <w:marBottom w:val="0"/>
      <w:divBdr>
        <w:top w:val="none" w:sz="0" w:space="0" w:color="auto"/>
        <w:left w:val="none" w:sz="0" w:space="0" w:color="auto"/>
        <w:bottom w:val="none" w:sz="0" w:space="0" w:color="auto"/>
        <w:right w:val="none" w:sz="0" w:space="0" w:color="auto"/>
      </w:divBdr>
    </w:div>
    <w:div w:id="328826695">
      <w:bodyDiv w:val="1"/>
      <w:marLeft w:val="0"/>
      <w:marRight w:val="0"/>
      <w:marTop w:val="0"/>
      <w:marBottom w:val="0"/>
      <w:divBdr>
        <w:top w:val="none" w:sz="0" w:space="0" w:color="auto"/>
        <w:left w:val="none" w:sz="0" w:space="0" w:color="auto"/>
        <w:bottom w:val="none" w:sz="0" w:space="0" w:color="auto"/>
        <w:right w:val="none" w:sz="0" w:space="0" w:color="auto"/>
      </w:divBdr>
    </w:div>
    <w:div w:id="332685711">
      <w:bodyDiv w:val="1"/>
      <w:marLeft w:val="0"/>
      <w:marRight w:val="0"/>
      <w:marTop w:val="0"/>
      <w:marBottom w:val="0"/>
      <w:divBdr>
        <w:top w:val="none" w:sz="0" w:space="0" w:color="auto"/>
        <w:left w:val="none" w:sz="0" w:space="0" w:color="auto"/>
        <w:bottom w:val="none" w:sz="0" w:space="0" w:color="auto"/>
        <w:right w:val="none" w:sz="0" w:space="0" w:color="auto"/>
      </w:divBdr>
    </w:div>
    <w:div w:id="335310752">
      <w:bodyDiv w:val="1"/>
      <w:marLeft w:val="0"/>
      <w:marRight w:val="0"/>
      <w:marTop w:val="0"/>
      <w:marBottom w:val="0"/>
      <w:divBdr>
        <w:top w:val="none" w:sz="0" w:space="0" w:color="auto"/>
        <w:left w:val="none" w:sz="0" w:space="0" w:color="auto"/>
        <w:bottom w:val="none" w:sz="0" w:space="0" w:color="auto"/>
        <w:right w:val="none" w:sz="0" w:space="0" w:color="auto"/>
      </w:divBdr>
    </w:div>
    <w:div w:id="337000247">
      <w:bodyDiv w:val="1"/>
      <w:marLeft w:val="0"/>
      <w:marRight w:val="0"/>
      <w:marTop w:val="0"/>
      <w:marBottom w:val="0"/>
      <w:divBdr>
        <w:top w:val="none" w:sz="0" w:space="0" w:color="auto"/>
        <w:left w:val="none" w:sz="0" w:space="0" w:color="auto"/>
        <w:bottom w:val="none" w:sz="0" w:space="0" w:color="auto"/>
        <w:right w:val="none" w:sz="0" w:space="0" w:color="auto"/>
      </w:divBdr>
    </w:div>
    <w:div w:id="339739764">
      <w:bodyDiv w:val="1"/>
      <w:marLeft w:val="0"/>
      <w:marRight w:val="0"/>
      <w:marTop w:val="0"/>
      <w:marBottom w:val="0"/>
      <w:divBdr>
        <w:top w:val="none" w:sz="0" w:space="0" w:color="auto"/>
        <w:left w:val="none" w:sz="0" w:space="0" w:color="auto"/>
        <w:bottom w:val="none" w:sz="0" w:space="0" w:color="auto"/>
        <w:right w:val="none" w:sz="0" w:space="0" w:color="auto"/>
      </w:divBdr>
    </w:div>
    <w:div w:id="344862790">
      <w:bodyDiv w:val="1"/>
      <w:marLeft w:val="0"/>
      <w:marRight w:val="0"/>
      <w:marTop w:val="0"/>
      <w:marBottom w:val="0"/>
      <w:divBdr>
        <w:top w:val="none" w:sz="0" w:space="0" w:color="auto"/>
        <w:left w:val="none" w:sz="0" w:space="0" w:color="auto"/>
        <w:bottom w:val="none" w:sz="0" w:space="0" w:color="auto"/>
        <w:right w:val="none" w:sz="0" w:space="0" w:color="auto"/>
      </w:divBdr>
    </w:div>
    <w:div w:id="345326413">
      <w:bodyDiv w:val="1"/>
      <w:marLeft w:val="0"/>
      <w:marRight w:val="0"/>
      <w:marTop w:val="0"/>
      <w:marBottom w:val="0"/>
      <w:divBdr>
        <w:top w:val="none" w:sz="0" w:space="0" w:color="auto"/>
        <w:left w:val="none" w:sz="0" w:space="0" w:color="auto"/>
        <w:bottom w:val="none" w:sz="0" w:space="0" w:color="auto"/>
        <w:right w:val="none" w:sz="0" w:space="0" w:color="auto"/>
      </w:divBdr>
    </w:div>
    <w:div w:id="353188271">
      <w:bodyDiv w:val="1"/>
      <w:marLeft w:val="0"/>
      <w:marRight w:val="0"/>
      <w:marTop w:val="0"/>
      <w:marBottom w:val="0"/>
      <w:divBdr>
        <w:top w:val="none" w:sz="0" w:space="0" w:color="auto"/>
        <w:left w:val="none" w:sz="0" w:space="0" w:color="auto"/>
        <w:bottom w:val="none" w:sz="0" w:space="0" w:color="auto"/>
        <w:right w:val="none" w:sz="0" w:space="0" w:color="auto"/>
      </w:divBdr>
    </w:div>
    <w:div w:id="366225484">
      <w:bodyDiv w:val="1"/>
      <w:marLeft w:val="0"/>
      <w:marRight w:val="0"/>
      <w:marTop w:val="0"/>
      <w:marBottom w:val="0"/>
      <w:divBdr>
        <w:top w:val="none" w:sz="0" w:space="0" w:color="auto"/>
        <w:left w:val="none" w:sz="0" w:space="0" w:color="auto"/>
        <w:bottom w:val="none" w:sz="0" w:space="0" w:color="auto"/>
        <w:right w:val="none" w:sz="0" w:space="0" w:color="auto"/>
      </w:divBdr>
      <w:divsChild>
        <w:div w:id="359284057">
          <w:marLeft w:val="346"/>
          <w:marRight w:val="0"/>
          <w:marTop w:val="60"/>
          <w:marBottom w:val="60"/>
          <w:divBdr>
            <w:top w:val="none" w:sz="0" w:space="0" w:color="auto"/>
            <w:left w:val="none" w:sz="0" w:space="0" w:color="auto"/>
            <w:bottom w:val="none" w:sz="0" w:space="0" w:color="auto"/>
            <w:right w:val="none" w:sz="0" w:space="0" w:color="auto"/>
          </w:divBdr>
        </w:div>
      </w:divsChild>
    </w:div>
    <w:div w:id="386494699">
      <w:bodyDiv w:val="1"/>
      <w:marLeft w:val="0"/>
      <w:marRight w:val="0"/>
      <w:marTop w:val="0"/>
      <w:marBottom w:val="0"/>
      <w:divBdr>
        <w:top w:val="none" w:sz="0" w:space="0" w:color="auto"/>
        <w:left w:val="none" w:sz="0" w:space="0" w:color="auto"/>
        <w:bottom w:val="none" w:sz="0" w:space="0" w:color="auto"/>
        <w:right w:val="none" w:sz="0" w:space="0" w:color="auto"/>
      </w:divBdr>
    </w:div>
    <w:div w:id="389617617">
      <w:bodyDiv w:val="1"/>
      <w:marLeft w:val="0"/>
      <w:marRight w:val="0"/>
      <w:marTop w:val="0"/>
      <w:marBottom w:val="0"/>
      <w:divBdr>
        <w:top w:val="none" w:sz="0" w:space="0" w:color="auto"/>
        <w:left w:val="none" w:sz="0" w:space="0" w:color="auto"/>
        <w:bottom w:val="none" w:sz="0" w:space="0" w:color="auto"/>
        <w:right w:val="none" w:sz="0" w:space="0" w:color="auto"/>
      </w:divBdr>
    </w:div>
    <w:div w:id="394353315">
      <w:bodyDiv w:val="1"/>
      <w:marLeft w:val="0"/>
      <w:marRight w:val="0"/>
      <w:marTop w:val="0"/>
      <w:marBottom w:val="0"/>
      <w:divBdr>
        <w:top w:val="none" w:sz="0" w:space="0" w:color="auto"/>
        <w:left w:val="none" w:sz="0" w:space="0" w:color="auto"/>
        <w:bottom w:val="none" w:sz="0" w:space="0" w:color="auto"/>
        <w:right w:val="none" w:sz="0" w:space="0" w:color="auto"/>
      </w:divBdr>
    </w:div>
    <w:div w:id="394858808">
      <w:bodyDiv w:val="1"/>
      <w:marLeft w:val="0"/>
      <w:marRight w:val="0"/>
      <w:marTop w:val="0"/>
      <w:marBottom w:val="0"/>
      <w:divBdr>
        <w:top w:val="none" w:sz="0" w:space="0" w:color="auto"/>
        <w:left w:val="none" w:sz="0" w:space="0" w:color="auto"/>
        <w:bottom w:val="none" w:sz="0" w:space="0" w:color="auto"/>
        <w:right w:val="none" w:sz="0" w:space="0" w:color="auto"/>
      </w:divBdr>
    </w:div>
    <w:div w:id="395511023">
      <w:bodyDiv w:val="1"/>
      <w:marLeft w:val="0"/>
      <w:marRight w:val="0"/>
      <w:marTop w:val="0"/>
      <w:marBottom w:val="0"/>
      <w:divBdr>
        <w:top w:val="none" w:sz="0" w:space="0" w:color="auto"/>
        <w:left w:val="none" w:sz="0" w:space="0" w:color="auto"/>
        <w:bottom w:val="none" w:sz="0" w:space="0" w:color="auto"/>
        <w:right w:val="none" w:sz="0" w:space="0" w:color="auto"/>
      </w:divBdr>
      <w:divsChild>
        <w:div w:id="158083379">
          <w:marLeft w:val="346"/>
          <w:marRight w:val="0"/>
          <w:marTop w:val="60"/>
          <w:marBottom w:val="60"/>
          <w:divBdr>
            <w:top w:val="none" w:sz="0" w:space="0" w:color="auto"/>
            <w:left w:val="none" w:sz="0" w:space="0" w:color="auto"/>
            <w:bottom w:val="none" w:sz="0" w:space="0" w:color="auto"/>
            <w:right w:val="none" w:sz="0" w:space="0" w:color="auto"/>
          </w:divBdr>
        </w:div>
      </w:divsChild>
    </w:div>
    <w:div w:id="399602439">
      <w:bodyDiv w:val="1"/>
      <w:marLeft w:val="0"/>
      <w:marRight w:val="0"/>
      <w:marTop w:val="0"/>
      <w:marBottom w:val="0"/>
      <w:divBdr>
        <w:top w:val="none" w:sz="0" w:space="0" w:color="auto"/>
        <w:left w:val="none" w:sz="0" w:space="0" w:color="auto"/>
        <w:bottom w:val="none" w:sz="0" w:space="0" w:color="auto"/>
        <w:right w:val="none" w:sz="0" w:space="0" w:color="auto"/>
      </w:divBdr>
    </w:div>
    <w:div w:id="405110669">
      <w:bodyDiv w:val="1"/>
      <w:marLeft w:val="0"/>
      <w:marRight w:val="0"/>
      <w:marTop w:val="0"/>
      <w:marBottom w:val="0"/>
      <w:divBdr>
        <w:top w:val="none" w:sz="0" w:space="0" w:color="auto"/>
        <w:left w:val="none" w:sz="0" w:space="0" w:color="auto"/>
        <w:bottom w:val="none" w:sz="0" w:space="0" w:color="auto"/>
        <w:right w:val="none" w:sz="0" w:space="0" w:color="auto"/>
      </w:divBdr>
    </w:div>
    <w:div w:id="405155558">
      <w:bodyDiv w:val="1"/>
      <w:marLeft w:val="0"/>
      <w:marRight w:val="0"/>
      <w:marTop w:val="0"/>
      <w:marBottom w:val="0"/>
      <w:divBdr>
        <w:top w:val="none" w:sz="0" w:space="0" w:color="auto"/>
        <w:left w:val="none" w:sz="0" w:space="0" w:color="auto"/>
        <w:bottom w:val="none" w:sz="0" w:space="0" w:color="auto"/>
        <w:right w:val="none" w:sz="0" w:space="0" w:color="auto"/>
      </w:divBdr>
    </w:div>
    <w:div w:id="406080335">
      <w:bodyDiv w:val="1"/>
      <w:marLeft w:val="0"/>
      <w:marRight w:val="0"/>
      <w:marTop w:val="0"/>
      <w:marBottom w:val="0"/>
      <w:divBdr>
        <w:top w:val="none" w:sz="0" w:space="0" w:color="auto"/>
        <w:left w:val="none" w:sz="0" w:space="0" w:color="auto"/>
        <w:bottom w:val="none" w:sz="0" w:space="0" w:color="auto"/>
        <w:right w:val="none" w:sz="0" w:space="0" w:color="auto"/>
      </w:divBdr>
    </w:div>
    <w:div w:id="406416150">
      <w:bodyDiv w:val="1"/>
      <w:marLeft w:val="0"/>
      <w:marRight w:val="0"/>
      <w:marTop w:val="0"/>
      <w:marBottom w:val="0"/>
      <w:divBdr>
        <w:top w:val="none" w:sz="0" w:space="0" w:color="auto"/>
        <w:left w:val="none" w:sz="0" w:space="0" w:color="auto"/>
        <w:bottom w:val="none" w:sz="0" w:space="0" w:color="auto"/>
        <w:right w:val="none" w:sz="0" w:space="0" w:color="auto"/>
      </w:divBdr>
    </w:div>
    <w:div w:id="408619521">
      <w:bodyDiv w:val="1"/>
      <w:marLeft w:val="0"/>
      <w:marRight w:val="0"/>
      <w:marTop w:val="0"/>
      <w:marBottom w:val="0"/>
      <w:divBdr>
        <w:top w:val="none" w:sz="0" w:space="0" w:color="auto"/>
        <w:left w:val="none" w:sz="0" w:space="0" w:color="auto"/>
        <w:bottom w:val="none" w:sz="0" w:space="0" w:color="auto"/>
        <w:right w:val="none" w:sz="0" w:space="0" w:color="auto"/>
      </w:divBdr>
    </w:div>
    <w:div w:id="415982221">
      <w:bodyDiv w:val="1"/>
      <w:marLeft w:val="0"/>
      <w:marRight w:val="0"/>
      <w:marTop w:val="0"/>
      <w:marBottom w:val="0"/>
      <w:divBdr>
        <w:top w:val="none" w:sz="0" w:space="0" w:color="auto"/>
        <w:left w:val="none" w:sz="0" w:space="0" w:color="auto"/>
        <w:bottom w:val="none" w:sz="0" w:space="0" w:color="auto"/>
        <w:right w:val="none" w:sz="0" w:space="0" w:color="auto"/>
      </w:divBdr>
    </w:div>
    <w:div w:id="423116369">
      <w:bodyDiv w:val="1"/>
      <w:marLeft w:val="0"/>
      <w:marRight w:val="0"/>
      <w:marTop w:val="0"/>
      <w:marBottom w:val="0"/>
      <w:divBdr>
        <w:top w:val="none" w:sz="0" w:space="0" w:color="auto"/>
        <w:left w:val="none" w:sz="0" w:space="0" w:color="auto"/>
        <w:bottom w:val="none" w:sz="0" w:space="0" w:color="auto"/>
        <w:right w:val="none" w:sz="0" w:space="0" w:color="auto"/>
      </w:divBdr>
    </w:div>
    <w:div w:id="427771616">
      <w:bodyDiv w:val="1"/>
      <w:marLeft w:val="0"/>
      <w:marRight w:val="0"/>
      <w:marTop w:val="0"/>
      <w:marBottom w:val="0"/>
      <w:divBdr>
        <w:top w:val="none" w:sz="0" w:space="0" w:color="auto"/>
        <w:left w:val="none" w:sz="0" w:space="0" w:color="auto"/>
        <w:bottom w:val="none" w:sz="0" w:space="0" w:color="auto"/>
        <w:right w:val="none" w:sz="0" w:space="0" w:color="auto"/>
      </w:divBdr>
    </w:div>
    <w:div w:id="440687945">
      <w:bodyDiv w:val="1"/>
      <w:marLeft w:val="0"/>
      <w:marRight w:val="0"/>
      <w:marTop w:val="0"/>
      <w:marBottom w:val="0"/>
      <w:divBdr>
        <w:top w:val="none" w:sz="0" w:space="0" w:color="auto"/>
        <w:left w:val="none" w:sz="0" w:space="0" w:color="auto"/>
        <w:bottom w:val="none" w:sz="0" w:space="0" w:color="auto"/>
        <w:right w:val="none" w:sz="0" w:space="0" w:color="auto"/>
      </w:divBdr>
    </w:div>
    <w:div w:id="441613392">
      <w:bodyDiv w:val="1"/>
      <w:marLeft w:val="0"/>
      <w:marRight w:val="0"/>
      <w:marTop w:val="0"/>
      <w:marBottom w:val="0"/>
      <w:divBdr>
        <w:top w:val="none" w:sz="0" w:space="0" w:color="auto"/>
        <w:left w:val="none" w:sz="0" w:space="0" w:color="auto"/>
        <w:bottom w:val="none" w:sz="0" w:space="0" w:color="auto"/>
        <w:right w:val="none" w:sz="0" w:space="0" w:color="auto"/>
      </w:divBdr>
    </w:div>
    <w:div w:id="442071249">
      <w:bodyDiv w:val="1"/>
      <w:marLeft w:val="0"/>
      <w:marRight w:val="0"/>
      <w:marTop w:val="0"/>
      <w:marBottom w:val="0"/>
      <w:divBdr>
        <w:top w:val="none" w:sz="0" w:space="0" w:color="auto"/>
        <w:left w:val="none" w:sz="0" w:space="0" w:color="auto"/>
        <w:bottom w:val="none" w:sz="0" w:space="0" w:color="auto"/>
        <w:right w:val="none" w:sz="0" w:space="0" w:color="auto"/>
      </w:divBdr>
    </w:div>
    <w:div w:id="443426197">
      <w:bodyDiv w:val="1"/>
      <w:marLeft w:val="0"/>
      <w:marRight w:val="0"/>
      <w:marTop w:val="0"/>
      <w:marBottom w:val="0"/>
      <w:divBdr>
        <w:top w:val="none" w:sz="0" w:space="0" w:color="auto"/>
        <w:left w:val="none" w:sz="0" w:space="0" w:color="auto"/>
        <w:bottom w:val="none" w:sz="0" w:space="0" w:color="auto"/>
        <w:right w:val="none" w:sz="0" w:space="0" w:color="auto"/>
      </w:divBdr>
    </w:div>
    <w:div w:id="479658830">
      <w:bodyDiv w:val="1"/>
      <w:marLeft w:val="0"/>
      <w:marRight w:val="0"/>
      <w:marTop w:val="0"/>
      <w:marBottom w:val="0"/>
      <w:divBdr>
        <w:top w:val="none" w:sz="0" w:space="0" w:color="auto"/>
        <w:left w:val="none" w:sz="0" w:space="0" w:color="auto"/>
        <w:bottom w:val="none" w:sz="0" w:space="0" w:color="auto"/>
        <w:right w:val="none" w:sz="0" w:space="0" w:color="auto"/>
      </w:divBdr>
    </w:div>
    <w:div w:id="480077354">
      <w:bodyDiv w:val="1"/>
      <w:marLeft w:val="0"/>
      <w:marRight w:val="0"/>
      <w:marTop w:val="0"/>
      <w:marBottom w:val="0"/>
      <w:divBdr>
        <w:top w:val="none" w:sz="0" w:space="0" w:color="auto"/>
        <w:left w:val="none" w:sz="0" w:space="0" w:color="auto"/>
        <w:bottom w:val="none" w:sz="0" w:space="0" w:color="auto"/>
        <w:right w:val="none" w:sz="0" w:space="0" w:color="auto"/>
      </w:divBdr>
    </w:div>
    <w:div w:id="480772314">
      <w:bodyDiv w:val="1"/>
      <w:marLeft w:val="0"/>
      <w:marRight w:val="0"/>
      <w:marTop w:val="0"/>
      <w:marBottom w:val="0"/>
      <w:divBdr>
        <w:top w:val="none" w:sz="0" w:space="0" w:color="auto"/>
        <w:left w:val="none" w:sz="0" w:space="0" w:color="auto"/>
        <w:bottom w:val="none" w:sz="0" w:space="0" w:color="auto"/>
        <w:right w:val="none" w:sz="0" w:space="0" w:color="auto"/>
      </w:divBdr>
    </w:div>
    <w:div w:id="483621725">
      <w:bodyDiv w:val="1"/>
      <w:marLeft w:val="0"/>
      <w:marRight w:val="0"/>
      <w:marTop w:val="0"/>
      <w:marBottom w:val="0"/>
      <w:divBdr>
        <w:top w:val="none" w:sz="0" w:space="0" w:color="auto"/>
        <w:left w:val="none" w:sz="0" w:space="0" w:color="auto"/>
        <w:bottom w:val="none" w:sz="0" w:space="0" w:color="auto"/>
        <w:right w:val="none" w:sz="0" w:space="0" w:color="auto"/>
      </w:divBdr>
    </w:div>
    <w:div w:id="491798546">
      <w:bodyDiv w:val="1"/>
      <w:marLeft w:val="0"/>
      <w:marRight w:val="0"/>
      <w:marTop w:val="0"/>
      <w:marBottom w:val="0"/>
      <w:divBdr>
        <w:top w:val="none" w:sz="0" w:space="0" w:color="auto"/>
        <w:left w:val="none" w:sz="0" w:space="0" w:color="auto"/>
        <w:bottom w:val="none" w:sz="0" w:space="0" w:color="auto"/>
        <w:right w:val="none" w:sz="0" w:space="0" w:color="auto"/>
      </w:divBdr>
    </w:div>
    <w:div w:id="492261675">
      <w:bodyDiv w:val="1"/>
      <w:marLeft w:val="0"/>
      <w:marRight w:val="0"/>
      <w:marTop w:val="0"/>
      <w:marBottom w:val="0"/>
      <w:divBdr>
        <w:top w:val="none" w:sz="0" w:space="0" w:color="auto"/>
        <w:left w:val="none" w:sz="0" w:space="0" w:color="auto"/>
        <w:bottom w:val="none" w:sz="0" w:space="0" w:color="auto"/>
        <w:right w:val="none" w:sz="0" w:space="0" w:color="auto"/>
      </w:divBdr>
    </w:div>
    <w:div w:id="494953222">
      <w:bodyDiv w:val="1"/>
      <w:marLeft w:val="0"/>
      <w:marRight w:val="0"/>
      <w:marTop w:val="0"/>
      <w:marBottom w:val="0"/>
      <w:divBdr>
        <w:top w:val="none" w:sz="0" w:space="0" w:color="auto"/>
        <w:left w:val="none" w:sz="0" w:space="0" w:color="auto"/>
        <w:bottom w:val="none" w:sz="0" w:space="0" w:color="auto"/>
        <w:right w:val="none" w:sz="0" w:space="0" w:color="auto"/>
      </w:divBdr>
    </w:div>
    <w:div w:id="505175222">
      <w:bodyDiv w:val="1"/>
      <w:marLeft w:val="0"/>
      <w:marRight w:val="0"/>
      <w:marTop w:val="0"/>
      <w:marBottom w:val="0"/>
      <w:divBdr>
        <w:top w:val="none" w:sz="0" w:space="0" w:color="auto"/>
        <w:left w:val="none" w:sz="0" w:space="0" w:color="auto"/>
        <w:bottom w:val="none" w:sz="0" w:space="0" w:color="auto"/>
        <w:right w:val="none" w:sz="0" w:space="0" w:color="auto"/>
      </w:divBdr>
    </w:div>
    <w:div w:id="514467627">
      <w:bodyDiv w:val="1"/>
      <w:marLeft w:val="0"/>
      <w:marRight w:val="0"/>
      <w:marTop w:val="0"/>
      <w:marBottom w:val="0"/>
      <w:divBdr>
        <w:top w:val="none" w:sz="0" w:space="0" w:color="auto"/>
        <w:left w:val="none" w:sz="0" w:space="0" w:color="auto"/>
        <w:bottom w:val="none" w:sz="0" w:space="0" w:color="auto"/>
        <w:right w:val="none" w:sz="0" w:space="0" w:color="auto"/>
      </w:divBdr>
    </w:div>
    <w:div w:id="518854098">
      <w:bodyDiv w:val="1"/>
      <w:marLeft w:val="0"/>
      <w:marRight w:val="0"/>
      <w:marTop w:val="0"/>
      <w:marBottom w:val="0"/>
      <w:divBdr>
        <w:top w:val="none" w:sz="0" w:space="0" w:color="auto"/>
        <w:left w:val="none" w:sz="0" w:space="0" w:color="auto"/>
        <w:bottom w:val="none" w:sz="0" w:space="0" w:color="auto"/>
        <w:right w:val="none" w:sz="0" w:space="0" w:color="auto"/>
      </w:divBdr>
    </w:div>
    <w:div w:id="522669964">
      <w:bodyDiv w:val="1"/>
      <w:marLeft w:val="0"/>
      <w:marRight w:val="0"/>
      <w:marTop w:val="0"/>
      <w:marBottom w:val="0"/>
      <w:divBdr>
        <w:top w:val="none" w:sz="0" w:space="0" w:color="auto"/>
        <w:left w:val="none" w:sz="0" w:space="0" w:color="auto"/>
        <w:bottom w:val="none" w:sz="0" w:space="0" w:color="auto"/>
        <w:right w:val="none" w:sz="0" w:space="0" w:color="auto"/>
      </w:divBdr>
    </w:div>
    <w:div w:id="525143234">
      <w:bodyDiv w:val="1"/>
      <w:marLeft w:val="0"/>
      <w:marRight w:val="0"/>
      <w:marTop w:val="0"/>
      <w:marBottom w:val="0"/>
      <w:divBdr>
        <w:top w:val="none" w:sz="0" w:space="0" w:color="auto"/>
        <w:left w:val="none" w:sz="0" w:space="0" w:color="auto"/>
        <w:bottom w:val="none" w:sz="0" w:space="0" w:color="auto"/>
        <w:right w:val="none" w:sz="0" w:space="0" w:color="auto"/>
      </w:divBdr>
    </w:div>
    <w:div w:id="526985829">
      <w:bodyDiv w:val="1"/>
      <w:marLeft w:val="0"/>
      <w:marRight w:val="0"/>
      <w:marTop w:val="0"/>
      <w:marBottom w:val="0"/>
      <w:divBdr>
        <w:top w:val="none" w:sz="0" w:space="0" w:color="auto"/>
        <w:left w:val="none" w:sz="0" w:space="0" w:color="auto"/>
        <w:bottom w:val="none" w:sz="0" w:space="0" w:color="auto"/>
        <w:right w:val="none" w:sz="0" w:space="0" w:color="auto"/>
      </w:divBdr>
    </w:div>
    <w:div w:id="530532469">
      <w:bodyDiv w:val="1"/>
      <w:marLeft w:val="0"/>
      <w:marRight w:val="0"/>
      <w:marTop w:val="0"/>
      <w:marBottom w:val="0"/>
      <w:divBdr>
        <w:top w:val="none" w:sz="0" w:space="0" w:color="auto"/>
        <w:left w:val="none" w:sz="0" w:space="0" w:color="auto"/>
        <w:bottom w:val="none" w:sz="0" w:space="0" w:color="auto"/>
        <w:right w:val="none" w:sz="0" w:space="0" w:color="auto"/>
      </w:divBdr>
      <w:divsChild>
        <w:div w:id="1579362418">
          <w:marLeft w:val="346"/>
          <w:marRight w:val="0"/>
          <w:marTop w:val="60"/>
          <w:marBottom w:val="60"/>
          <w:divBdr>
            <w:top w:val="none" w:sz="0" w:space="0" w:color="auto"/>
            <w:left w:val="none" w:sz="0" w:space="0" w:color="auto"/>
            <w:bottom w:val="none" w:sz="0" w:space="0" w:color="auto"/>
            <w:right w:val="none" w:sz="0" w:space="0" w:color="auto"/>
          </w:divBdr>
        </w:div>
      </w:divsChild>
    </w:div>
    <w:div w:id="540437401">
      <w:bodyDiv w:val="1"/>
      <w:marLeft w:val="0"/>
      <w:marRight w:val="0"/>
      <w:marTop w:val="0"/>
      <w:marBottom w:val="0"/>
      <w:divBdr>
        <w:top w:val="none" w:sz="0" w:space="0" w:color="auto"/>
        <w:left w:val="none" w:sz="0" w:space="0" w:color="auto"/>
        <w:bottom w:val="none" w:sz="0" w:space="0" w:color="auto"/>
        <w:right w:val="none" w:sz="0" w:space="0" w:color="auto"/>
      </w:divBdr>
    </w:div>
    <w:div w:id="542601688">
      <w:bodyDiv w:val="1"/>
      <w:marLeft w:val="0"/>
      <w:marRight w:val="0"/>
      <w:marTop w:val="0"/>
      <w:marBottom w:val="0"/>
      <w:divBdr>
        <w:top w:val="none" w:sz="0" w:space="0" w:color="auto"/>
        <w:left w:val="none" w:sz="0" w:space="0" w:color="auto"/>
        <w:bottom w:val="none" w:sz="0" w:space="0" w:color="auto"/>
        <w:right w:val="none" w:sz="0" w:space="0" w:color="auto"/>
      </w:divBdr>
    </w:div>
    <w:div w:id="544830032">
      <w:bodyDiv w:val="1"/>
      <w:marLeft w:val="0"/>
      <w:marRight w:val="0"/>
      <w:marTop w:val="0"/>
      <w:marBottom w:val="0"/>
      <w:divBdr>
        <w:top w:val="none" w:sz="0" w:space="0" w:color="auto"/>
        <w:left w:val="none" w:sz="0" w:space="0" w:color="auto"/>
        <w:bottom w:val="none" w:sz="0" w:space="0" w:color="auto"/>
        <w:right w:val="none" w:sz="0" w:space="0" w:color="auto"/>
      </w:divBdr>
    </w:div>
    <w:div w:id="552621394">
      <w:bodyDiv w:val="1"/>
      <w:marLeft w:val="0"/>
      <w:marRight w:val="0"/>
      <w:marTop w:val="0"/>
      <w:marBottom w:val="0"/>
      <w:divBdr>
        <w:top w:val="none" w:sz="0" w:space="0" w:color="auto"/>
        <w:left w:val="none" w:sz="0" w:space="0" w:color="auto"/>
        <w:bottom w:val="none" w:sz="0" w:space="0" w:color="auto"/>
        <w:right w:val="none" w:sz="0" w:space="0" w:color="auto"/>
      </w:divBdr>
    </w:div>
    <w:div w:id="555165023">
      <w:bodyDiv w:val="1"/>
      <w:marLeft w:val="0"/>
      <w:marRight w:val="0"/>
      <w:marTop w:val="0"/>
      <w:marBottom w:val="0"/>
      <w:divBdr>
        <w:top w:val="none" w:sz="0" w:space="0" w:color="auto"/>
        <w:left w:val="none" w:sz="0" w:space="0" w:color="auto"/>
        <w:bottom w:val="none" w:sz="0" w:space="0" w:color="auto"/>
        <w:right w:val="none" w:sz="0" w:space="0" w:color="auto"/>
      </w:divBdr>
    </w:div>
    <w:div w:id="572542613">
      <w:bodyDiv w:val="1"/>
      <w:marLeft w:val="0"/>
      <w:marRight w:val="0"/>
      <w:marTop w:val="0"/>
      <w:marBottom w:val="0"/>
      <w:divBdr>
        <w:top w:val="none" w:sz="0" w:space="0" w:color="auto"/>
        <w:left w:val="none" w:sz="0" w:space="0" w:color="auto"/>
        <w:bottom w:val="none" w:sz="0" w:space="0" w:color="auto"/>
        <w:right w:val="none" w:sz="0" w:space="0" w:color="auto"/>
      </w:divBdr>
    </w:div>
    <w:div w:id="574826613">
      <w:bodyDiv w:val="1"/>
      <w:marLeft w:val="0"/>
      <w:marRight w:val="0"/>
      <w:marTop w:val="0"/>
      <w:marBottom w:val="0"/>
      <w:divBdr>
        <w:top w:val="none" w:sz="0" w:space="0" w:color="auto"/>
        <w:left w:val="none" w:sz="0" w:space="0" w:color="auto"/>
        <w:bottom w:val="none" w:sz="0" w:space="0" w:color="auto"/>
        <w:right w:val="none" w:sz="0" w:space="0" w:color="auto"/>
      </w:divBdr>
    </w:div>
    <w:div w:id="584343318">
      <w:bodyDiv w:val="1"/>
      <w:marLeft w:val="0"/>
      <w:marRight w:val="0"/>
      <w:marTop w:val="0"/>
      <w:marBottom w:val="0"/>
      <w:divBdr>
        <w:top w:val="none" w:sz="0" w:space="0" w:color="auto"/>
        <w:left w:val="none" w:sz="0" w:space="0" w:color="auto"/>
        <w:bottom w:val="none" w:sz="0" w:space="0" w:color="auto"/>
        <w:right w:val="none" w:sz="0" w:space="0" w:color="auto"/>
      </w:divBdr>
    </w:div>
    <w:div w:id="589431315">
      <w:bodyDiv w:val="1"/>
      <w:marLeft w:val="0"/>
      <w:marRight w:val="0"/>
      <w:marTop w:val="0"/>
      <w:marBottom w:val="0"/>
      <w:divBdr>
        <w:top w:val="none" w:sz="0" w:space="0" w:color="auto"/>
        <w:left w:val="none" w:sz="0" w:space="0" w:color="auto"/>
        <w:bottom w:val="none" w:sz="0" w:space="0" w:color="auto"/>
        <w:right w:val="none" w:sz="0" w:space="0" w:color="auto"/>
      </w:divBdr>
    </w:div>
    <w:div w:id="589579409">
      <w:bodyDiv w:val="1"/>
      <w:marLeft w:val="0"/>
      <w:marRight w:val="0"/>
      <w:marTop w:val="0"/>
      <w:marBottom w:val="0"/>
      <w:divBdr>
        <w:top w:val="none" w:sz="0" w:space="0" w:color="auto"/>
        <w:left w:val="none" w:sz="0" w:space="0" w:color="auto"/>
        <w:bottom w:val="none" w:sz="0" w:space="0" w:color="auto"/>
        <w:right w:val="none" w:sz="0" w:space="0" w:color="auto"/>
      </w:divBdr>
    </w:div>
    <w:div w:id="606625014">
      <w:bodyDiv w:val="1"/>
      <w:marLeft w:val="0"/>
      <w:marRight w:val="0"/>
      <w:marTop w:val="0"/>
      <w:marBottom w:val="0"/>
      <w:divBdr>
        <w:top w:val="none" w:sz="0" w:space="0" w:color="auto"/>
        <w:left w:val="none" w:sz="0" w:space="0" w:color="auto"/>
        <w:bottom w:val="none" w:sz="0" w:space="0" w:color="auto"/>
        <w:right w:val="none" w:sz="0" w:space="0" w:color="auto"/>
      </w:divBdr>
    </w:div>
    <w:div w:id="607810933">
      <w:bodyDiv w:val="1"/>
      <w:marLeft w:val="0"/>
      <w:marRight w:val="0"/>
      <w:marTop w:val="0"/>
      <w:marBottom w:val="0"/>
      <w:divBdr>
        <w:top w:val="none" w:sz="0" w:space="0" w:color="auto"/>
        <w:left w:val="none" w:sz="0" w:space="0" w:color="auto"/>
        <w:bottom w:val="none" w:sz="0" w:space="0" w:color="auto"/>
        <w:right w:val="none" w:sz="0" w:space="0" w:color="auto"/>
      </w:divBdr>
    </w:div>
    <w:div w:id="610674935">
      <w:bodyDiv w:val="1"/>
      <w:marLeft w:val="0"/>
      <w:marRight w:val="0"/>
      <w:marTop w:val="0"/>
      <w:marBottom w:val="0"/>
      <w:divBdr>
        <w:top w:val="none" w:sz="0" w:space="0" w:color="auto"/>
        <w:left w:val="none" w:sz="0" w:space="0" w:color="auto"/>
        <w:bottom w:val="none" w:sz="0" w:space="0" w:color="auto"/>
        <w:right w:val="none" w:sz="0" w:space="0" w:color="auto"/>
      </w:divBdr>
    </w:div>
    <w:div w:id="611519866">
      <w:bodyDiv w:val="1"/>
      <w:marLeft w:val="0"/>
      <w:marRight w:val="0"/>
      <w:marTop w:val="0"/>
      <w:marBottom w:val="0"/>
      <w:divBdr>
        <w:top w:val="none" w:sz="0" w:space="0" w:color="auto"/>
        <w:left w:val="none" w:sz="0" w:space="0" w:color="auto"/>
        <w:bottom w:val="none" w:sz="0" w:space="0" w:color="auto"/>
        <w:right w:val="none" w:sz="0" w:space="0" w:color="auto"/>
      </w:divBdr>
      <w:divsChild>
        <w:div w:id="743843777">
          <w:marLeft w:val="0"/>
          <w:marRight w:val="0"/>
          <w:marTop w:val="0"/>
          <w:marBottom w:val="0"/>
          <w:divBdr>
            <w:top w:val="none" w:sz="0" w:space="0" w:color="auto"/>
            <w:left w:val="none" w:sz="0" w:space="0" w:color="auto"/>
            <w:bottom w:val="none" w:sz="0" w:space="0" w:color="auto"/>
            <w:right w:val="none" w:sz="0" w:space="0" w:color="auto"/>
          </w:divBdr>
          <w:divsChild>
            <w:div w:id="1584679675">
              <w:marLeft w:val="0"/>
              <w:marRight w:val="0"/>
              <w:marTop w:val="0"/>
              <w:marBottom w:val="0"/>
              <w:divBdr>
                <w:top w:val="none" w:sz="0" w:space="0" w:color="auto"/>
                <w:left w:val="none" w:sz="0" w:space="0" w:color="auto"/>
                <w:bottom w:val="none" w:sz="0" w:space="0" w:color="auto"/>
                <w:right w:val="none" w:sz="0" w:space="0" w:color="auto"/>
              </w:divBdr>
              <w:divsChild>
                <w:div w:id="20542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2115">
          <w:marLeft w:val="0"/>
          <w:marRight w:val="0"/>
          <w:marTop w:val="0"/>
          <w:marBottom w:val="0"/>
          <w:divBdr>
            <w:top w:val="none" w:sz="0" w:space="0" w:color="auto"/>
            <w:left w:val="none" w:sz="0" w:space="0" w:color="auto"/>
            <w:bottom w:val="none" w:sz="0" w:space="0" w:color="auto"/>
            <w:right w:val="none" w:sz="0" w:space="0" w:color="auto"/>
          </w:divBdr>
          <w:divsChild>
            <w:div w:id="1284773222">
              <w:marLeft w:val="0"/>
              <w:marRight w:val="0"/>
              <w:marTop w:val="0"/>
              <w:marBottom w:val="0"/>
              <w:divBdr>
                <w:top w:val="none" w:sz="0" w:space="0" w:color="auto"/>
                <w:left w:val="none" w:sz="0" w:space="0" w:color="auto"/>
                <w:bottom w:val="none" w:sz="0" w:space="0" w:color="auto"/>
                <w:right w:val="none" w:sz="0" w:space="0" w:color="auto"/>
              </w:divBdr>
              <w:divsChild>
                <w:div w:id="614797899">
                  <w:marLeft w:val="0"/>
                  <w:marRight w:val="0"/>
                  <w:marTop w:val="0"/>
                  <w:marBottom w:val="0"/>
                  <w:divBdr>
                    <w:top w:val="none" w:sz="0" w:space="0" w:color="auto"/>
                    <w:left w:val="none" w:sz="0" w:space="0" w:color="auto"/>
                    <w:bottom w:val="none" w:sz="0" w:space="0" w:color="auto"/>
                    <w:right w:val="none" w:sz="0" w:space="0" w:color="auto"/>
                  </w:divBdr>
                  <w:divsChild>
                    <w:div w:id="71624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294580">
      <w:bodyDiv w:val="1"/>
      <w:marLeft w:val="0"/>
      <w:marRight w:val="0"/>
      <w:marTop w:val="0"/>
      <w:marBottom w:val="0"/>
      <w:divBdr>
        <w:top w:val="none" w:sz="0" w:space="0" w:color="auto"/>
        <w:left w:val="none" w:sz="0" w:space="0" w:color="auto"/>
        <w:bottom w:val="none" w:sz="0" w:space="0" w:color="auto"/>
        <w:right w:val="none" w:sz="0" w:space="0" w:color="auto"/>
      </w:divBdr>
    </w:div>
    <w:div w:id="614365295">
      <w:bodyDiv w:val="1"/>
      <w:marLeft w:val="0"/>
      <w:marRight w:val="0"/>
      <w:marTop w:val="0"/>
      <w:marBottom w:val="0"/>
      <w:divBdr>
        <w:top w:val="none" w:sz="0" w:space="0" w:color="auto"/>
        <w:left w:val="none" w:sz="0" w:space="0" w:color="auto"/>
        <w:bottom w:val="none" w:sz="0" w:space="0" w:color="auto"/>
        <w:right w:val="none" w:sz="0" w:space="0" w:color="auto"/>
      </w:divBdr>
    </w:div>
    <w:div w:id="619922134">
      <w:bodyDiv w:val="1"/>
      <w:marLeft w:val="0"/>
      <w:marRight w:val="0"/>
      <w:marTop w:val="0"/>
      <w:marBottom w:val="0"/>
      <w:divBdr>
        <w:top w:val="none" w:sz="0" w:space="0" w:color="auto"/>
        <w:left w:val="none" w:sz="0" w:space="0" w:color="auto"/>
        <w:bottom w:val="none" w:sz="0" w:space="0" w:color="auto"/>
        <w:right w:val="none" w:sz="0" w:space="0" w:color="auto"/>
      </w:divBdr>
    </w:div>
    <w:div w:id="620651577">
      <w:bodyDiv w:val="1"/>
      <w:marLeft w:val="0"/>
      <w:marRight w:val="0"/>
      <w:marTop w:val="0"/>
      <w:marBottom w:val="0"/>
      <w:divBdr>
        <w:top w:val="none" w:sz="0" w:space="0" w:color="auto"/>
        <w:left w:val="none" w:sz="0" w:space="0" w:color="auto"/>
        <w:bottom w:val="none" w:sz="0" w:space="0" w:color="auto"/>
        <w:right w:val="none" w:sz="0" w:space="0" w:color="auto"/>
      </w:divBdr>
    </w:div>
    <w:div w:id="630670420">
      <w:bodyDiv w:val="1"/>
      <w:marLeft w:val="0"/>
      <w:marRight w:val="0"/>
      <w:marTop w:val="0"/>
      <w:marBottom w:val="0"/>
      <w:divBdr>
        <w:top w:val="none" w:sz="0" w:space="0" w:color="auto"/>
        <w:left w:val="none" w:sz="0" w:space="0" w:color="auto"/>
        <w:bottom w:val="none" w:sz="0" w:space="0" w:color="auto"/>
        <w:right w:val="none" w:sz="0" w:space="0" w:color="auto"/>
      </w:divBdr>
    </w:div>
    <w:div w:id="636224455">
      <w:bodyDiv w:val="1"/>
      <w:marLeft w:val="0"/>
      <w:marRight w:val="0"/>
      <w:marTop w:val="0"/>
      <w:marBottom w:val="0"/>
      <w:divBdr>
        <w:top w:val="none" w:sz="0" w:space="0" w:color="auto"/>
        <w:left w:val="none" w:sz="0" w:space="0" w:color="auto"/>
        <w:bottom w:val="none" w:sz="0" w:space="0" w:color="auto"/>
        <w:right w:val="none" w:sz="0" w:space="0" w:color="auto"/>
      </w:divBdr>
      <w:divsChild>
        <w:div w:id="1926455927">
          <w:marLeft w:val="346"/>
          <w:marRight w:val="0"/>
          <w:marTop w:val="60"/>
          <w:marBottom w:val="60"/>
          <w:divBdr>
            <w:top w:val="none" w:sz="0" w:space="0" w:color="auto"/>
            <w:left w:val="none" w:sz="0" w:space="0" w:color="auto"/>
            <w:bottom w:val="none" w:sz="0" w:space="0" w:color="auto"/>
            <w:right w:val="none" w:sz="0" w:space="0" w:color="auto"/>
          </w:divBdr>
        </w:div>
      </w:divsChild>
    </w:div>
    <w:div w:id="637027482">
      <w:bodyDiv w:val="1"/>
      <w:marLeft w:val="0"/>
      <w:marRight w:val="0"/>
      <w:marTop w:val="0"/>
      <w:marBottom w:val="0"/>
      <w:divBdr>
        <w:top w:val="none" w:sz="0" w:space="0" w:color="auto"/>
        <w:left w:val="none" w:sz="0" w:space="0" w:color="auto"/>
        <w:bottom w:val="none" w:sz="0" w:space="0" w:color="auto"/>
        <w:right w:val="none" w:sz="0" w:space="0" w:color="auto"/>
      </w:divBdr>
    </w:div>
    <w:div w:id="637418199">
      <w:bodyDiv w:val="1"/>
      <w:marLeft w:val="0"/>
      <w:marRight w:val="0"/>
      <w:marTop w:val="0"/>
      <w:marBottom w:val="0"/>
      <w:divBdr>
        <w:top w:val="none" w:sz="0" w:space="0" w:color="auto"/>
        <w:left w:val="none" w:sz="0" w:space="0" w:color="auto"/>
        <w:bottom w:val="none" w:sz="0" w:space="0" w:color="auto"/>
        <w:right w:val="none" w:sz="0" w:space="0" w:color="auto"/>
      </w:divBdr>
    </w:div>
    <w:div w:id="639194068">
      <w:bodyDiv w:val="1"/>
      <w:marLeft w:val="0"/>
      <w:marRight w:val="0"/>
      <w:marTop w:val="0"/>
      <w:marBottom w:val="0"/>
      <w:divBdr>
        <w:top w:val="none" w:sz="0" w:space="0" w:color="auto"/>
        <w:left w:val="none" w:sz="0" w:space="0" w:color="auto"/>
        <w:bottom w:val="none" w:sz="0" w:space="0" w:color="auto"/>
        <w:right w:val="none" w:sz="0" w:space="0" w:color="auto"/>
      </w:divBdr>
    </w:div>
    <w:div w:id="640620649">
      <w:bodyDiv w:val="1"/>
      <w:marLeft w:val="0"/>
      <w:marRight w:val="0"/>
      <w:marTop w:val="0"/>
      <w:marBottom w:val="0"/>
      <w:divBdr>
        <w:top w:val="none" w:sz="0" w:space="0" w:color="auto"/>
        <w:left w:val="none" w:sz="0" w:space="0" w:color="auto"/>
        <w:bottom w:val="none" w:sz="0" w:space="0" w:color="auto"/>
        <w:right w:val="none" w:sz="0" w:space="0" w:color="auto"/>
      </w:divBdr>
    </w:div>
    <w:div w:id="643200167">
      <w:bodyDiv w:val="1"/>
      <w:marLeft w:val="0"/>
      <w:marRight w:val="0"/>
      <w:marTop w:val="0"/>
      <w:marBottom w:val="0"/>
      <w:divBdr>
        <w:top w:val="none" w:sz="0" w:space="0" w:color="auto"/>
        <w:left w:val="none" w:sz="0" w:space="0" w:color="auto"/>
        <w:bottom w:val="none" w:sz="0" w:space="0" w:color="auto"/>
        <w:right w:val="none" w:sz="0" w:space="0" w:color="auto"/>
      </w:divBdr>
    </w:div>
    <w:div w:id="643316677">
      <w:bodyDiv w:val="1"/>
      <w:marLeft w:val="0"/>
      <w:marRight w:val="0"/>
      <w:marTop w:val="0"/>
      <w:marBottom w:val="0"/>
      <w:divBdr>
        <w:top w:val="none" w:sz="0" w:space="0" w:color="auto"/>
        <w:left w:val="none" w:sz="0" w:space="0" w:color="auto"/>
        <w:bottom w:val="none" w:sz="0" w:space="0" w:color="auto"/>
        <w:right w:val="none" w:sz="0" w:space="0" w:color="auto"/>
      </w:divBdr>
    </w:div>
    <w:div w:id="646931293">
      <w:bodyDiv w:val="1"/>
      <w:marLeft w:val="0"/>
      <w:marRight w:val="0"/>
      <w:marTop w:val="0"/>
      <w:marBottom w:val="0"/>
      <w:divBdr>
        <w:top w:val="none" w:sz="0" w:space="0" w:color="auto"/>
        <w:left w:val="none" w:sz="0" w:space="0" w:color="auto"/>
        <w:bottom w:val="none" w:sz="0" w:space="0" w:color="auto"/>
        <w:right w:val="none" w:sz="0" w:space="0" w:color="auto"/>
      </w:divBdr>
    </w:div>
    <w:div w:id="655376631">
      <w:bodyDiv w:val="1"/>
      <w:marLeft w:val="0"/>
      <w:marRight w:val="0"/>
      <w:marTop w:val="0"/>
      <w:marBottom w:val="0"/>
      <w:divBdr>
        <w:top w:val="none" w:sz="0" w:space="0" w:color="auto"/>
        <w:left w:val="none" w:sz="0" w:space="0" w:color="auto"/>
        <w:bottom w:val="none" w:sz="0" w:space="0" w:color="auto"/>
        <w:right w:val="none" w:sz="0" w:space="0" w:color="auto"/>
      </w:divBdr>
    </w:div>
    <w:div w:id="657226330">
      <w:bodyDiv w:val="1"/>
      <w:marLeft w:val="0"/>
      <w:marRight w:val="0"/>
      <w:marTop w:val="0"/>
      <w:marBottom w:val="0"/>
      <w:divBdr>
        <w:top w:val="none" w:sz="0" w:space="0" w:color="auto"/>
        <w:left w:val="none" w:sz="0" w:space="0" w:color="auto"/>
        <w:bottom w:val="none" w:sz="0" w:space="0" w:color="auto"/>
        <w:right w:val="none" w:sz="0" w:space="0" w:color="auto"/>
      </w:divBdr>
    </w:div>
    <w:div w:id="660693717">
      <w:bodyDiv w:val="1"/>
      <w:marLeft w:val="0"/>
      <w:marRight w:val="0"/>
      <w:marTop w:val="0"/>
      <w:marBottom w:val="0"/>
      <w:divBdr>
        <w:top w:val="none" w:sz="0" w:space="0" w:color="auto"/>
        <w:left w:val="none" w:sz="0" w:space="0" w:color="auto"/>
        <w:bottom w:val="none" w:sz="0" w:space="0" w:color="auto"/>
        <w:right w:val="none" w:sz="0" w:space="0" w:color="auto"/>
      </w:divBdr>
    </w:div>
    <w:div w:id="660734568">
      <w:bodyDiv w:val="1"/>
      <w:marLeft w:val="0"/>
      <w:marRight w:val="0"/>
      <w:marTop w:val="0"/>
      <w:marBottom w:val="0"/>
      <w:divBdr>
        <w:top w:val="none" w:sz="0" w:space="0" w:color="auto"/>
        <w:left w:val="none" w:sz="0" w:space="0" w:color="auto"/>
        <w:bottom w:val="none" w:sz="0" w:space="0" w:color="auto"/>
        <w:right w:val="none" w:sz="0" w:space="0" w:color="auto"/>
      </w:divBdr>
      <w:divsChild>
        <w:div w:id="2128547485">
          <w:marLeft w:val="346"/>
          <w:marRight w:val="0"/>
          <w:marTop w:val="60"/>
          <w:marBottom w:val="60"/>
          <w:divBdr>
            <w:top w:val="none" w:sz="0" w:space="0" w:color="auto"/>
            <w:left w:val="none" w:sz="0" w:space="0" w:color="auto"/>
            <w:bottom w:val="none" w:sz="0" w:space="0" w:color="auto"/>
            <w:right w:val="none" w:sz="0" w:space="0" w:color="auto"/>
          </w:divBdr>
        </w:div>
      </w:divsChild>
    </w:div>
    <w:div w:id="662322451">
      <w:bodyDiv w:val="1"/>
      <w:marLeft w:val="0"/>
      <w:marRight w:val="0"/>
      <w:marTop w:val="0"/>
      <w:marBottom w:val="0"/>
      <w:divBdr>
        <w:top w:val="none" w:sz="0" w:space="0" w:color="auto"/>
        <w:left w:val="none" w:sz="0" w:space="0" w:color="auto"/>
        <w:bottom w:val="none" w:sz="0" w:space="0" w:color="auto"/>
        <w:right w:val="none" w:sz="0" w:space="0" w:color="auto"/>
      </w:divBdr>
    </w:div>
    <w:div w:id="662976177">
      <w:bodyDiv w:val="1"/>
      <w:marLeft w:val="0"/>
      <w:marRight w:val="0"/>
      <w:marTop w:val="0"/>
      <w:marBottom w:val="0"/>
      <w:divBdr>
        <w:top w:val="none" w:sz="0" w:space="0" w:color="auto"/>
        <w:left w:val="none" w:sz="0" w:space="0" w:color="auto"/>
        <w:bottom w:val="none" w:sz="0" w:space="0" w:color="auto"/>
        <w:right w:val="none" w:sz="0" w:space="0" w:color="auto"/>
      </w:divBdr>
    </w:div>
    <w:div w:id="666053369">
      <w:bodyDiv w:val="1"/>
      <w:marLeft w:val="0"/>
      <w:marRight w:val="0"/>
      <w:marTop w:val="0"/>
      <w:marBottom w:val="0"/>
      <w:divBdr>
        <w:top w:val="none" w:sz="0" w:space="0" w:color="auto"/>
        <w:left w:val="none" w:sz="0" w:space="0" w:color="auto"/>
        <w:bottom w:val="none" w:sz="0" w:space="0" w:color="auto"/>
        <w:right w:val="none" w:sz="0" w:space="0" w:color="auto"/>
      </w:divBdr>
    </w:div>
    <w:div w:id="669410064">
      <w:bodyDiv w:val="1"/>
      <w:marLeft w:val="0"/>
      <w:marRight w:val="0"/>
      <w:marTop w:val="0"/>
      <w:marBottom w:val="0"/>
      <w:divBdr>
        <w:top w:val="none" w:sz="0" w:space="0" w:color="auto"/>
        <w:left w:val="none" w:sz="0" w:space="0" w:color="auto"/>
        <w:bottom w:val="none" w:sz="0" w:space="0" w:color="auto"/>
        <w:right w:val="none" w:sz="0" w:space="0" w:color="auto"/>
      </w:divBdr>
    </w:div>
    <w:div w:id="675494266">
      <w:bodyDiv w:val="1"/>
      <w:marLeft w:val="0"/>
      <w:marRight w:val="0"/>
      <w:marTop w:val="0"/>
      <w:marBottom w:val="0"/>
      <w:divBdr>
        <w:top w:val="none" w:sz="0" w:space="0" w:color="auto"/>
        <w:left w:val="none" w:sz="0" w:space="0" w:color="auto"/>
        <w:bottom w:val="none" w:sz="0" w:space="0" w:color="auto"/>
        <w:right w:val="none" w:sz="0" w:space="0" w:color="auto"/>
      </w:divBdr>
    </w:div>
    <w:div w:id="679822020">
      <w:bodyDiv w:val="1"/>
      <w:marLeft w:val="0"/>
      <w:marRight w:val="0"/>
      <w:marTop w:val="0"/>
      <w:marBottom w:val="0"/>
      <w:divBdr>
        <w:top w:val="none" w:sz="0" w:space="0" w:color="auto"/>
        <w:left w:val="none" w:sz="0" w:space="0" w:color="auto"/>
        <w:bottom w:val="none" w:sz="0" w:space="0" w:color="auto"/>
        <w:right w:val="none" w:sz="0" w:space="0" w:color="auto"/>
      </w:divBdr>
      <w:divsChild>
        <w:div w:id="1378041374">
          <w:marLeft w:val="346"/>
          <w:marRight w:val="0"/>
          <w:marTop w:val="60"/>
          <w:marBottom w:val="60"/>
          <w:divBdr>
            <w:top w:val="none" w:sz="0" w:space="0" w:color="auto"/>
            <w:left w:val="none" w:sz="0" w:space="0" w:color="auto"/>
            <w:bottom w:val="none" w:sz="0" w:space="0" w:color="auto"/>
            <w:right w:val="none" w:sz="0" w:space="0" w:color="auto"/>
          </w:divBdr>
        </w:div>
      </w:divsChild>
    </w:div>
    <w:div w:id="683630053">
      <w:bodyDiv w:val="1"/>
      <w:marLeft w:val="0"/>
      <w:marRight w:val="0"/>
      <w:marTop w:val="0"/>
      <w:marBottom w:val="0"/>
      <w:divBdr>
        <w:top w:val="none" w:sz="0" w:space="0" w:color="auto"/>
        <w:left w:val="none" w:sz="0" w:space="0" w:color="auto"/>
        <w:bottom w:val="none" w:sz="0" w:space="0" w:color="auto"/>
        <w:right w:val="none" w:sz="0" w:space="0" w:color="auto"/>
      </w:divBdr>
    </w:div>
    <w:div w:id="708607592">
      <w:bodyDiv w:val="1"/>
      <w:marLeft w:val="0"/>
      <w:marRight w:val="0"/>
      <w:marTop w:val="0"/>
      <w:marBottom w:val="0"/>
      <w:divBdr>
        <w:top w:val="none" w:sz="0" w:space="0" w:color="auto"/>
        <w:left w:val="none" w:sz="0" w:space="0" w:color="auto"/>
        <w:bottom w:val="none" w:sz="0" w:space="0" w:color="auto"/>
        <w:right w:val="none" w:sz="0" w:space="0" w:color="auto"/>
      </w:divBdr>
    </w:div>
    <w:div w:id="710692919">
      <w:bodyDiv w:val="1"/>
      <w:marLeft w:val="0"/>
      <w:marRight w:val="0"/>
      <w:marTop w:val="0"/>
      <w:marBottom w:val="0"/>
      <w:divBdr>
        <w:top w:val="none" w:sz="0" w:space="0" w:color="auto"/>
        <w:left w:val="none" w:sz="0" w:space="0" w:color="auto"/>
        <w:bottom w:val="none" w:sz="0" w:space="0" w:color="auto"/>
        <w:right w:val="none" w:sz="0" w:space="0" w:color="auto"/>
      </w:divBdr>
    </w:div>
    <w:div w:id="713122085">
      <w:bodyDiv w:val="1"/>
      <w:marLeft w:val="0"/>
      <w:marRight w:val="0"/>
      <w:marTop w:val="0"/>
      <w:marBottom w:val="0"/>
      <w:divBdr>
        <w:top w:val="none" w:sz="0" w:space="0" w:color="auto"/>
        <w:left w:val="none" w:sz="0" w:space="0" w:color="auto"/>
        <w:bottom w:val="none" w:sz="0" w:space="0" w:color="auto"/>
        <w:right w:val="none" w:sz="0" w:space="0" w:color="auto"/>
      </w:divBdr>
    </w:div>
    <w:div w:id="713575750">
      <w:bodyDiv w:val="1"/>
      <w:marLeft w:val="0"/>
      <w:marRight w:val="0"/>
      <w:marTop w:val="0"/>
      <w:marBottom w:val="0"/>
      <w:divBdr>
        <w:top w:val="none" w:sz="0" w:space="0" w:color="auto"/>
        <w:left w:val="none" w:sz="0" w:space="0" w:color="auto"/>
        <w:bottom w:val="none" w:sz="0" w:space="0" w:color="auto"/>
        <w:right w:val="none" w:sz="0" w:space="0" w:color="auto"/>
      </w:divBdr>
    </w:div>
    <w:div w:id="725109307">
      <w:bodyDiv w:val="1"/>
      <w:marLeft w:val="0"/>
      <w:marRight w:val="0"/>
      <w:marTop w:val="0"/>
      <w:marBottom w:val="0"/>
      <w:divBdr>
        <w:top w:val="none" w:sz="0" w:space="0" w:color="auto"/>
        <w:left w:val="none" w:sz="0" w:space="0" w:color="auto"/>
        <w:bottom w:val="none" w:sz="0" w:space="0" w:color="auto"/>
        <w:right w:val="none" w:sz="0" w:space="0" w:color="auto"/>
      </w:divBdr>
    </w:div>
    <w:div w:id="725180774">
      <w:bodyDiv w:val="1"/>
      <w:marLeft w:val="0"/>
      <w:marRight w:val="0"/>
      <w:marTop w:val="0"/>
      <w:marBottom w:val="0"/>
      <w:divBdr>
        <w:top w:val="none" w:sz="0" w:space="0" w:color="auto"/>
        <w:left w:val="none" w:sz="0" w:space="0" w:color="auto"/>
        <w:bottom w:val="none" w:sz="0" w:space="0" w:color="auto"/>
        <w:right w:val="none" w:sz="0" w:space="0" w:color="auto"/>
      </w:divBdr>
    </w:div>
    <w:div w:id="728071027">
      <w:bodyDiv w:val="1"/>
      <w:marLeft w:val="0"/>
      <w:marRight w:val="0"/>
      <w:marTop w:val="0"/>
      <w:marBottom w:val="0"/>
      <w:divBdr>
        <w:top w:val="none" w:sz="0" w:space="0" w:color="auto"/>
        <w:left w:val="none" w:sz="0" w:space="0" w:color="auto"/>
        <w:bottom w:val="none" w:sz="0" w:space="0" w:color="auto"/>
        <w:right w:val="none" w:sz="0" w:space="0" w:color="auto"/>
      </w:divBdr>
    </w:div>
    <w:div w:id="732700700">
      <w:bodyDiv w:val="1"/>
      <w:marLeft w:val="0"/>
      <w:marRight w:val="0"/>
      <w:marTop w:val="0"/>
      <w:marBottom w:val="0"/>
      <w:divBdr>
        <w:top w:val="none" w:sz="0" w:space="0" w:color="auto"/>
        <w:left w:val="none" w:sz="0" w:space="0" w:color="auto"/>
        <w:bottom w:val="none" w:sz="0" w:space="0" w:color="auto"/>
        <w:right w:val="none" w:sz="0" w:space="0" w:color="auto"/>
      </w:divBdr>
    </w:div>
    <w:div w:id="733086504">
      <w:bodyDiv w:val="1"/>
      <w:marLeft w:val="0"/>
      <w:marRight w:val="0"/>
      <w:marTop w:val="0"/>
      <w:marBottom w:val="0"/>
      <w:divBdr>
        <w:top w:val="none" w:sz="0" w:space="0" w:color="auto"/>
        <w:left w:val="none" w:sz="0" w:space="0" w:color="auto"/>
        <w:bottom w:val="none" w:sz="0" w:space="0" w:color="auto"/>
        <w:right w:val="none" w:sz="0" w:space="0" w:color="auto"/>
      </w:divBdr>
    </w:div>
    <w:div w:id="751245272">
      <w:bodyDiv w:val="1"/>
      <w:marLeft w:val="0"/>
      <w:marRight w:val="0"/>
      <w:marTop w:val="0"/>
      <w:marBottom w:val="0"/>
      <w:divBdr>
        <w:top w:val="none" w:sz="0" w:space="0" w:color="auto"/>
        <w:left w:val="none" w:sz="0" w:space="0" w:color="auto"/>
        <w:bottom w:val="none" w:sz="0" w:space="0" w:color="auto"/>
        <w:right w:val="none" w:sz="0" w:space="0" w:color="auto"/>
      </w:divBdr>
    </w:div>
    <w:div w:id="751313795">
      <w:bodyDiv w:val="1"/>
      <w:marLeft w:val="0"/>
      <w:marRight w:val="0"/>
      <w:marTop w:val="0"/>
      <w:marBottom w:val="0"/>
      <w:divBdr>
        <w:top w:val="none" w:sz="0" w:space="0" w:color="auto"/>
        <w:left w:val="none" w:sz="0" w:space="0" w:color="auto"/>
        <w:bottom w:val="none" w:sz="0" w:space="0" w:color="auto"/>
        <w:right w:val="none" w:sz="0" w:space="0" w:color="auto"/>
      </w:divBdr>
    </w:div>
    <w:div w:id="757554502">
      <w:bodyDiv w:val="1"/>
      <w:marLeft w:val="0"/>
      <w:marRight w:val="0"/>
      <w:marTop w:val="0"/>
      <w:marBottom w:val="0"/>
      <w:divBdr>
        <w:top w:val="none" w:sz="0" w:space="0" w:color="auto"/>
        <w:left w:val="none" w:sz="0" w:space="0" w:color="auto"/>
        <w:bottom w:val="none" w:sz="0" w:space="0" w:color="auto"/>
        <w:right w:val="none" w:sz="0" w:space="0" w:color="auto"/>
      </w:divBdr>
    </w:div>
    <w:div w:id="759451054">
      <w:bodyDiv w:val="1"/>
      <w:marLeft w:val="0"/>
      <w:marRight w:val="0"/>
      <w:marTop w:val="0"/>
      <w:marBottom w:val="0"/>
      <w:divBdr>
        <w:top w:val="none" w:sz="0" w:space="0" w:color="auto"/>
        <w:left w:val="none" w:sz="0" w:space="0" w:color="auto"/>
        <w:bottom w:val="none" w:sz="0" w:space="0" w:color="auto"/>
        <w:right w:val="none" w:sz="0" w:space="0" w:color="auto"/>
      </w:divBdr>
    </w:div>
    <w:div w:id="761611203">
      <w:bodyDiv w:val="1"/>
      <w:marLeft w:val="0"/>
      <w:marRight w:val="0"/>
      <w:marTop w:val="0"/>
      <w:marBottom w:val="0"/>
      <w:divBdr>
        <w:top w:val="none" w:sz="0" w:space="0" w:color="auto"/>
        <w:left w:val="none" w:sz="0" w:space="0" w:color="auto"/>
        <w:bottom w:val="none" w:sz="0" w:space="0" w:color="auto"/>
        <w:right w:val="none" w:sz="0" w:space="0" w:color="auto"/>
      </w:divBdr>
    </w:div>
    <w:div w:id="766005703">
      <w:bodyDiv w:val="1"/>
      <w:marLeft w:val="0"/>
      <w:marRight w:val="0"/>
      <w:marTop w:val="0"/>
      <w:marBottom w:val="0"/>
      <w:divBdr>
        <w:top w:val="none" w:sz="0" w:space="0" w:color="auto"/>
        <w:left w:val="none" w:sz="0" w:space="0" w:color="auto"/>
        <w:bottom w:val="none" w:sz="0" w:space="0" w:color="auto"/>
        <w:right w:val="none" w:sz="0" w:space="0" w:color="auto"/>
      </w:divBdr>
    </w:div>
    <w:div w:id="770131004">
      <w:bodyDiv w:val="1"/>
      <w:marLeft w:val="0"/>
      <w:marRight w:val="0"/>
      <w:marTop w:val="0"/>
      <w:marBottom w:val="0"/>
      <w:divBdr>
        <w:top w:val="none" w:sz="0" w:space="0" w:color="auto"/>
        <w:left w:val="none" w:sz="0" w:space="0" w:color="auto"/>
        <w:bottom w:val="none" w:sz="0" w:space="0" w:color="auto"/>
        <w:right w:val="none" w:sz="0" w:space="0" w:color="auto"/>
      </w:divBdr>
    </w:div>
    <w:div w:id="770856151">
      <w:bodyDiv w:val="1"/>
      <w:marLeft w:val="0"/>
      <w:marRight w:val="0"/>
      <w:marTop w:val="0"/>
      <w:marBottom w:val="0"/>
      <w:divBdr>
        <w:top w:val="none" w:sz="0" w:space="0" w:color="auto"/>
        <w:left w:val="none" w:sz="0" w:space="0" w:color="auto"/>
        <w:bottom w:val="none" w:sz="0" w:space="0" w:color="auto"/>
        <w:right w:val="none" w:sz="0" w:space="0" w:color="auto"/>
      </w:divBdr>
    </w:div>
    <w:div w:id="777797022">
      <w:bodyDiv w:val="1"/>
      <w:marLeft w:val="0"/>
      <w:marRight w:val="0"/>
      <w:marTop w:val="0"/>
      <w:marBottom w:val="0"/>
      <w:divBdr>
        <w:top w:val="none" w:sz="0" w:space="0" w:color="auto"/>
        <w:left w:val="none" w:sz="0" w:space="0" w:color="auto"/>
        <w:bottom w:val="none" w:sz="0" w:space="0" w:color="auto"/>
        <w:right w:val="none" w:sz="0" w:space="0" w:color="auto"/>
      </w:divBdr>
    </w:div>
    <w:div w:id="784881973">
      <w:bodyDiv w:val="1"/>
      <w:marLeft w:val="0"/>
      <w:marRight w:val="0"/>
      <w:marTop w:val="0"/>
      <w:marBottom w:val="0"/>
      <w:divBdr>
        <w:top w:val="none" w:sz="0" w:space="0" w:color="auto"/>
        <w:left w:val="none" w:sz="0" w:space="0" w:color="auto"/>
        <w:bottom w:val="none" w:sz="0" w:space="0" w:color="auto"/>
        <w:right w:val="none" w:sz="0" w:space="0" w:color="auto"/>
      </w:divBdr>
    </w:div>
    <w:div w:id="788621794">
      <w:bodyDiv w:val="1"/>
      <w:marLeft w:val="0"/>
      <w:marRight w:val="0"/>
      <w:marTop w:val="0"/>
      <w:marBottom w:val="0"/>
      <w:divBdr>
        <w:top w:val="none" w:sz="0" w:space="0" w:color="auto"/>
        <w:left w:val="none" w:sz="0" w:space="0" w:color="auto"/>
        <w:bottom w:val="none" w:sz="0" w:space="0" w:color="auto"/>
        <w:right w:val="none" w:sz="0" w:space="0" w:color="auto"/>
      </w:divBdr>
    </w:div>
    <w:div w:id="788931474">
      <w:bodyDiv w:val="1"/>
      <w:marLeft w:val="0"/>
      <w:marRight w:val="0"/>
      <w:marTop w:val="0"/>
      <w:marBottom w:val="0"/>
      <w:divBdr>
        <w:top w:val="none" w:sz="0" w:space="0" w:color="auto"/>
        <w:left w:val="none" w:sz="0" w:space="0" w:color="auto"/>
        <w:bottom w:val="none" w:sz="0" w:space="0" w:color="auto"/>
        <w:right w:val="none" w:sz="0" w:space="0" w:color="auto"/>
      </w:divBdr>
    </w:div>
    <w:div w:id="795561236">
      <w:bodyDiv w:val="1"/>
      <w:marLeft w:val="0"/>
      <w:marRight w:val="0"/>
      <w:marTop w:val="0"/>
      <w:marBottom w:val="0"/>
      <w:divBdr>
        <w:top w:val="none" w:sz="0" w:space="0" w:color="auto"/>
        <w:left w:val="none" w:sz="0" w:space="0" w:color="auto"/>
        <w:bottom w:val="none" w:sz="0" w:space="0" w:color="auto"/>
        <w:right w:val="none" w:sz="0" w:space="0" w:color="auto"/>
      </w:divBdr>
    </w:div>
    <w:div w:id="814688672">
      <w:bodyDiv w:val="1"/>
      <w:marLeft w:val="0"/>
      <w:marRight w:val="0"/>
      <w:marTop w:val="0"/>
      <w:marBottom w:val="0"/>
      <w:divBdr>
        <w:top w:val="none" w:sz="0" w:space="0" w:color="auto"/>
        <w:left w:val="none" w:sz="0" w:space="0" w:color="auto"/>
        <w:bottom w:val="none" w:sz="0" w:space="0" w:color="auto"/>
        <w:right w:val="none" w:sz="0" w:space="0" w:color="auto"/>
      </w:divBdr>
    </w:div>
    <w:div w:id="816725902">
      <w:bodyDiv w:val="1"/>
      <w:marLeft w:val="0"/>
      <w:marRight w:val="0"/>
      <w:marTop w:val="0"/>
      <w:marBottom w:val="0"/>
      <w:divBdr>
        <w:top w:val="none" w:sz="0" w:space="0" w:color="auto"/>
        <w:left w:val="none" w:sz="0" w:space="0" w:color="auto"/>
        <w:bottom w:val="none" w:sz="0" w:space="0" w:color="auto"/>
        <w:right w:val="none" w:sz="0" w:space="0" w:color="auto"/>
      </w:divBdr>
    </w:div>
    <w:div w:id="831793200">
      <w:bodyDiv w:val="1"/>
      <w:marLeft w:val="0"/>
      <w:marRight w:val="0"/>
      <w:marTop w:val="0"/>
      <w:marBottom w:val="0"/>
      <w:divBdr>
        <w:top w:val="none" w:sz="0" w:space="0" w:color="auto"/>
        <w:left w:val="none" w:sz="0" w:space="0" w:color="auto"/>
        <w:bottom w:val="none" w:sz="0" w:space="0" w:color="auto"/>
        <w:right w:val="none" w:sz="0" w:space="0" w:color="auto"/>
      </w:divBdr>
    </w:div>
    <w:div w:id="832255773">
      <w:bodyDiv w:val="1"/>
      <w:marLeft w:val="0"/>
      <w:marRight w:val="0"/>
      <w:marTop w:val="0"/>
      <w:marBottom w:val="0"/>
      <w:divBdr>
        <w:top w:val="none" w:sz="0" w:space="0" w:color="auto"/>
        <w:left w:val="none" w:sz="0" w:space="0" w:color="auto"/>
        <w:bottom w:val="none" w:sz="0" w:space="0" w:color="auto"/>
        <w:right w:val="none" w:sz="0" w:space="0" w:color="auto"/>
      </w:divBdr>
    </w:div>
    <w:div w:id="835534643">
      <w:bodyDiv w:val="1"/>
      <w:marLeft w:val="0"/>
      <w:marRight w:val="0"/>
      <w:marTop w:val="0"/>
      <w:marBottom w:val="0"/>
      <w:divBdr>
        <w:top w:val="none" w:sz="0" w:space="0" w:color="auto"/>
        <w:left w:val="none" w:sz="0" w:space="0" w:color="auto"/>
        <w:bottom w:val="none" w:sz="0" w:space="0" w:color="auto"/>
        <w:right w:val="none" w:sz="0" w:space="0" w:color="auto"/>
      </w:divBdr>
    </w:div>
    <w:div w:id="844057453">
      <w:bodyDiv w:val="1"/>
      <w:marLeft w:val="0"/>
      <w:marRight w:val="0"/>
      <w:marTop w:val="0"/>
      <w:marBottom w:val="0"/>
      <w:divBdr>
        <w:top w:val="none" w:sz="0" w:space="0" w:color="auto"/>
        <w:left w:val="none" w:sz="0" w:space="0" w:color="auto"/>
        <w:bottom w:val="none" w:sz="0" w:space="0" w:color="auto"/>
        <w:right w:val="none" w:sz="0" w:space="0" w:color="auto"/>
      </w:divBdr>
      <w:divsChild>
        <w:div w:id="1847934561">
          <w:marLeft w:val="346"/>
          <w:marRight w:val="0"/>
          <w:marTop w:val="60"/>
          <w:marBottom w:val="60"/>
          <w:divBdr>
            <w:top w:val="none" w:sz="0" w:space="0" w:color="auto"/>
            <w:left w:val="none" w:sz="0" w:space="0" w:color="auto"/>
            <w:bottom w:val="none" w:sz="0" w:space="0" w:color="auto"/>
            <w:right w:val="none" w:sz="0" w:space="0" w:color="auto"/>
          </w:divBdr>
        </w:div>
      </w:divsChild>
    </w:div>
    <w:div w:id="849485951">
      <w:bodyDiv w:val="1"/>
      <w:marLeft w:val="0"/>
      <w:marRight w:val="0"/>
      <w:marTop w:val="0"/>
      <w:marBottom w:val="0"/>
      <w:divBdr>
        <w:top w:val="none" w:sz="0" w:space="0" w:color="auto"/>
        <w:left w:val="none" w:sz="0" w:space="0" w:color="auto"/>
        <w:bottom w:val="none" w:sz="0" w:space="0" w:color="auto"/>
        <w:right w:val="none" w:sz="0" w:space="0" w:color="auto"/>
      </w:divBdr>
    </w:div>
    <w:div w:id="851604013">
      <w:bodyDiv w:val="1"/>
      <w:marLeft w:val="0"/>
      <w:marRight w:val="0"/>
      <w:marTop w:val="0"/>
      <w:marBottom w:val="0"/>
      <w:divBdr>
        <w:top w:val="none" w:sz="0" w:space="0" w:color="auto"/>
        <w:left w:val="none" w:sz="0" w:space="0" w:color="auto"/>
        <w:bottom w:val="none" w:sz="0" w:space="0" w:color="auto"/>
        <w:right w:val="none" w:sz="0" w:space="0" w:color="auto"/>
      </w:divBdr>
    </w:div>
    <w:div w:id="852037207">
      <w:bodyDiv w:val="1"/>
      <w:marLeft w:val="0"/>
      <w:marRight w:val="0"/>
      <w:marTop w:val="0"/>
      <w:marBottom w:val="0"/>
      <w:divBdr>
        <w:top w:val="none" w:sz="0" w:space="0" w:color="auto"/>
        <w:left w:val="none" w:sz="0" w:space="0" w:color="auto"/>
        <w:bottom w:val="none" w:sz="0" w:space="0" w:color="auto"/>
        <w:right w:val="none" w:sz="0" w:space="0" w:color="auto"/>
      </w:divBdr>
    </w:div>
    <w:div w:id="859582611">
      <w:bodyDiv w:val="1"/>
      <w:marLeft w:val="0"/>
      <w:marRight w:val="0"/>
      <w:marTop w:val="0"/>
      <w:marBottom w:val="0"/>
      <w:divBdr>
        <w:top w:val="none" w:sz="0" w:space="0" w:color="auto"/>
        <w:left w:val="none" w:sz="0" w:space="0" w:color="auto"/>
        <w:bottom w:val="none" w:sz="0" w:space="0" w:color="auto"/>
        <w:right w:val="none" w:sz="0" w:space="0" w:color="auto"/>
      </w:divBdr>
    </w:div>
    <w:div w:id="864368948">
      <w:bodyDiv w:val="1"/>
      <w:marLeft w:val="0"/>
      <w:marRight w:val="0"/>
      <w:marTop w:val="0"/>
      <w:marBottom w:val="0"/>
      <w:divBdr>
        <w:top w:val="none" w:sz="0" w:space="0" w:color="auto"/>
        <w:left w:val="none" w:sz="0" w:space="0" w:color="auto"/>
        <w:bottom w:val="none" w:sz="0" w:space="0" w:color="auto"/>
        <w:right w:val="none" w:sz="0" w:space="0" w:color="auto"/>
      </w:divBdr>
    </w:div>
    <w:div w:id="871039660">
      <w:bodyDiv w:val="1"/>
      <w:marLeft w:val="0"/>
      <w:marRight w:val="0"/>
      <w:marTop w:val="0"/>
      <w:marBottom w:val="0"/>
      <w:divBdr>
        <w:top w:val="none" w:sz="0" w:space="0" w:color="auto"/>
        <w:left w:val="none" w:sz="0" w:space="0" w:color="auto"/>
        <w:bottom w:val="none" w:sz="0" w:space="0" w:color="auto"/>
        <w:right w:val="none" w:sz="0" w:space="0" w:color="auto"/>
      </w:divBdr>
    </w:div>
    <w:div w:id="872690638">
      <w:bodyDiv w:val="1"/>
      <w:marLeft w:val="0"/>
      <w:marRight w:val="0"/>
      <w:marTop w:val="0"/>
      <w:marBottom w:val="0"/>
      <w:divBdr>
        <w:top w:val="none" w:sz="0" w:space="0" w:color="auto"/>
        <w:left w:val="none" w:sz="0" w:space="0" w:color="auto"/>
        <w:bottom w:val="none" w:sz="0" w:space="0" w:color="auto"/>
        <w:right w:val="none" w:sz="0" w:space="0" w:color="auto"/>
      </w:divBdr>
    </w:div>
    <w:div w:id="880291851">
      <w:bodyDiv w:val="1"/>
      <w:marLeft w:val="0"/>
      <w:marRight w:val="0"/>
      <w:marTop w:val="0"/>
      <w:marBottom w:val="0"/>
      <w:divBdr>
        <w:top w:val="none" w:sz="0" w:space="0" w:color="auto"/>
        <w:left w:val="none" w:sz="0" w:space="0" w:color="auto"/>
        <w:bottom w:val="none" w:sz="0" w:space="0" w:color="auto"/>
        <w:right w:val="none" w:sz="0" w:space="0" w:color="auto"/>
      </w:divBdr>
    </w:div>
    <w:div w:id="890460591">
      <w:bodyDiv w:val="1"/>
      <w:marLeft w:val="0"/>
      <w:marRight w:val="0"/>
      <w:marTop w:val="0"/>
      <w:marBottom w:val="0"/>
      <w:divBdr>
        <w:top w:val="none" w:sz="0" w:space="0" w:color="auto"/>
        <w:left w:val="none" w:sz="0" w:space="0" w:color="auto"/>
        <w:bottom w:val="none" w:sz="0" w:space="0" w:color="auto"/>
        <w:right w:val="none" w:sz="0" w:space="0" w:color="auto"/>
      </w:divBdr>
    </w:div>
    <w:div w:id="895360692">
      <w:bodyDiv w:val="1"/>
      <w:marLeft w:val="0"/>
      <w:marRight w:val="0"/>
      <w:marTop w:val="0"/>
      <w:marBottom w:val="0"/>
      <w:divBdr>
        <w:top w:val="none" w:sz="0" w:space="0" w:color="auto"/>
        <w:left w:val="none" w:sz="0" w:space="0" w:color="auto"/>
        <w:bottom w:val="none" w:sz="0" w:space="0" w:color="auto"/>
        <w:right w:val="none" w:sz="0" w:space="0" w:color="auto"/>
      </w:divBdr>
    </w:div>
    <w:div w:id="907544564">
      <w:bodyDiv w:val="1"/>
      <w:marLeft w:val="0"/>
      <w:marRight w:val="0"/>
      <w:marTop w:val="0"/>
      <w:marBottom w:val="0"/>
      <w:divBdr>
        <w:top w:val="none" w:sz="0" w:space="0" w:color="auto"/>
        <w:left w:val="none" w:sz="0" w:space="0" w:color="auto"/>
        <w:bottom w:val="none" w:sz="0" w:space="0" w:color="auto"/>
        <w:right w:val="none" w:sz="0" w:space="0" w:color="auto"/>
      </w:divBdr>
    </w:div>
    <w:div w:id="909315013">
      <w:bodyDiv w:val="1"/>
      <w:marLeft w:val="0"/>
      <w:marRight w:val="0"/>
      <w:marTop w:val="0"/>
      <w:marBottom w:val="0"/>
      <w:divBdr>
        <w:top w:val="none" w:sz="0" w:space="0" w:color="auto"/>
        <w:left w:val="none" w:sz="0" w:space="0" w:color="auto"/>
        <w:bottom w:val="none" w:sz="0" w:space="0" w:color="auto"/>
        <w:right w:val="none" w:sz="0" w:space="0" w:color="auto"/>
      </w:divBdr>
    </w:div>
    <w:div w:id="909579918">
      <w:bodyDiv w:val="1"/>
      <w:marLeft w:val="0"/>
      <w:marRight w:val="0"/>
      <w:marTop w:val="0"/>
      <w:marBottom w:val="0"/>
      <w:divBdr>
        <w:top w:val="none" w:sz="0" w:space="0" w:color="auto"/>
        <w:left w:val="none" w:sz="0" w:space="0" w:color="auto"/>
        <w:bottom w:val="none" w:sz="0" w:space="0" w:color="auto"/>
        <w:right w:val="none" w:sz="0" w:space="0" w:color="auto"/>
      </w:divBdr>
    </w:div>
    <w:div w:id="911043369">
      <w:bodyDiv w:val="1"/>
      <w:marLeft w:val="0"/>
      <w:marRight w:val="0"/>
      <w:marTop w:val="0"/>
      <w:marBottom w:val="0"/>
      <w:divBdr>
        <w:top w:val="none" w:sz="0" w:space="0" w:color="auto"/>
        <w:left w:val="none" w:sz="0" w:space="0" w:color="auto"/>
        <w:bottom w:val="none" w:sz="0" w:space="0" w:color="auto"/>
        <w:right w:val="none" w:sz="0" w:space="0" w:color="auto"/>
      </w:divBdr>
    </w:div>
    <w:div w:id="921139781">
      <w:bodyDiv w:val="1"/>
      <w:marLeft w:val="0"/>
      <w:marRight w:val="0"/>
      <w:marTop w:val="0"/>
      <w:marBottom w:val="0"/>
      <w:divBdr>
        <w:top w:val="none" w:sz="0" w:space="0" w:color="auto"/>
        <w:left w:val="none" w:sz="0" w:space="0" w:color="auto"/>
        <w:bottom w:val="none" w:sz="0" w:space="0" w:color="auto"/>
        <w:right w:val="none" w:sz="0" w:space="0" w:color="auto"/>
      </w:divBdr>
    </w:div>
    <w:div w:id="931743212">
      <w:bodyDiv w:val="1"/>
      <w:marLeft w:val="0"/>
      <w:marRight w:val="0"/>
      <w:marTop w:val="0"/>
      <w:marBottom w:val="0"/>
      <w:divBdr>
        <w:top w:val="none" w:sz="0" w:space="0" w:color="auto"/>
        <w:left w:val="none" w:sz="0" w:space="0" w:color="auto"/>
        <w:bottom w:val="none" w:sz="0" w:space="0" w:color="auto"/>
        <w:right w:val="none" w:sz="0" w:space="0" w:color="auto"/>
      </w:divBdr>
      <w:divsChild>
        <w:div w:id="998270307">
          <w:marLeft w:val="346"/>
          <w:marRight w:val="0"/>
          <w:marTop w:val="60"/>
          <w:marBottom w:val="60"/>
          <w:divBdr>
            <w:top w:val="none" w:sz="0" w:space="0" w:color="auto"/>
            <w:left w:val="none" w:sz="0" w:space="0" w:color="auto"/>
            <w:bottom w:val="none" w:sz="0" w:space="0" w:color="auto"/>
            <w:right w:val="none" w:sz="0" w:space="0" w:color="auto"/>
          </w:divBdr>
        </w:div>
      </w:divsChild>
    </w:div>
    <w:div w:id="932318039">
      <w:bodyDiv w:val="1"/>
      <w:marLeft w:val="0"/>
      <w:marRight w:val="0"/>
      <w:marTop w:val="0"/>
      <w:marBottom w:val="0"/>
      <w:divBdr>
        <w:top w:val="none" w:sz="0" w:space="0" w:color="auto"/>
        <w:left w:val="none" w:sz="0" w:space="0" w:color="auto"/>
        <w:bottom w:val="none" w:sz="0" w:space="0" w:color="auto"/>
        <w:right w:val="none" w:sz="0" w:space="0" w:color="auto"/>
      </w:divBdr>
    </w:div>
    <w:div w:id="935139203">
      <w:bodyDiv w:val="1"/>
      <w:marLeft w:val="0"/>
      <w:marRight w:val="0"/>
      <w:marTop w:val="0"/>
      <w:marBottom w:val="0"/>
      <w:divBdr>
        <w:top w:val="none" w:sz="0" w:space="0" w:color="auto"/>
        <w:left w:val="none" w:sz="0" w:space="0" w:color="auto"/>
        <w:bottom w:val="none" w:sz="0" w:space="0" w:color="auto"/>
        <w:right w:val="none" w:sz="0" w:space="0" w:color="auto"/>
      </w:divBdr>
    </w:div>
    <w:div w:id="937524407">
      <w:bodyDiv w:val="1"/>
      <w:marLeft w:val="0"/>
      <w:marRight w:val="0"/>
      <w:marTop w:val="0"/>
      <w:marBottom w:val="0"/>
      <w:divBdr>
        <w:top w:val="none" w:sz="0" w:space="0" w:color="auto"/>
        <w:left w:val="none" w:sz="0" w:space="0" w:color="auto"/>
        <w:bottom w:val="none" w:sz="0" w:space="0" w:color="auto"/>
        <w:right w:val="none" w:sz="0" w:space="0" w:color="auto"/>
      </w:divBdr>
    </w:div>
    <w:div w:id="941650268">
      <w:bodyDiv w:val="1"/>
      <w:marLeft w:val="0"/>
      <w:marRight w:val="0"/>
      <w:marTop w:val="0"/>
      <w:marBottom w:val="0"/>
      <w:divBdr>
        <w:top w:val="none" w:sz="0" w:space="0" w:color="auto"/>
        <w:left w:val="none" w:sz="0" w:space="0" w:color="auto"/>
        <w:bottom w:val="none" w:sz="0" w:space="0" w:color="auto"/>
        <w:right w:val="none" w:sz="0" w:space="0" w:color="auto"/>
      </w:divBdr>
    </w:div>
    <w:div w:id="951015157">
      <w:bodyDiv w:val="1"/>
      <w:marLeft w:val="0"/>
      <w:marRight w:val="0"/>
      <w:marTop w:val="0"/>
      <w:marBottom w:val="0"/>
      <w:divBdr>
        <w:top w:val="none" w:sz="0" w:space="0" w:color="auto"/>
        <w:left w:val="none" w:sz="0" w:space="0" w:color="auto"/>
        <w:bottom w:val="none" w:sz="0" w:space="0" w:color="auto"/>
        <w:right w:val="none" w:sz="0" w:space="0" w:color="auto"/>
      </w:divBdr>
    </w:div>
    <w:div w:id="955258667">
      <w:bodyDiv w:val="1"/>
      <w:marLeft w:val="0"/>
      <w:marRight w:val="0"/>
      <w:marTop w:val="0"/>
      <w:marBottom w:val="0"/>
      <w:divBdr>
        <w:top w:val="none" w:sz="0" w:space="0" w:color="auto"/>
        <w:left w:val="none" w:sz="0" w:space="0" w:color="auto"/>
        <w:bottom w:val="none" w:sz="0" w:space="0" w:color="auto"/>
        <w:right w:val="none" w:sz="0" w:space="0" w:color="auto"/>
      </w:divBdr>
    </w:div>
    <w:div w:id="956565878">
      <w:bodyDiv w:val="1"/>
      <w:marLeft w:val="0"/>
      <w:marRight w:val="0"/>
      <w:marTop w:val="0"/>
      <w:marBottom w:val="0"/>
      <w:divBdr>
        <w:top w:val="none" w:sz="0" w:space="0" w:color="auto"/>
        <w:left w:val="none" w:sz="0" w:space="0" w:color="auto"/>
        <w:bottom w:val="none" w:sz="0" w:space="0" w:color="auto"/>
        <w:right w:val="none" w:sz="0" w:space="0" w:color="auto"/>
      </w:divBdr>
      <w:divsChild>
        <w:div w:id="309096647">
          <w:marLeft w:val="346"/>
          <w:marRight w:val="0"/>
          <w:marTop w:val="60"/>
          <w:marBottom w:val="60"/>
          <w:divBdr>
            <w:top w:val="none" w:sz="0" w:space="0" w:color="auto"/>
            <w:left w:val="none" w:sz="0" w:space="0" w:color="auto"/>
            <w:bottom w:val="none" w:sz="0" w:space="0" w:color="auto"/>
            <w:right w:val="none" w:sz="0" w:space="0" w:color="auto"/>
          </w:divBdr>
        </w:div>
      </w:divsChild>
    </w:div>
    <w:div w:id="962148990">
      <w:bodyDiv w:val="1"/>
      <w:marLeft w:val="0"/>
      <w:marRight w:val="0"/>
      <w:marTop w:val="0"/>
      <w:marBottom w:val="0"/>
      <w:divBdr>
        <w:top w:val="none" w:sz="0" w:space="0" w:color="auto"/>
        <w:left w:val="none" w:sz="0" w:space="0" w:color="auto"/>
        <w:bottom w:val="none" w:sz="0" w:space="0" w:color="auto"/>
        <w:right w:val="none" w:sz="0" w:space="0" w:color="auto"/>
      </w:divBdr>
    </w:div>
    <w:div w:id="966424577">
      <w:bodyDiv w:val="1"/>
      <w:marLeft w:val="0"/>
      <w:marRight w:val="0"/>
      <w:marTop w:val="0"/>
      <w:marBottom w:val="0"/>
      <w:divBdr>
        <w:top w:val="none" w:sz="0" w:space="0" w:color="auto"/>
        <w:left w:val="none" w:sz="0" w:space="0" w:color="auto"/>
        <w:bottom w:val="none" w:sz="0" w:space="0" w:color="auto"/>
        <w:right w:val="none" w:sz="0" w:space="0" w:color="auto"/>
      </w:divBdr>
    </w:div>
    <w:div w:id="970984516">
      <w:bodyDiv w:val="1"/>
      <w:marLeft w:val="0"/>
      <w:marRight w:val="0"/>
      <w:marTop w:val="0"/>
      <w:marBottom w:val="0"/>
      <w:divBdr>
        <w:top w:val="none" w:sz="0" w:space="0" w:color="auto"/>
        <w:left w:val="none" w:sz="0" w:space="0" w:color="auto"/>
        <w:bottom w:val="none" w:sz="0" w:space="0" w:color="auto"/>
        <w:right w:val="none" w:sz="0" w:space="0" w:color="auto"/>
      </w:divBdr>
    </w:div>
    <w:div w:id="976184754">
      <w:bodyDiv w:val="1"/>
      <w:marLeft w:val="0"/>
      <w:marRight w:val="0"/>
      <w:marTop w:val="0"/>
      <w:marBottom w:val="0"/>
      <w:divBdr>
        <w:top w:val="none" w:sz="0" w:space="0" w:color="auto"/>
        <w:left w:val="none" w:sz="0" w:space="0" w:color="auto"/>
        <w:bottom w:val="none" w:sz="0" w:space="0" w:color="auto"/>
        <w:right w:val="none" w:sz="0" w:space="0" w:color="auto"/>
      </w:divBdr>
    </w:div>
    <w:div w:id="989090814">
      <w:bodyDiv w:val="1"/>
      <w:marLeft w:val="0"/>
      <w:marRight w:val="0"/>
      <w:marTop w:val="0"/>
      <w:marBottom w:val="0"/>
      <w:divBdr>
        <w:top w:val="none" w:sz="0" w:space="0" w:color="auto"/>
        <w:left w:val="none" w:sz="0" w:space="0" w:color="auto"/>
        <w:bottom w:val="none" w:sz="0" w:space="0" w:color="auto"/>
        <w:right w:val="none" w:sz="0" w:space="0" w:color="auto"/>
      </w:divBdr>
    </w:div>
    <w:div w:id="993144780">
      <w:bodyDiv w:val="1"/>
      <w:marLeft w:val="0"/>
      <w:marRight w:val="0"/>
      <w:marTop w:val="0"/>
      <w:marBottom w:val="0"/>
      <w:divBdr>
        <w:top w:val="none" w:sz="0" w:space="0" w:color="auto"/>
        <w:left w:val="none" w:sz="0" w:space="0" w:color="auto"/>
        <w:bottom w:val="none" w:sz="0" w:space="0" w:color="auto"/>
        <w:right w:val="none" w:sz="0" w:space="0" w:color="auto"/>
      </w:divBdr>
    </w:div>
    <w:div w:id="999692981">
      <w:bodyDiv w:val="1"/>
      <w:marLeft w:val="0"/>
      <w:marRight w:val="0"/>
      <w:marTop w:val="0"/>
      <w:marBottom w:val="0"/>
      <w:divBdr>
        <w:top w:val="none" w:sz="0" w:space="0" w:color="auto"/>
        <w:left w:val="none" w:sz="0" w:space="0" w:color="auto"/>
        <w:bottom w:val="none" w:sz="0" w:space="0" w:color="auto"/>
        <w:right w:val="none" w:sz="0" w:space="0" w:color="auto"/>
      </w:divBdr>
    </w:div>
    <w:div w:id="1005278284">
      <w:bodyDiv w:val="1"/>
      <w:marLeft w:val="0"/>
      <w:marRight w:val="0"/>
      <w:marTop w:val="0"/>
      <w:marBottom w:val="0"/>
      <w:divBdr>
        <w:top w:val="none" w:sz="0" w:space="0" w:color="auto"/>
        <w:left w:val="none" w:sz="0" w:space="0" w:color="auto"/>
        <w:bottom w:val="none" w:sz="0" w:space="0" w:color="auto"/>
        <w:right w:val="none" w:sz="0" w:space="0" w:color="auto"/>
      </w:divBdr>
    </w:div>
    <w:div w:id="1005744451">
      <w:bodyDiv w:val="1"/>
      <w:marLeft w:val="0"/>
      <w:marRight w:val="0"/>
      <w:marTop w:val="0"/>
      <w:marBottom w:val="0"/>
      <w:divBdr>
        <w:top w:val="none" w:sz="0" w:space="0" w:color="auto"/>
        <w:left w:val="none" w:sz="0" w:space="0" w:color="auto"/>
        <w:bottom w:val="none" w:sz="0" w:space="0" w:color="auto"/>
        <w:right w:val="none" w:sz="0" w:space="0" w:color="auto"/>
      </w:divBdr>
    </w:div>
    <w:div w:id="1006714285">
      <w:bodyDiv w:val="1"/>
      <w:marLeft w:val="0"/>
      <w:marRight w:val="0"/>
      <w:marTop w:val="0"/>
      <w:marBottom w:val="0"/>
      <w:divBdr>
        <w:top w:val="none" w:sz="0" w:space="0" w:color="auto"/>
        <w:left w:val="none" w:sz="0" w:space="0" w:color="auto"/>
        <w:bottom w:val="none" w:sz="0" w:space="0" w:color="auto"/>
        <w:right w:val="none" w:sz="0" w:space="0" w:color="auto"/>
      </w:divBdr>
    </w:div>
    <w:div w:id="1011762683">
      <w:bodyDiv w:val="1"/>
      <w:marLeft w:val="0"/>
      <w:marRight w:val="0"/>
      <w:marTop w:val="0"/>
      <w:marBottom w:val="0"/>
      <w:divBdr>
        <w:top w:val="none" w:sz="0" w:space="0" w:color="auto"/>
        <w:left w:val="none" w:sz="0" w:space="0" w:color="auto"/>
        <w:bottom w:val="none" w:sz="0" w:space="0" w:color="auto"/>
        <w:right w:val="none" w:sz="0" w:space="0" w:color="auto"/>
      </w:divBdr>
    </w:div>
    <w:div w:id="1015156488">
      <w:bodyDiv w:val="1"/>
      <w:marLeft w:val="0"/>
      <w:marRight w:val="0"/>
      <w:marTop w:val="0"/>
      <w:marBottom w:val="0"/>
      <w:divBdr>
        <w:top w:val="none" w:sz="0" w:space="0" w:color="auto"/>
        <w:left w:val="none" w:sz="0" w:space="0" w:color="auto"/>
        <w:bottom w:val="none" w:sz="0" w:space="0" w:color="auto"/>
        <w:right w:val="none" w:sz="0" w:space="0" w:color="auto"/>
      </w:divBdr>
    </w:div>
    <w:div w:id="1025205849">
      <w:bodyDiv w:val="1"/>
      <w:marLeft w:val="0"/>
      <w:marRight w:val="0"/>
      <w:marTop w:val="0"/>
      <w:marBottom w:val="0"/>
      <w:divBdr>
        <w:top w:val="none" w:sz="0" w:space="0" w:color="auto"/>
        <w:left w:val="none" w:sz="0" w:space="0" w:color="auto"/>
        <w:bottom w:val="none" w:sz="0" w:space="0" w:color="auto"/>
        <w:right w:val="none" w:sz="0" w:space="0" w:color="auto"/>
      </w:divBdr>
    </w:div>
    <w:div w:id="1031036418">
      <w:bodyDiv w:val="1"/>
      <w:marLeft w:val="0"/>
      <w:marRight w:val="0"/>
      <w:marTop w:val="0"/>
      <w:marBottom w:val="0"/>
      <w:divBdr>
        <w:top w:val="none" w:sz="0" w:space="0" w:color="auto"/>
        <w:left w:val="none" w:sz="0" w:space="0" w:color="auto"/>
        <w:bottom w:val="none" w:sz="0" w:space="0" w:color="auto"/>
        <w:right w:val="none" w:sz="0" w:space="0" w:color="auto"/>
      </w:divBdr>
    </w:div>
    <w:div w:id="1032265874">
      <w:bodyDiv w:val="1"/>
      <w:marLeft w:val="0"/>
      <w:marRight w:val="0"/>
      <w:marTop w:val="0"/>
      <w:marBottom w:val="0"/>
      <w:divBdr>
        <w:top w:val="none" w:sz="0" w:space="0" w:color="auto"/>
        <w:left w:val="none" w:sz="0" w:space="0" w:color="auto"/>
        <w:bottom w:val="none" w:sz="0" w:space="0" w:color="auto"/>
        <w:right w:val="none" w:sz="0" w:space="0" w:color="auto"/>
      </w:divBdr>
    </w:div>
    <w:div w:id="1037968854">
      <w:bodyDiv w:val="1"/>
      <w:marLeft w:val="0"/>
      <w:marRight w:val="0"/>
      <w:marTop w:val="0"/>
      <w:marBottom w:val="0"/>
      <w:divBdr>
        <w:top w:val="none" w:sz="0" w:space="0" w:color="auto"/>
        <w:left w:val="none" w:sz="0" w:space="0" w:color="auto"/>
        <w:bottom w:val="none" w:sz="0" w:space="0" w:color="auto"/>
        <w:right w:val="none" w:sz="0" w:space="0" w:color="auto"/>
      </w:divBdr>
    </w:div>
    <w:div w:id="1044407486">
      <w:bodyDiv w:val="1"/>
      <w:marLeft w:val="0"/>
      <w:marRight w:val="0"/>
      <w:marTop w:val="0"/>
      <w:marBottom w:val="0"/>
      <w:divBdr>
        <w:top w:val="none" w:sz="0" w:space="0" w:color="auto"/>
        <w:left w:val="none" w:sz="0" w:space="0" w:color="auto"/>
        <w:bottom w:val="none" w:sz="0" w:space="0" w:color="auto"/>
        <w:right w:val="none" w:sz="0" w:space="0" w:color="auto"/>
      </w:divBdr>
    </w:div>
    <w:div w:id="1046489242">
      <w:bodyDiv w:val="1"/>
      <w:marLeft w:val="0"/>
      <w:marRight w:val="0"/>
      <w:marTop w:val="0"/>
      <w:marBottom w:val="0"/>
      <w:divBdr>
        <w:top w:val="none" w:sz="0" w:space="0" w:color="auto"/>
        <w:left w:val="none" w:sz="0" w:space="0" w:color="auto"/>
        <w:bottom w:val="none" w:sz="0" w:space="0" w:color="auto"/>
        <w:right w:val="none" w:sz="0" w:space="0" w:color="auto"/>
      </w:divBdr>
    </w:div>
    <w:div w:id="1050805406">
      <w:bodyDiv w:val="1"/>
      <w:marLeft w:val="0"/>
      <w:marRight w:val="0"/>
      <w:marTop w:val="0"/>
      <w:marBottom w:val="0"/>
      <w:divBdr>
        <w:top w:val="none" w:sz="0" w:space="0" w:color="auto"/>
        <w:left w:val="none" w:sz="0" w:space="0" w:color="auto"/>
        <w:bottom w:val="none" w:sz="0" w:space="0" w:color="auto"/>
        <w:right w:val="none" w:sz="0" w:space="0" w:color="auto"/>
      </w:divBdr>
    </w:div>
    <w:div w:id="1051610665">
      <w:bodyDiv w:val="1"/>
      <w:marLeft w:val="0"/>
      <w:marRight w:val="0"/>
      <w:marTop w:val="0"/>
      <w:marBottom w:val="0"/>
      <w:divBdr>
        <w:top w:val="none" w:sz="0" w:space="0" w:color="auto"/>
        <w:left w:val="none" w:sz="0" w:space="0" w:color="auto"/>
        <w:bottom w:val="none" w:sz="0" w:space="0" w:color="auto"/>
        <w:right w:val="none" w:sz="0" w:space="0" w:color="auto"/>
      </w:divBdr>
    </w:div>
    <w:div w:id="1057164412">
      <w:bodyDiv w:val="1"/>
      <w:marLeft w:val="0"/>
      <w:marRight w:val="0"/>
      <w:marTop w:val="0"/>
      <w:marBottom w:val="0"/>
      <w:divBdr>
        <w:top w:val="none" w:sz="0" w:space="0" w:color="auto"/>
        <w:left w:val="none" w:sz="0" w:space="0" w:color="auto"/>
        <w:bottom w:val="none" w:sz="0" w:space="0" w:color="auto"/>
        <w:right w:val="none" w:sz="0" w:space="0" w:color="auto"/>
      </w:divBdr>
    </w:div>
    <w:div w:id="1071006665">
      <w:bodyDiv w:val="1"/>
      <w:marLeft w:val="0"/>
      <w:marRight w:val="0"/>
      <w:marTop w:val="0"/>
      <w:marBottom w:val="0"/>
      <w:divBdr>
        <w:top w:val="none" w:sz="0" w:space="0" w:color="auto"/>
        <w:left w:val="none" w:sz="0" w:space="0" w:color="auto"/>
        <w:bottom w:val="none" w:sz="0" w:space="0" w:color="auto"/>
        <w:right w:val="none" w:sz="0" w:space="0" w:color="auto"/>
      </w:divBdr>
    </w:div>
    <w:div w:id="1076055315">
      <w:bodyDiv w:val="1"/>
      <w:marLeft w:val="0"/>
      <w:marRight w:val="0"/>
      <w:marTop w:val="0"/>
      <w:marBottom w:val="0"/>
      <w:divBdr>
        <w:top w:val="none" w:sz="0" w:space="0" w:color="auto"/>
        <w:left w:val="none" w:sz="0" w:space="0" w:color="auto"/>
        <w:bottom w:val="none" w:sz="0" w:space="0" w:color="auto"/>
        <w:right w:val="none" w:sz="0" w:space="0" w:color="auto"/>
      </w:divBdr>
    </w:div>
    <w:div w:id="1080104162">
      <w:bodyDiv w:val="1"/>
      <w:marLeft w:val="0"/>
      <w:marRight w:val="0"/>
      <w:marTop w:val="0"/>
      <w:marBottom w:val="0"/>
      <w:divBdr>
        <w:top w:val="none" w:sz="0" w:space="0" w:color="auto"/>
        <w:left w:val="none" w:sz="0" w:space="0" w:color="auto"/>
        <w:bottom w:val="none" w:sz="0" w:space="0" w:color="auto"/>
        <w:right w:val="none" w:sz="0" w:space="0" w:color="auto"/>
      </w:divBdr>
    </w:div>
    <w:div w:id="1087580284">
      <w:bodyDiv w:val="1"/>
      <w:marLeft w:val="0"/>
      <w:marRight w:val="0"/>
      <w:marTop w:val="0"/>
      <w:marBottom w:val="0"/>
      <w:divBdr>
        <w:top w:val="none" w:sz="0" w:space="0" w:color="auto"/>
        <w:left w:val="none" w:sz="0" w:space="0" w:color="auto"/>
        <w:bottom w:val="none" w:sz="0" w:space="0" w:color="auto"/>
        <w:right w:val="none" w:sz="0" w:space="0" w:color="auto"/>
      </w:divBdr>
    </w:div>
    <w:div w:id="1091243907">
      <w:bodyDiv w:val="1"/>
      <w:marLeft w:val="0"/>
      <w:marRight w:val="0"/>
      <w:marTop w:val="0"/>
      <w:marBottom w:val="0"/>
      <w:divBdr>
        <w:top w:val="none" w:sz="0" w:space="0" w:color="auto"/>
        <w:left w:val="none" w:sz="0" w:space="0" w:color="auto"/>
        <w:bottom w:val="none" w:sz="0" w:space="0" w:color="auto"/>
        <w:right w:val="none" w:sz="0" w:space="0" w:color="auto"/>
      </w:divBdr>
    </w:div>
    <w:div w:id="1093165077">
      <w:bodyDiv w:val="1"/>
      <w:marLeft w:val="0"/>
      <w:marRight w:val="0"/>
      <w:marTop w:val="0"/>
      <w:marBottom w:val="0"/>
      <w:divBdr>
        <w:top w:val="none" w:sz="0" w:space="0" w:color="auto"/>
        <w:left w:val="none" w:sz="0" w:space="0" w:color="auto"/>
        <w:bottom w:val="none" w:sz="0" w:space="0" w:color="auto"/>
        <w:right w:val="none" w:sz="0" w:space="0" w:color="auto"/>
      </w:divBdr>
    </w:div>
    <w:div w:id="1101334362">
      <w:bodyDiv w:val="1"/>
      <w:marLeft w:val="0"/>
      <w:marRight w:val="0"/>
      <w:marTop w:val="0"/>
      <w:marBottom w:val="0"/>
      <w:divBdr>
        <w:top w:val="none" w:sz="0" w:space="0" w:color="auto"/>
        <w:left w:val="none" w:sz="0" w:space="0" w:color="auto"/>
        <w:bottom w:val="none" w:sz="0" w:space="0" w:color="auto"/>
        <w:right w:val="none" w:sz="0" w:space="0" w:color="auto"/>
      </w:divBdr>
    </w:div>
    <w:div w:id="1113940006">
      <w:bodyDiv w:val="1"/>
      <w:marLeft w:val="0"/>
      <w:marRight w:val="0"/>
      <w:marTop w:val="0"/>
      <w:marBottom w:val="0"/>
      <w:divBdr>
        <w:top w:val="none" w:sz="0" w:space="0" w:color="auto"/>
        <w:left w:val="none" w:sz="0" w:space="0" w:color="auto"/>
        <w:bottom w:val="none" w:sz="0" w:space="0" w:color="auto"/>
        <w:right w:val="none" w:sz="0" w:space="0" w:color="auto"/>
      </w:divBdr>
    </w:div>
    <w:div w:id="1113940694">
      <w:bodyDiv w:val="1"/>
      <w:marLeft w:val="0"/>
      <w:marRight w:val="0"/>
      <w:marTop w:val="0"/>
      <w:marBottom w:val="0"/>
      <w:divBdr>
        <w:top w:val="none" w:sz="0" w:space="0" w:color="auto"/>
        <w:left w:val="none" w:sz="0" w:space="0" w:color="auto"/>
        <w:bottom w:val="none" w:sz="0" w:space="0" w:color="auto"/>
        <w:right w:val="none" w:sz="0" w:space="0" w:color="auto"/>
      </w:divBdr>
    </w:div>
    <w:div w:id="1117455513">
      <w:bodyDiv w:val="1"/>
      <w:marLeft w:val="0"/>
      <w:marRight w:val="0"/>
      <w:marTop w:val="0"/>
      <w:marBottom w:val="0"/>
      <w:divBdr>
        <w:top w:val="none" w:sz="0" w:space="0" w:color="auto"/>
        <w:left w:val="none" w:sz="0" w:space="0" w:color="auto"/>
        <w:bottom w:val="none" w:sz="0" w:space="0" w:color="auto"/>
        <w:right w:val="none" w:sz="0" w:space="0" w:color="auto"/>
      </w:divBdr>
    </w:div>
    <w:div w:id="1121876460">
      <w:bodyDiv w:val="1"/>
      <w:marLeft w:val="0"/>
      <w:marRight w:val="0"/>
      <w:marTop w:val="0"/>
      <w:marBottom w:val="0"/>
      <w:divBdr>
        <w:top w:val="none" w:sz="0" w:space="0" w:color="auto"/>
        <w:left w:val="none" w:sz="0" w:space="0" w:color="auto"/>
        <w:bottom w:val="none" w:sz="0" w:space="0" w:color="auto"/>
        <w:right w:val="none" w:sz="0" w:space="0" w:color="auto"/>
      </w:divBdr>
      <w:divsChild>
        <w:div w:id="574054392">
          <w:marLeft w:val="346"/>
          <w:marRight w:val="0"/>
          <w:marTop w:val="60"/>
          <w:marBottom w:val="60"/>
          <w:divBdr>
            <w:top w:val="none" w:sz="0" w:space="0" w:color="auto"/>
            <w:left w:val="none" w:sz="0" w:space="0" w:color="auto"/>
            <w:bottom w:val="none" w:sz="0" w:space="0" w:color="auto"/>
            <w:right w:val="none" w:sz="0" w:space="0" w:color="auto"/>
          </w:divBdr>
        </w:div>
      </w:divsChild>
    </w:div>
    <w:div w:id="1126849205">
      <w:bodyDiv w:val="1"/>
      <w:marLeft w:val="0"/>
      <w:marRight w:val="0"/>
      <w:marTop w:val="0"/>
      <w:marBottom w:val="0"/>
      <w:divBdr>
        <w:top w:val="none" w:sz="0" w:space="0" w:color="auto"/>
        <w:left w:val="none" w:sz="0" w:space="0" w:color="auto"/>
        <w:bottom w:val="none" w:sz="0" w:space="0" w:color="auto"/>
        <w:right w:val="none" w:sz="0" w:space="0" w:color="auto"/>
      </w:divBdr>
    </w:div>
    <w:div w:id="1132746135">
      <w:bodyDiv w:val="1"/>
      <w:marLeft w:val="0"/>
      <w:marRight w:val="0"/>
      <w:marTop w:val="0"/>
      <w:marBottom w:val="0"/>
      <w:divBdr>
        <w:top w:val="none" w:sz="0" w:space="0" w:color="auto"/>
        <w:left w:val="none" w:sz="0" w:space="0" w:color="auto"/>
        <w:bottom w:val="none" w:sz="0" w:space="0" w:color="auto"/>
        <w:right w:val="none" w:sz="0" w:space="0" w:color="auto"/>
      </w:divBdr>
    </w:div>
    <w:div w:id="1143160827">
      <w:bodyDiv w:val="1"/>
      <w:marLeft w:val="0"/>
      <w:marRight w:val="0"/>
      <w:marTop w:val="0"/>
      <w:marBottom w:val="0"/>
      <w:divBdr>
        <w:top w:val="none" w:sz="0" w:space="0" w:color="auto"/>
        <w:left w:val="none" w:sz="0" w:space="0" w:color="auto"/>
        <w:bottom w:val="none" w:sz="0" w:space="0" w:color="auto"/>
        <w:right w:val="none" w:sz="0" w:space="0" w:color="auto"/>
      </w:divBdr>
    </w:div>
    <w:div w:id="1145046261">
      <w:bodyDiv w:val="1"/>
      <w:marLeft w:val="0"/>
      <w:marRight w:val="0"/>
      <w:marTop w:val="0"/>
      <w:marBottom w:val="0"/>
      <w:divBdr>
        <w:top w:val="none" w:sz="0" w:space="0" w:color="auto"/>
        <w:left w:val="none" w:sz="0" w:space="0" w:color="auto"/>
        <w:bottom w:val="none" w:sz="0" w:space="0" w:color="auto"/>
        <w:right w:val="none" w:sz="0" w:space="0" w:color="auto"/>
      </w:divBdr>
    </w:div>
    <w:div w:id="1155300722">
      <w:bodyDiv w:val="1"/>
      <w:marLeft w:val="0"/>
      <w:marRight w:val="0"/>
      <w:marTop w:val="0"/>
      <w:marBottom w:val="0"/>
      <w:divBdr>
        <w:top w:val="none" w:sz="0" w:space="0" w:color="auto"/>
        <w:left w:val="none" w:sz="0" w:space="0" w:color="auto"/>
        <w:bottom w:val="none" w:sz="0" w:space="0" w:color="auto"/>
        <w:right w:val="none" w:sz="0" w:space="0" w:color="auto"/>
      </w:divBdr>
    </w:div>
    <w:div w:id="1161506609">
      <w:bodyDiv w:val="1"/>
      <w:marLeft w:val="0"/>
      <w:marRight w:val="0"/>
      <w:marTop w:val="0"/>
      <w:marBottom w:val="0"/>
      <w:divBdr>
        <w:top w:val="none" w:sz="0" w:space="0" w:color="auto"/>
        <w:left w:val="none" w:sz="0" w:space="0" w:color="auto"/>
        <w:bottom w:val="none" w:sz="0" w:space="0" w:color="auto"/>
        <w:right w:val="none" w:sz="0" w:space="0" w:color="auto"/>
      </w:divBdr>
    </w:div>
    <w:div w:id="1164903267">
      <w:bodyDiv w:val="1"/>
      <w:marLeft w:val="0"/>
      <w:marRight w:val="0"/>
      <w:marTop w:val="0"/>
      <w:marBottom w:val="0"/>
      <w:divBdr>
        <w:top w:val="none" w:sz="0" w:space="0" w:color="auto"/>
        <w:left w:val="none" w:sz="0" w:space="0" w:color="auto"/>
        <w:bottom w:val="none" w:sz="0" w:space="0" w:color="auto"/>
        <w:right w:val="none" w:sz="0" w:space="0" w:color="auto"/>
      </w:divBdr>
    </w:div>
    <w:div w:id="1170831665">
      <w:bodyDiv w:val="1"/>
      <w:marLeft w:val="0"/>
      <w:marRight w:val="0"/>
      <w:marTop w:val="0"/>
      <w:marBottom w:val="0"/>
      <w:divBdr>
        <w:top w:val="none" w:sz="0" w:space="0" w:color="auto"/>
        <w:left w:val="none" w:sz="0" w:space="0" w:color="auto"/>
        <w:bottom w:val="none" w:sz="0" w:space="0" w:color="auto"/>
        <w:right w:val="none" w:sz="0" w:space="0" w:color="auto"/>
      </w:divBdr>
    </w:div>
    <w:div w:id="1171026653">
      <w:bodyDiv w:val="1"/>
      <w:marLeft w:val="0"/>
      <w:marRight w:val="0"/>
      <w:marTop w:val="0"/>
      <w:marBottom w:val="0"/>
      <w:divBdr>
        <w:top w:val="none" w:sz="0" w:space="0" w:color="auto"/>
        <w:left w:val="none" w:sz="0" w:space="0" w:color="auto"/>
        <w:bottom w:val="none" w:sz="0" w:space="0" w:color="auto"/>
        <w:right w:val="none" w:sz="0" w:space="0" w:color="auto"/>
      </w:divBdr>
    </w:div>
    <w:div w:id="1176581321">
      <w:bodyDiv w:val="1"/>
      <w:marLeft w:val="0"/>
      <w:marRight w:val="0"/>
      <w:marTop w:val="0"/>
      <w:marBottom w:val="0"/>
      <w:divBdr>
        <w:top w:val="none" w:sz="0" w:space="0" w:color="auto"/>
        <w:left w:val="none" w:sz="0" w:space="0" w:color="auto"/>
        <w:bottom w:val="none" w:sz="0" w:space="0" w:color="auto"/>
        <w:right w:val="none" w:sz="0" w:space="0" w:color="auto"/>
      </w:divBdr>
    </w:div>
    <w:div w:id="1180776166">
      <w:bodyDiv w:val="1"/>
      <w:marLeft w:val="0"/>
      <w:marRight w:val="0"/>
      <w:marTop w:val="0"/>
      <w:marBottom w:val="0"/>
      <w:divBdr>
        <w:top w:val="none" w:sz="0" w:space="0" w:color="auto"/>
        <w:left w:val="none" w:sz="0" w:space="0" w:color="auto"/>
        <w:bottom w:val="none" w:sz="0" w:space="0" w:color="auto"/>
        <w:right w:val="none" w:sz="0" w:space="0" w:color="auto"/>
      </w:divBdr>
    </w:div>
    <w:div w:id="1197348050">
      <w:bodyDiv w:val="1"/>
      <w:marLeft w:val="0"/>
      <w:marRight w:val="0"/>
      <w:marTop w:val="0"/>
      <w:marBottom w:val="0"/>
      <w:divBdr>
        <w:top w:val="none" w:sz="0" w:space="0" w:color="auto"/>
        <w:left w:val="none" w:sz="0" w:space="0" w:color="auto"/>
        <w:bottom w:val="none" w:sz="0" w:space="0" w:color="auto"/>
        <w:right w:val="none" w:sz="0" w:space="0" w:color="auto"/>
      </w:divBdr>
    </w:div>
    <w:div w:id="1209220484">
      <w:bodyDiv w:val="1"/>
      <w:marLeft w:val="0"/>
      <w:marRight w:val="0"/>
      <w:marTop w:val="0"/>
      <w:marBottom w:val="0"/>
      <w:divBdr>
        <w:top w:val="none" w:sz="0" w:space="0" w:color="auto"/>
        <w:left w:val="none" w:sz="0" w:space="0" w:color="auto"/>
        <w:bottom w:val="none" w:sz="0" w:space="0" w:color="auto"/>
        <w:right w:val="none" w:sz="0" w:space="0" w:color="auto"/>
      </w:divBdr>
    </w:div>
    <w:div w:id="1211697312">
      <w:bodyDiv w:val="1"/>
      <w:marLeft w:val="0"/>
      <w:marRight w:val="0"/>
      <w:marTop w:val="0"/>
      <w:marBottom w:val="0"/>
      <w:divBdr>
        <w:top w:val="none" w:sz="0" w:space="0" w:color="auto"/>
        <w:left w:val="none" w:sz="0" w:space="0" w:color="auto"/>
        <w:bottom w:val="none" w:sz="0" w:space="0" w:color="auto"/>
        <w:right w:val="none" w:sz="0" w:space="0" w:color="auto"/>
      </w:divBdr>
    </w:div>
    <w:div w:id="1213731373">
      <w:bodyDiv w:val="1"/>
      <w:marLeft w:val="0"/>
      <w:marRight w:val="0"/>
      <w:marTop w:val="0"/>
      <w:marBottom w:val="0"/>
      <w:divBdr>
        <w:top w:val="none" w:sz="0" w:space="0" w:color="auto"/>
        <w:left w:val="none" w:sz="0" w:space="0" w:color="auto"/>
        <w:bottom w:val="none" w:sz="0" w:space="0" w:color="auto"/>
        <w:right w:val="none" w:sz="0" w:space="0" w:color="auto"/>
      </w:divBdr>
    </w:div>
    <w:div w:id="1214734747">
      <w:bodyDiv w:val="1"/>
      <w:marLeft w:val="0"/>
      <w:marRight w:val="0"/>
      <w:marTop w:val="0"/>
      <w:marBottom w:val="0"/>
      <w:divBdr>
        <w:top w:val="none" w:sz="0" w:space="0" w:color="auto"/>
        <w:left w:val="none" w:sz="0" w:space="0" w:color="auto"/>
        <w:bottom w:val="none" w:sz="0" w:space="0" w:color="auto"/>
        <w:right w:val="none" w:sz="0" w:space="0" w:color="auto"/>
      </w:divBdr>
    </w:div>
    <w:div w:id="1216813983">
      <w:bodyDiv w:val="1"/>
      <w:marLeft w:val="0"/>
      <w:marRight w:val="0"/>
      <w:marTop w:val="0"/>
      <w:marBottom w:val="0"/>
      <w:divBdr>
        <w:top w:val="none" w:sz="0" w:space="0" w:color="auto"/>
        <w:left w:val="none" w:sz="0" w:space="0" w:color="auto"/>
        <w:bottom w:val="none" w:sz="0" w:space="0" w:color="auto"/>
        <w:right w:val="none" w:sz="0" w:space="0" w:color="auto"/>
      </w:divBdr>
    </w:div>
    <w:div w:id="1217082556">
      <w:bodyDiv w:val="1"/>
      <w:marLeft w:val="0"/>
      <w:marRight w:val="0"/>
      <w:marTop w:val="0"/>
      <w:marBottom w:val="0"/>
      <w:divBdr>
        <w:top w:val="none" w:sz="0" w:space="0" w:color="auto"/>
        <w:left w:val="none" w:sz="0" w:space="0" w:color="auto"/>
        <w:bottom w:val="none" w:sz="0" w:space="0" w:color="auto"/>
        <w:right w:val="none" w:sz="0" w:space="0" w:color="auto"/>
      </w:divBdr>
    </w:div>
    <w:div w:id="1219053823">
      <w:bodyDiv w:val="1"/>
      <w:marLeft w:val="0"/>
      <w:marRight w:val="0"/>
      <w:marTop w:val="0"/>
      <w:marBottom w:val="0"/>
      <w:divBdr>
        <w:top w:val="none" w:sz="0" w:space="0" w:color="auto"/>
        <w:left w:val="none" w:sz="0" w:space="0" w:color="auto"/>
        <w:bottom w:val="none" w:sz="0" w:space="0" w:color="auto"/>
        <w:right w:val="none" w:sz="0" w:space="0" w:color="auto"/>
      </w:divBdr>
    </w:div>
    <w:div w:id="1220170592">
      <w:bodyDiv w:val="1"/>
      <w:marLeft w:val="0"/>
      <w:marRight w:val="0"/>
      <w:marTop w:val="0"/>
      <w:marBottom w:val="0"/>
      <w:divBdr>
        <w:top w:val="none" w:sz="0" w:space="0" w:color="auto"/>
        <w:left w:val="none" w:sz="0" w:space="0" w:color="auto"/>
        <w:bottom w:val="none" w:sz="0" w:space="0" w:color="auto"/>
        <w:right w:val="none" w:sz="0" w:space="0" w:color="auto"/>
      </w:divBdr>
    </w:div>
    <w:div w:id="1228147294">
      <w:bodyDiv w:val="1"/>
      <w:marLeft w:val="0"/>
      <w:marRight w:val="0"/>
      <w:marTop w:val="0"/>
      <w:marBottom w:val="0"/>
      <w:divBdr>
        <w:top w:val="none" w:sz="0" w:space="0" w:color="auto"/>
        <w:left w:val="none" w:sz="0" w:space="0" w:color="auto"/>
        <w:bottom w:val="none" w:sz="0" w:space="0" w:color="auto"/>
        <w:right w:val="none" w:sz="0" w:space="0" w:color="auto"/>
      </w:divBdr>
    </w:div>
    <w:div w:id="1237745287">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41528009">
      <w:bodyDiv w:val="1"/>
      <w:marLeft w:val="0"/>
      <w:marRight w:val="0"/>
      <w:marTop w:val="0"/>
      <w:marBottom w:val="0"/>
      <w:divBdr>
        <w:top w:val="none" w:sz="0" w:space="0" w:color="auto"/>
        <w:left w:val="none" w:sz="0" w:space="0" w:color="auto"/>
        <w:bottom w:val="none" w:sz="0" w:space="0" w:color="auto"/>
        <w:right w:val="none" w:sz="0" w:space="0" w:color="auto"/>
      </w:divBdr>
    </w:div>
    <w:div w:id="1241677574">
      <w:bodyDiv w:val="1"/>
      <w:marLeft w:val="0"/>
      <w:marRight w:val="0"/>
      <w:marTop w:val="0"/>
      <w:marBottom w:val="0"/>
      <w:divBdr>
        <w:top w:val="none" w:sz="0" w:space="0" w:color="auto"/>
        <w:left w:val="none" w:sz="0" w:space="0" w:color="auto"/>
        <w:bottom w:val="none" w:sz="0" w:space="0" w:color="auto"/>
        <w:right w:val="none" w:sz="0" w:space="0" w:color="auto"/>
      </w:divBdr>
    </w:div>
    <w:div w:id="1245797899">
      <w:bodyDiv w:val="1"/>
      <w:marLeft w:val="0"/>
      <w:marRight w:val="0"/>
      <w:marTop w:val="0"/>
      <w:marBottom w:val="0"/>
      <w:divBdr>
        <w:top w:val="none" w:sz="0" w:space="0" w:color="auto"/>
        <w:left w:val="none" w:sz="0" w:space="0" w:color="auto"/>
        <w:bottom w:val="none" w:sz="0" w:space="0" w:color="auto"/>
        <w:right w:val="none" w:sz="0" w:space="0" w:color="auto"/>
      </w:divBdr>
    </w:div>
    <w:div w:id="1247303539">
      <w:bodyDiv w:val="1"/>
      <w:marLeft w:val="0"/>
      <w:marRight w:val="0"/>
      <w:marTop w:val="0"/>
      <w:marBottom w:val="0"/>
      <w:divBdr>
        <w:top w:val="none" w:sz="0" w:space="0" w:color="auto"/>
        <w:left w:val="none" w:sz="0" w:space="0" w:color="auto"/>
        <w:bottom w:val="none" w:sz="0" w:space="0" w:color="auto"/>
        <w:right w:val="none" w:sz="0" w:space="0" w:color="auto"/>
      </w:divBdr>
    </w:div>
    <w:div w:id="1253009929">
      <w:bodyDiv w:val="1"/>
      <w:marLeft w:val="0"/>
      <w:marRight w:val="0"/>
      <w:marTop w:val="0"/>
      <w:marBottom w:val="0"/>
      <w:divBdr>
        <w:top w:val="none" w:sz="0" w:space="0" w:color="auto"/>
        <w:left w:val="none" w:sz="0" w:space="0" w:color="auto"/>
        <w:bottom w:val="none" w:sz="0" w:space="0" w:color="auto"/>
        <w:right w:val="none" w:sz="0" w:space="0" w:color="auto"/>
      </w:divBdr>
    </w:div>
    <w:div w:id="1263565892">
      <w:bodyDiv w:val="1"/>
      <w:marLeft w:val="0"/>
      <w:marRight w:val="0"/>
      <w:marTop w:val="0"/>
      <w:marBottom w:val="0"/>
      <w:divBdr>
        <w:top w:val="none" w:sz="0" w:space="0" w:color="auto"/>
        <w:left w:val="none" w:sz="0" w:space="0" w:color="auto"/>
        <w:bottom w:val="none" w:sz="0" w:space="0" w:color="auto"/>
        <w:right w:val="none" w:sz="0" w:space="0" w:color="auto"/>
      </w:divBdr>
    </w:div>
    <w:div w:id="1276445282">
      <w:bodyDiv w:val="1"/>
      <w:marLeft w:val="0"/>
      <w:marRight w:val="0"/>
      <w:marTop w:val="0"/>
      <w:marBottom w:val="0"/>
      <w:divBdr>
        <w:top w:val="none" w:sz="0" w:space="0" w:color="auto"/>
        <w:left w:val="none" w:sz="0" w:space="0" w:color="auto"/>
        <w:bottom w:val="none" w:sz="0" w:space="0" w:color="auto"/>
        <w:right w:val="none" w:sz="0" w:space="0" w:color="auto"/>
      </w:divBdr>
    </w:div>
    <w:div w:id="1276595373">
      <w:bodyDiv w:val="1"/>
      <w:marLeft w:val="0"/>
      <w:marRight w:val="0"/>
      <w:marTop w:val="0"/>
      <w:marBottom w:val="0"/>
      <w:divBdr>
        <w:top w:val="none" w:sz="0" w:space="0" w:color="auto"/>
        <w:left w:val="none" w:sz="0" w:space="0" w:color="auto"/>
        <w:bottom w:val="none" w:sz="0" w:space="0" w:color="auto"/>
        <w:right w:val="none" w:sz="0" w:space="0" w:color="auto"/>
      </w:divBdr>
    </w:div>
    <w:div w:id="1278485984">
      <w:bodyDiv w:val="1"/>
      <w:marLeft w:val="0"/>
      <w:marRight w:val="0"/>
      <w:marTop w:val="0"/>
      <w:marBottom w:val="0"/>
      <w:divBdr>
        <w:top w:val="none" w:sz="0" w:space="0" w:color="auto"/>
        <w:left w:val="none" w:sz="0" w:space="0" w:color="auto"/>
        <w:bottom w:val="none" w:sz="0" w:space="0" w:color="auto"/>
        <w:right w:val="none" w:sz="0" w:space="0" w:color="auto"/>
      </w:divBdr>
    </w:div>
    <w:div w:id="1285455539">
      <w:bodyDiv w:val="1"/>
      <w:marLeft w:val="0"/>
      <w:marRight w:val="0"/>
      <w:marTop w:val="0"/>
      <w:marBottom w:val="0"/>
      <w:divBdr>
        <w:top w:val="none" w:sz="0" w:space="0" w:color="auto"/>
        <w:left w:val="none" w:sz="0" w:space="0" w:color="auto"/>
        <w:bottom w:val="none" w:sz="0" w:space="0" w:color="auto"/>
        <w:right w:val="none" w:sz="0" w:space="0" w:color="auto"/>
      </w:divBdr>
    </w:div>
    <w:div w:id="1289817910">
      <w:bodyDiv w:val="1"/>
      <w:marLeft w:val="0"/>
      <w:marRight w:val="0"/>
      <w:marTop w:val="0"/>
      <w:marBottom w:val="0"/>
      <w:divBdr>
        <w:top w:val="none" w:sz="0" w:space="0" w:color="auto"/>
        <w:left w:val="none" w:sz="0" w:space="0" w:color="auto"/>
        <w:bottom w:val="none" w:sz="0" w:space="0" w:color="auto"/>
        <w:right w:val="none" w:sz="0" w:space="0" w:color="auto"/>
      </w:divBdr>
    </w:div>
    <w:div w:id="1291127318">
      <w:bodyDiv w:val="1"/>
      <w:marLeft w:val="0"/>
      <w:marRight w:val="0"/>
      <w:marTop w:val="0"/>
      <w:marBottom w:val="0"/>
      <w:divBdr>
        <w:top w:val="none" w:sz="0" w:space="0" w:color="auto"/>
        <w:left w:val="none" w:sz="0" w:space="0" w:color="auto"/>
        <w:bottom w:val="none" w:sz="0" w:space="0" w:color="auto"/>
        <w:right w:val="none" w:sz="0" w:space="0" w:color="auto"/>
      </w:divBdr>
    </w:div>
    <w:div w:id="1292785773">
      <w:bodyDiv w:val="1"/>
      <w:marLeft w:val="0"/>
      <w:marRight w:val="0"/>
      <w:marTop w:val="0"/>
      <w:marBottom w:val="0"/>
      <w:divBdr>
        <w:top w:val="none" w:sz="0" w:space="0" w:color="auto"/>
        <w:left w:val="none" w:sz="0" w:space="0" w:color="auto"/>
        <w:bottom w:val="none" w:sz="0" w:space="0" w:color="auto"/>
        <w:right w:val="none" w:sz="0" w:space="0" w:color="auto"/>
      </w:divBdr>
    </w:div>
    <w:div w:id="1293633128">
      <w:bodyDiv w:val="1"/>
      <w:marLeft w:val="0"/>
      <w:marRight w:val="0"/>
      <w:marTop w:val="0"/>
      <w:marBottom w:val="0"/>
      <w:divBdr>
        <w:top w:val="none" w:sz="0" w:space="0" w:color="auto"/>
        <w:left w:val="none" w:sz="0" w:space="0" w:color="auto"/>
        <w:bottom w:val="none" w:sz="0" w:space="0" w:color="auto"/>
        <w:right w:val="none" w:sz="0" w:space="0" w:color="auto"/>
      </w:divBdr>
    </w:div>
    <w:div w:id="1298223384">
      <w:bodyDiv w:val="1"/>
      <w:marLeft w:val="0"/>
      <w:marRight w:val="0"/>
      <w:marTop w:val="0"/>
      <w:marBottom w:val="0"/>
      <w:divBdr>
        <w:top w:val="none" w:sz="0" w:space="0" w:color="auto"/>
        <w:left w:val="none" w:sz="0" w:space="0" w:color="auto"/>
        <w:bottom w:val="none" w:sz="0" w:space="0" w:color="auto"/>
        <w:right w:val="none" w:sz="0" w:space="0" w:color="auto"/>
      </w:divBdr>
    </w:div>
    <w:div w:id="1301299784">
      <w:bodyDiv w:val="1"/>
      <w:marLeft w:val="0"/>
      <w:marRight w:val="0"/>
      <w:marTop w:val="0"/>
      <w:marBottom w:val="0"/>
      <w:divBdr>
        <w:top w:val="none" w:sz="0" w:space="0" w:color="auto"/>
        <w:left w:val="none" w:sz="0" w:space="0" w:color="auto"/>
        <w:bottom w:val="none" w:sz="0" w:space="0" w:color="auto"/>
        <w:right w:val="none" w:sz="0" w:space="0" w:color="auto"/>
      </w:divBdr>
    </w:div>
    <w:div w:id="1302811593">
      <w:bodyDiv w:val="1"/>
      <w:marLeft w:val="0"/>
      <w:marRight w:val="0"/>
      <w:marTop w:val="0"/>
      <w:marBottom w:val="0"/>
      <w:divBdr>
        <w:top w:val="none" w:sz="0" w:space="0" w:color="auto"/>
        <w:left w:val="none" w:sz="0" w:space="0" w:color="auto"/>
        <w:bottom w:val="none" w:sz="0" w:space="0" w:color="auto"/>
        <w:right w:val="none" w:sz="0" w:space="0" w:color="auto"/>
      </w:divBdr>
    </w:div>
    <w:div w:id="1309355785">
      <w:bodyDiv w:val="1"/>
      <w:marLeft w:val="0"/>
      <w:marRight w:val="0"/>
      <w:marTop w:val="0"/>
      <w:marBottom w:val="0"/>
      <w:divBdr>
        <w:top w:val="none" w:sz="0" w:space="0" w:color="auto"/>
        <w:left w:val="none" w:sz="0" w:space="0" w:color="auto"/>
        <w:bottom w:val="none" w:sz="0" w:space="0" w:color="auto"/>
        <w:right w:val="none" w:sz="0" w:space="0" w:color="auto"/>
      </w:divBdr>
    </w:div>
    <w:div w:id="1311524324">
      <w:bodyDiv w:val="1"/>
      <w:marLeft w:val="0"/>
      <w:marRight w:val="0"/>
      <w:marTop w:val="0"/>
      <w:marBottom w:val="0"/>
      <w:divBdr>
        <w:top w:val="none" w:sz="0" w:space="0" w:color="auto"/>
        <w:left w:val="none" w:sz="0" w:space="0" w:color="auto"/>
        <w:bottom w:val="none" w:sz="0" w:space="0" w:color="auto"/>
        <w:right w:val="none" w:sz="0" w:space="0" w:color="auto"/>
      </w:divBdr>
    </w:div>
    <w:div w:id="1312251723">
      <w:bodyDiv w:val="1"/>
      <w:marLeft w:val="0"/>
      <w:marRight w:val="0"/>
      <w:marTop w:val="0"/>
      <w:marBottom w:val="0"/>
      <w:divBdr>
        <w:top w:val="none" w:sz="0" w:space="0" w:color="auto"/>
        <w:left w:val="none" w:sz="0" w:space="0" w:color="auto"/>
        <w:bottom w:val="none" w:sz="0" w:space="0" w:color="auto"/>
        <w:right w:val="none" w:sz="0" w:space="0" w:color="auto"/>
      </w:divBdr>
      <w:divsChild>
        <w:div w:id="2053536148">
          <w:marLeft w:val="346"/>
          <w:marRight w:val="0"/>
          <w:marTop w:val="60"/>
          <w:marBottom w:val="60"/>
          <w:divBdr>
            <w:top w:val="none" w:sz="0" w:space="0" w:color="auto"/>
            <w:left w:val="none" w:sz="0" w:space="0" w:color="auto"/>
            <w:bottom w:val="none" w:sz="0" w:space="0" w:color="auto"/>
            <w:right w:val="none" w:sz="0" w:space="0" w:color="auto"/>
          </w:divBdr>
        </w:div>
      </w:divsChild>
    </w:div>
    <w:div w:id="1314329760">
      <w:bodyDiv w:val="1"/>
      <w:marLeft w:val="0"/>
      <w:marRight w:val="0"/>
      <w:marTop w:val="0"/>
      <w:marBottom w:val="0"/>
      <w:divBdr>
        <w:top w:val="none" w:sz="0" w:space="0" w:color="auto"/>
        <w:left w:val="none" w:sz="0" w:space="0" w:color="auto"/>
        <w:bottom w:val="none" w:sz="0" w:space="0" w:color="auto"/>
        <w:right w:val="none" w:sz="0" w:space="0" w:color="auto"/>
      </w:divBdr>
    </w:div>
    <w:div w:id="1331055872">
      <w:bodyDiv w:val="1"/>
      <w:marLeft w:val="0"/>
      <w:marRight w:val="0"/>
      <w:marTop w:val="0"/>
      <w:marBottom w:val="0"/>
      <w:divBdr>
        <w:top w:val="none" w:sz="0" w:space="0" w:color="auto"/>
        <w:left w:val="none" w:sz="0" w:space="0" w:color="auto"/>
        <w:bottom w:val="none" w:sz="0" w:space="0" w:color="auto"/>
        <w:right w:val="none" w:sz="0" w:space="0" w:color="auto"/>
      </w:divBdr>
    </w:div>
    <w:div w:id="1331643731">
      <w:bodyDiv w:val="1"/>
      <w:marLeft w:val="0"/>
      <w:marRight w:val="0"/>
      <w:marTop w:val="0"/>
      <w:marBottom w:val="0"/>
      <w:divBdr>
        <w:top w:val="none" w:sz="0" w:space="0" w:color="auto"/>
        <w:left w:val="none" w:sz="0" w:space="0" w:color="auto"/>
        <w:bottom w:val="none" w:sz="0" w:space="0" w:color="auto"/>
        <w:right w:val="none" w:sz="0" w:space="0" w:color="auto"/>
      </w:divBdr>
    </w:div>
    <w:div w:id="1348410675">
      <w:bodyDiv w:val="1"/>
      <w:marLeft w:val="0"/>
      <w:marRight w:val="0"/>
      <w:marTop w:val="0"/>
      <w:marBottom w:val="0"/>
      <w:divBdr>
        <w:top w:val="none" w:sz="0" w:space="0" w:color="auto"/>
        <w:left w:val="none" w:sz="0" w:space="0" w:color="auto"/>
        <w:bottom w:val="none" w:sz="0" w:space="0" w:color="auto"/>
        <w:right w:val="none" w:sz="0" w:space="0" w:color="auto"/>
      </w:divBdr>
    </w:div>
    <w:div w:id="1365328622">
      <w:bodyDiv w:val="1"/>
      <w:marLeft w:val="0"/>
      <w:marRight w:val="0"/>
      <w:marTop w:val="0"/>
      <w:marBottom w:val="0"/>
      <w:divBdr>
        <w:top w:val="none" w:sz="0" w:space="0" w:color="auto"/>
        <w:left w:val="none" w:sz="0" w:space="0" w:color="auto"/>
        <w:bottom w:val="none" w:sz="0" w:space="0" w:color="auto"/>
        <w:right w:val="none" w:sz="0" w:space="0" w:color="auto"/>
      </w:divBdr>
    </w:div>
    <w:div w:id="1375037965">
      <w:bodyDiv w:val="1"/>
      <w:marLeft w:val="0"/>
      <w:marRight w:val="0"/>
      <w:marTop w:val="0"/>
      <w:marBottom w:val="0"/>
      <w:divBdr>
        <w:top w:val="none" w:sz="0" w:space="0" w:color="auto"/>
        <w:left w:val="none" w:sz="0" w:space="0" w:color="auto"/>
        <w:bottom w:val="none" w:sz="0" w:space="0" w:color="auto"/>
        <w:right w:val="none" w:sz="0" w:space="0" w:color="auto"/>
      </w:divBdr>
    </w:div>
    <w:div w:id="1380058720">
      <w:bodyDiv w:val="1"/>
      <w:marLeft w:val="0"/>
      <w:marRight w:val="0"/>
      <w:marTop w:val="0"/>
      <w:marBottom w:val="0"/>
      <w:divBdr>
        <w:top w:val="none" w:sz="0" w:space="0" w:color="auto"/>
        <w:left w:val="none" w:sz="0" w:space="0" w:color="auto"/>
        <w:bottom w:val="none" w:sz="0" w:space="0" w:color="auto"/>
        <w:right w:val="none" w:sz="0" w:space="0" w:color="auto"/>
      </w:divBdr>
    </w:div>
    <w:div w:id="1387873010">
      <w:bodyDiv w:val="1"/>
      <w:marLeft w:val="0"/>
      <w:marRight w:val="0"/>
      <w:marTop w:val="0"/>
      <w:marBottom w:val="0"/>
      <w:divBdr>
        <w:top w:val="none" w:sz="0" w:space="0" w:color="auto"/>
        <w:left w:val="none" w:sz="0" w:space="0" w:color="auto"/>
        <w:bottom w:val="none" w:sz="0" w:space="0" w:color="auto"/>
        <w:right w:val="none" w:sz="0" w:space="0" w:color="auto"/>
      </w:divBdr>
    </w:div>
    <w:div w:id="1391882755">
      <w:bodyDiv w:val="1"/>
      <w:marLeft w:val="0"/>
      <w:marRight w:val="0"/>
      <w:marTop w:val="0"/>
      <w:marBottom w:val="0"/>
      <w:divBdr>
        <w:top w:val="none" w:sz="0" w:space="0" w:color="auto"/>
        <w:left w:val="none" w:sz="0" w:space="0" w:color="auto"/>
        <w:bottom w:val="none" w:sz="0" w:space="0" w:color="auto"/>
        <w:right w:val="none" w:sz="0" w:space="0" w:color="auto"/>
      </w:divBdr>
    </w:div>
    <w:div w:id="1393693839">
      <w:bodyDiv w:val="1"/>
      <w:marLeft w:val="0"/>
      <w:marRight w:val="0"/>
      <w:marTop w:val="0"/>
      <w:marBottom w:val="0"/>
      <w:divBdr>
        <w:top w:val="none" w:sz="0" w:space="0" w:color="auto"/>
        <w:left w:val="none" w:sz="0" w:space="0" w:color="auto"/>
        <w:bottom w:val="none" w:sz="0" w:space="0" w:color="auto"/>
        <w:right w:val="none" w:sz="0" w:space="0" w:color="auto"/>
      </w:divBdr>
    </w:div>
    <w:div w:id="1401515365">
      <w:bodyDiv w:val="1"/>
      <w:marLeft w:val="0"/>
      <w:marRight w:val="0"/>
      <w:marTop w:val="0"/>
      <w:marBottom w:val="0"/>
      <w:divBdr>
        <w:top w:val="none" w:sz="0" w:space="0" w:color="auto"/>
        <w:left w:val="none" w:sz="0" w:space="0" w:color="auto"/>
        <w:bottom w:val="none" w:sz="0" w:space="0" w:color="auto"/>
        <w:right w:val="none" w:sz="0" w:space="0" w:color="auto"/>
      </w:divBdr>
    </w:div>
    <w:div w:id="1405033717">
      <w:bodyDiv w:val="1"/>
      <w:marLeft w:val="0"/>
      <w:marRight w:val="0"/>
      <w:marTop w:val="0"/>
      <w:marBottom w:val="0"/>
      <w:divBdr>
        <w:top w:val="none" w:sz="0" w:space="0" w:color="auto"/>
        <w:left w:val="none" w:sz="0" w:space="0" w:color="auto"/>
        <w:bottom w:val="none" w:sz="0" w:space="0" w:color="auto"/>
        <w:right w:val="none" w:sz="0" w:space="0" w:color="auto"/>
      </w:divBdr>
    </w:div>
    <w:div w:id="1406032073">
      <w:bodyDiv w:val="1"/>
      <w:marLeft w:val="0"/>
      <w:marRight w:val="0"/>
      <w:marTop w:val="0"/>
      <w:marBottom w:val="0"/>
      <w:divBdr>
        <w:top w:val="none" w:sz="0" w:space="0" w:color="auto"/>
        <w:left w:val="none" w:sz="0" w:space="0" w:color="auto"/>
        <w:bottom w:val="none" w:sz="0" w:space="0" w:color="auto"/>
        <w:right w:val="none" w:sz="0" w:space="0" w:color="auto"/>
      </w:divBdr>
    </w:div>
    <w:div w:id="1409421936">
      <w:bodyDiv w:val="1"/>
      <w:marLeft w:val="0"/>
      <w:marRight w:val="0"/>
      <w:marTop w:val="0"/>
      <w:marBottom w:val="0"/>
      <w:divBdr>
        <w:top w:val="none" w:sz="0" w:space="0" w:color="auto"/>
        <w:left w:val="none" w:sz="0" w:space="0" w:color="auto"/>
        <w:bottom w:val="none" w:sz="0" w:space="0" w:color="auto"/>
        <w:right w:val="none" w:sz="0" w:space="0" w:color="auto"/>
      </w:divBdr>
    </w:div>
    <w:div w:id="1409497877">
      <w:bodyDiv w:val="1"/>
      <w:marLeft w:val="0"/>
      <w:marRight w:val="0"/>
      <w:marTop w:val="0"/>
      <w:marBottom w:val="0"/>
      <w:divBdr>
        <w:top w:val="none" w:sz="0" w:space="0" w:color="auto"/>
        <w:left w:val="none" w:sz="0" w:space="0" w:color="auto"/>
        <w:bottom w:val="none" w:sz="0" w:space="0" w:color="auto"/>
        <w:right w:val="none" w:sz="0" w:space="0" w:color="auto"/>
      </w:divBdr>
    </w:div>
    <w:div w:id="1413546993">
      <w:bodyDiv w:val="1"/>
      <w:marLeft w:val="0"/>
      <w:marRight w:val="0"/>
      <w:marTop w:val="0"/>
      <w:marBottom w:val="0"/>
      <w:divBdr>
        <w:top w:val="none" w:sz="0" w:space="0" w:color="auto"/>
        <w:left w:val="none" w:sz="0" w:space="0" w:color="auto"/>
        <w:bottom w:val="none" w:sz="0" w:space="0" w:color="auto"/>
        <w:right w:val="none" w:sz="0" w:space="0" w:color="auto"/>
      </w:divBdr>
    </w:div>
    <w:div w:id="1416249524">
      <w:bodyDiv w:val="1"/>
      <w:marLeft w:val="0"/>
      <w:marRight w:val="0"/>
      <w:marTop w:val="0"/>
      <w:marBottom w:val="0"/>
      <w:divBdr>
        <w:top w:val="none" w:sz="0" w:space="0" w:color="auto"/>
        <w:left w:val="none" w:sz="0" w:space="0" w:color="auto"/>
        <w:bottom w:val="none" w:sz="0" w:space="0" w:color="auto"/>
        <w:right w:val="none" w:sz="0" w:space="0" w:color="auto"/>
      </w:divBdr>
    </w:div>
    <w:div w:id="1421097661">
      <w:bodyDiv w:val="1"/>
      <w:marLeft w:val="0"/>
      <w:marRight w:val="0"/>
      <w:marTop w:val="0"/>
      <w:marBottom w:val="0"/>
      <w:divBdr>
        <w:top w:val="none" w:sz="0" w:space="0" w:color="auto"/>
        <w:left w:val="none" w:sz="0" w:space="0" w:color="auto"/>
        <w:bottom w:val="none" w:sz="0" w:space="0" w:color="auto"/>
        <w:right w:val="none" w:sz="0" w:space="0" w:color="auto"/>
      </w:divBdr>
    </w:div>
    <w:div w:id="1421180349">
      <w:bodyDiv w:val="1"/>
      <w:marLeft w:val="0"/>
      <w:marRight w:val="0"/>
      <w:marTop w:val="0"/>
      <w:marBottom w:val="0"/>
      <w:divBdr>
        <w:top w:val="none" w:sz="0" w:space="0" w:color="auto"/>
        <w:left w:val="none" w:sz="0" w:space="0" w:color="auto"/>
        <w:bottom w:val="none" w:sz="0" w:space="0" w:color="auto"/>
        <w:right w:val="none" w:sz="0" w:space="0" w:color="auto"/>
      </w:divBdr>
    </w:div>
    <w:div w:id="1423255142">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429933174">
      <w:bodyDiv w:val="1"/>
      <w:marLeft w:val="0"/>
      <w:marRight w:val="0"/>
      <w:marTop w:val="0"/>
      <w:marBottom w:val="0"/>
      <w:divBdr>
        <w:top w:val="none" w:sz="0" w:space="0" w:color="auto"/>
        <w:left w:val="none" w:sz="0" w:space="0" w:color="auto"/>
        <w:bottom w:val="none" w:sz="0" w:space="0" w:color="auto"/>
        <w:right w:val="none" w:sz="0" w:space="0" w:color="auto"/>
      </w:divBdr>
    </w:div>
    <w:div w:id="1430663529">
      <w:bodyDiv w:val="1"/>
      <w:marLeft w:val="0"/>
      <w:marRight w:val="0"/>
      <w:marTop w:val="0"/>
      <w:marBottom w:val="0"/>
      <w:divBdr>
        <w:top w:val="none" w:sz="0" w:space="0" w:color="auto"/>
        <w:left w:val="none" w:sz="0" w:space="0" w:color="auto"/>
        <w:bottom w:val="none" w:sz="0" w:space="0" w:color="auto"/>
        <w:right w:val="none" w:sz="0" w:space="0" w:color="auto"/>
      </w:divBdr>
    </w:div>
    <w:div w:id="1431045606">
      <w:bodyDiv w:val="1"/>
      <w:marLeft w:val="0"/>
      <w:marRight w:val="0"/>
      <w:marTop w:val="0"/>
      <w:marBottom w:val="0"/>
      <w:divBdr>
        <w:top w:val="none" w:sz="0" w:space="0" w:color="auto"/>
        <w:left w:val="none" w:sz="0" w:space="0" w:color="auto"/>
        <w:bottom w:val="none" w:sz="0" w:space="0" w:color="auto"/>
        <w:right w:val="none" w:sz="0" w:space="0" w:color="auto"/>
      </w:divBdr>
    </w:div>
    <w:div w:id="1452478482">
      <w:bodyDiv w:val="1"/>
      <w:marLeft w:val="0"/>
      <w:marRight w:val="0"/>
      <w:marTop w:val="0"/>
      <w:marBottom w:val="0"/>
      <w:divBdr>
        <w:top w:val="none" w:sz="0" w:space="0" w:color="auto"/>
        <w:left w:val="none" w:sz="0" w:space="0" w:color="auto"/>
        <w:bottom w:val="none" w:sz="0" w:space="0" w:color="auto"/>
        <w:right w:val="none" w:sz="0" w:space="0" w:color="auto"/>
      </w:divBdr>
    </w:div>
    <w:div w:id="1455055642">
      <w:bodyDiv w:val="1"/>
      <w:marLeft w:val="0"/>
      <w:marRight w:val="0"/>
      <w:marTop w:val="0"/>
      <w:marBottom w:val="0"/>
      <w:divBdr>
        <w:top w:val="none" w:sz="0" w:space="0" w:color="auto"/>
        <w:left w:val="none" w:sz="0" w:space="0" w:color="auto"/>
        <w:bottom w:val="none" w:sz="0" w:space="0" w:color="auto"/>
        <w:right w:val="none" w:sz="0" w:space="0" w:color="auto"/>
      </w:divBdr>
      <w:divsChild>
        <w:div w:id="1566068503">
          <w:marLeft w:val="346"/>
          <w:marRight w:val="0"/>
          <w:marTop w:val="60"/>
          <w:marBottom w:val="60"/>
          <w:divBdr>
            <w:top w:val="none" w:sz="0" w:space="0" w:color="auto"/>
            <w:left w:val="none" w:sz="0" w:space="0" w:color="auto"/>
            <w:bottom w:val="none" w:sz="0" w:space="0" w:color="auto"/>
            <w:right w:val="none" w:sz="0" w:space="0" w:color="auto"/>
          </w:divBdr>
        </w:div>
      </w:divsChild>
    </w:div>
    <w:div w:id="1459178625">
      <w:bodyDiv w:val="1"/>
      <w:marLeft w:val="0"/>
      <w:marRight w:val="0"/>
      <w:marTop w:val="0"/>
      <w:marBottom w:val="0"/>
      <w:divBdr>
        <w:top w:val="none" w:sz="0" w:space="0" w:color="auto"/>
        <w:left w:val="none" w:sz="0" w:space="0" w:color="auto"/>
        <w:bottom w:val="none" w:sz="0" w:space="0" w:color="auto"/>
        <w:right w:val="none" w:sz="0" w:space="0" w:color="auto"/>
      </w:divBdr>
    </w:div>
    <w:div w:id="1463385576">
      <w:bodyDiv w:val="1"/>
      <w:marLeft w:val="0"/>
      <w:marRight w:val="0"/>
      <w:marTop w:val="0"/>
      <w:marBottom w:val="0"/>
      <w:divBdr>
        <w:top w:val="none" w:sz="0" w:space="0" w:color="auto"/>
        <w:left w:val="none" w:sz="0" w:space="0" w:color="auto"/>
        <w:bottom w:val="none" w:sz="0" w:space="0" w:color="auto"/>
        <w:right w:val="none" w:sz="0" w:space="0" w:color="auto"/>
      </w:divBdr>
    </w:div>
    <w:div w:id="1465344065">
      <w:bodyDiv w:val="1"/>
      <w:marLeft w:val="0"/>
      <w:marRight w:val="0"/>
      <w:marTop w:val="0"/>
      <w:marBottom w:val="0"/>
      <w:divBdr>
        <w:top w:val="none" w:sz="0" w:space="0" w:color="auto"/>
        <w:left w:val="none" w:sz="0" w:space="0" w:color="auto"/>
        <w:bottom w:val="none" w:sz="0" w:space="0" w:color="auto"/>
        <w:right w:val="none" w:sz="0" w:space="0" w:color="auto"/>
      </w:divBdr>
    </w:div>
    <w:div w:id="1467620704">
      <w:bodyDiv w:val="1"/>
      <w:marLeft w:val="0"/>
      <w:marRight w:val="0"/>
      <w:marTop w:val="0"/>
      <w:marBottom w:val="0"/>
      <w:divBdr>
        <w:top w:val="none" w:sz="0" w:space="0" w:color="auto"/>
        <w:left w:val="none" w:sz="0" w:space="0" w:color="auto"/>
        <w:bottom w:val="none" w:sz="0" w:space="0" w:color="auto"/>
        <w:right w:val="none" w:sz="0" w:space="0" w:color="auto"/>
      </w:divBdr>
    </w:div>
    <w:div w:id="1469737831">
      <w:bodyDiv w:val="1"/>
      <w:marLeft w:val="0"/>
      <w:marRight w:val="0"/>
      <w:marTop w:val="0"/>
      <w:marBottom w:val="0"/>
      <w:divBdr>
        <w:top w:val="none" w:sz="0" w:space="0" w:color="auto"/>
        <w:left w:val="none" w:sz="0" w:space="0" w:color="auto"/>
        <w:bottom w:val="none" w:sz="0" w:space="0" w:color="auto"/>
        <w:right w:val="none" w:sz="0" w:space="0" w:color="auto"/>
      </w:divBdr>
    </w:div>
    <w:div w:id="1470972676">
      <w:bodyDiv w:val="1"/>
      <w:marLeft w:val="0"/>
      <w:marRight w:val="0"/>
      <w:marTop w:val="0"/>
      <w:marBottom w:val="0"/>
      <w:divBdr>
        <w:top w:val="none" w:sz="0" w:space="0" w:color="auto"/>
        <w:left w:val="none" w:sz="0" w:space="0" w:color="auto"/>
        <w:bottom w:val="none" w:sz="0" w:space="0" w:color="auto"/>
        <w:right w:val="none" w:sz="0" w:space="0" w:color="auto"/>
      </w:divBdr>
    </w:div>
    <w:div w:id="1475488133">
      <w:bodyDiv w:val="1"/>
      <w:marLeft w:val="0"/>
      <w:marRight w:val="0"/>
      <w:marTop w:val="0"/>
      <w:marBottom w:val="0"/>
      <w:divBdr>
        <w:top w:val="none" w:sz="0" w:space="0" w:color="auto"/>
        <w:left w:val="none" w:sz="0" w:space="0" w:color="auto"/>
        <w:bottom w:val="none" w:sz="0" w:space="0" w:color="auto"/>
        <w:right w:val="none" w:sz="0" w:space="0" w:color="auto"/>
      </w:divBdr>
      <w:divsChild>
        <w:div w:id="1637760814">
          <w:marLeft w:val="0"/>
          <w:marRight w:val="0"/>
          <w:marTop w:val="0"/>
          <w:marBottom w:val="0"/>
          <w:divBdr>
            <w:top w:val="none" w:sz="0" w:space="0" w:color="auto"/>
            <w:left w:val="none" w:sz="0" w:space="0" w:color="auto"/>
            <w:bottom w:val="none" w:sz="0" w:space="0" w:color="auto"/>
            <w:right w:val="none" w:sz="0" w:space="0" w:color="auto"/>
          </w:divBdr>
          <w:divsChild>
            <w:div w:id="1585996936">
              <w:marLeft w:val="0"/>
              <w:marRight w:val="0"/>
              <w:marTop w:val="0"/>
              <w:marBottom w:val="0"/>
              <w:divBdr>
                <w:top w:val="none" w:sz="0" w:space="0" w:color="auto"/>
                <w:left w:val="none" w:sz="0" w:space="0" w:color="auto"/>
                <w:bottom w:val="none" w:sz="0" w:space="0" w:color="auto"/>
                <w:right w:val="none" w:sz="0" w:space="0" w:color="auto"/>
              </w:divBdr>
              <w:divsChild>
                <w:div w:id="225456084">
                  <w:marLeft w:val="0"/>
                  <w:marRight w:val="0"/>
                  <w:marTop w:val="0"/>
                  <w:marBottom w:val="0"/>
                  <w:divBdr>
                    <w:top w:val="none" w:sz="0" w:space="0" w:color="auto"/>
                    <w:left w:val="none" w:sz="0" w:space="0" w:color="auto"/>
                    <w:bottom w:val="none" w:sz="0" w:space="0" w:color="auto"/>
                    <w:right w:val="none" w:sz="0" w:space="0" w:color="auto"/>
                  </w:divBdr>
                  <w:divsChild>
                    <w:div w:id="309991549">
                      <w:marLeft w:val="0"/>
                      <w:marRight w:val="0"/>
                      <w:marTop w:val="0"/>
                      <w:marBottom w:val="0"/>
                      <w:divBdr>
                        <w:top w:val="none" w:sz="0" w:space="0" w:color="auto"/>
                        <w:left w:val="none" w:sz="0" w:space="0" w:color="auto"/>
                        <w:bottom w:val="none" w:sz="0" w:space="0" w:color="auto"/>
                        <w:right w:val="none" w:sz="0" w:space="0" w:color="auto"/>
                      </w:divBdr>
                      <w:divsChild>
                        <w:div w:id="1171068209">
                          <w:marLeft w:val="0"/>
                          <w:marRight w:val="0"/>
                          <w:marTop w:val="0"/>
                          <w:marBottom w:val="0"/>
                          <w:divBdr>
                            <w:top w:val="none" w:sz="0" w:space="0" w:color="auto"/>
                            <w:left w:val="none" w:sz="0" w:space="0" w:color="auto"/>
                            <w:bottom w:val="none" w:sz="0" w:space="0" w:color="auto"/>
                            <w:right w:val="none" w:sz="0" w:space="0" w:color="auto"/>
                          </w:divBdr>
                          <w:divsChild>
                            <w:div w:id="4476308">
                              <w:marLeft w:val="0"/>
                              <w:marRight w:val="0"/>
                              <w:marTop w:val="0"/>
                              <w:marBottom w:val="0"/>
                              <w:divBdr>
                                <w:top w:val="none" w:sz="0" w:space="0" w:color="auto"/>
                                <w:left w:val="none" w:sz="0" w:space="0" w:color="auto"/>
                                <w:bottom w:val="none" w:sz="0" w:space="0" w:color="auto"/>
                                <w:right w:val="none" w:sz="0" w:space="0" w:color="auto"/>
                              </w:divBdr>
                              <w:divsChild>
                                <w:div w:id="1151603653">
                                  <w:marLeft w:val="0"/>
                                  <w:marRight w:val="0"/>
                                  <w:marTop w:val="0"/>
                                  <w:marBottom w:val="0"/>
                                  <w:divBdr>
                                    <w:top w:val="none" w:sz="0" w:space="0" w:color="auto"/>
                                    <w:left w:val="none" w:sz="0" w:space="0" w:color="auto"/>
                                    <w:bottom w:val="none" w:sz="0" w:space="0" w:color="auto"/>
                                    <w:right w:val="none" w:sz="0" w:space="0" w:color="auto"/>
                                  </w:divBdr>
                                  <w:divsChild>
                                    <w:div w:id="108457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3504724">
      <w:bodyDiv w:val="1"/>
      <w:marLeft w:val="0"/>
      <w:marRight w:val="0"/>
      <w:marTop w:val="0"/>
      <w:marBottom w:val="0"/>
      <w:divBdr>
        <w:top w:val="none" w:sz="0" w:space="0" w:color="auto"/>
        <w:left w:val="none" w:sz="0" w:space="0" w:color="auto"/>
        <w:bottom w:val="none" w:sz="0" w:space="0" w:color="auto"/>
        <w:right w:val="none" w:sz="0" w:space="0" w:color="auto"/>
      </w:divBdr>
    </w:div>
    <w:div w:id="1490947682">
      <w:bodyDiv w:val="1"/>
      <w:marLeft w:val="0"/>
      <w:marRight w:val="0"/>
      <w:marTop w:val="0"/>
      <w:marBottom w:val="0"/>
      <w:divBdr>
        <w:top w:val="none" w:sz="0" w:space="0" w:color="auto"/>
        <w:left w:val="none" w:sz="0" w:space="0" w:color="auto"/>
        <w:bottom w:val="none" w:sz="0" w:space="0" w:color="auto"/>
        <w:right w:val="none" w:sz="0" w:space="0" w:color="auto"/>
      </w:divBdr>
    </w:div>
    <w:div w:id="1491100793">
      <w:bodyDiv w:val="1"/>
      <w:marLeft w:val="0"/>
      <w:marRight w:val="0"/>
      <w:marTop w:val="0"/>
      <w:marBottom w:val="0"/>
      <w:divBdr>
        <w:top w:val="none" w:sz="0" w:space="0" w:color="auto"/>
        <w:left w:val="none" w:sz="0" w:space="0" w:color="auto"/>
        <w:bottom w:val="none" w:sz="0" w:space="0" w:color="auto"/>
        <w:right w:val="none" w:sz="0" w:space="0" w:color="auto"/>
      </w:divBdr>
    </w:div>
    <w:div w:id="1493255593">
      <w:bodyDiv w:val="1"/>
      <w:marLeft w:val="0"/>
      <w:marRight w:val="0"/>
      <w:marTop w:val="0"/>
      <w:marBottom w:val="0"/>
      <w:divBdr>
        <w:top w:val="none" w:sz="0" w:space="0" w:color="auto"/>
        <w:left w:val="none" w:sz="0" w:space="0" w:color="auto"/>
        <w:bottom w:val="none" w:sz="0" w:space="0" w:color="auto"/>
        <w:right w:val="none" w:sz="0" w:space="0" w:color="auto"/>
      </w:divBdr>
    </w:div>
    <w:div w:id="1498301029">
      <w:bodyDiv w:val="1"/>
      <w:marLeft w:val="0"/>
      <w:marRight w:val="0"/>
      <w:marTop w:val="0"/>
      <w:marBottom w:val="0"/>
      <w:divBdr>
        <w:top w:val="none" w:sz="0" w:space="0" w:color="auto"/>
        <w:left w:val="none" w:sz="0" w:space="0" w:color="auto"/>
        <w:bottom w:val="none" w:sz="0" w:space="0" w:color="auto"/>
        <w:right w:val="none" w:sz="0" w:space="0" w:color="auto"/>
      </w:divBdr>
    </w:div>
    <w:div w:id="1508865446">
      <w:bodyDiv w:val="1"/>
      <w:marLeft w:val="0"/>
      <w:marRight w:val="0"/>
      <w:marTop w:val="0"/>
      <w:marBottom w:val="0"/>
      <w:divBdr>
        <w:top w:val="none" w:sz="0" w:space="0" w:color="auto"/>
        <w:left w:val="none" w:sz="0" w:space="0" w:color="auto"/>
        <w:bottom w:val="none" w:sz="0" w:space="0" w:color="auto"/>
        <w:right w:val="none" w:sz="0" w:space="0" w:color="auto"/>
      </w:divBdr>
    </w:div>
    <w:div w:id="1511600500">
      <w:bodyDiv w:val="1"/>
      <w:marLeft w:val="0"/>
      <w:marRight w:val="0"/>
      <w:marTop w:val="0"/>
      <w:marBottom w:val="0"/>
      <w:divBdr>
        <w:top w:val="none" w:sz="0" w:space="0" w:color="auto"/>
        <w:left w:val="none" w:sz="0" w:space="0" w:color="auto"/>
        <w:bottom w:val="none" w:sz="0" w:space="0" w:color="auto"/>
        <w:right w:val="none" w:sz="0" w:space="0" w:color="auto"/>
      </w:divBdr>
    </w:div>
    <w:div w:id="1516074242">
      <w:bodyDiv w:val="1"/>
      <w:marLeft w:val="0"/>
      <w:marRight w:val="0"/>
      <w:marTop w:val="0"/>
      <w:marBottom w:val="0"/>
      <w:divBdr>
        <w:top w:val="none" w:sz="0" w:space="0" w:color="auto"/>
        <w:left w:val="none" w:sz="0" w:space="0" w:color="auto"/>
        <w:bottom w:val="none" w:sz="0" w:space="0" w:color="auto"/>
        <w:right w:val="none" w:sz="0" w:space="0" w:color="auto"/>
      </w:divBdr>
    </w:div>
    <w:div w:id="1516119162">
      <w:bodyDiv w:val="1"/>
      <w:marLeft w:val="0"/>
      <w:marRight w:val="0"/>
      <w:marTop w:val="0"/>
      <w:marBottom w:val="0"/>
      <w:divBdr>
        <w:top w:val="none" w:sz="0" w:space="0" w:color="auto"/>
        <w:left w:val="none" w:sz="0" w:space="0" w:color="auto"/>
        <w:bottom w:val="none" w:sz="0" w:space="0" w:color="auto"/>
        <w:right w:val="none" w:sz="0" w:space="0" w:color="auto"/>
      </w:divBdr>
    </w:div>
    <w:div w:id="1516187729">
      <w:bodyDiv w:val="1"/>
      <w:marLeft w:val="0"/>
      <w:marRight w:val="0"/>
      <w:marTop w:val="0"/>
      <w:marBottom w:val="0"/>
      <w:divBdr>
        <w:top w:val="none" w:sz="0" w:space="0" w:color="auto"/>
        <w:left w:val="none" w:sz="0" w:space="0" w:color="auto"/>
        <w:bottom w:val="none" w:sz="0" w:space="0" w:color="auto"/>
        <w:right w:val="none" w:sz="0" w:space="0" w:color="auto"/>
      </w:divBdr>
      <w:divsChild>
        <w:div w:id="2021270653">
          <w:marLeft w:val="346"/>
          <w:marRight w:val="0"/>
          <w:marTop w:val="60"/>
          <w:marBottom w:val="60"/>
          <w:divBdr>
            <w:top w:val="none" w:sz="0" w:space="0" w:color="auto"/>
            <w:left w:val="none" w:sz="0" w:space="0" w:color="auto"/>
            <w:bottom w:val="none" w:sz="0" w:space="0" w:color="auto"/>
            <w:right w:val="none" w:sz="0" w:space="0" w:color="auto"/>
          </w:divBdr>
        </w:div>
      </w:divsChild>
    </w:div>
    <w:div w:id="1525443059">
      <w:bodyDiv w:val="1"/>
      <w:marLeft w:val="0"/>
      <w:marRight w:val="0"/>
      <w:marTop w:val="0"/>
      <w:marBottom w:val="0"/>
      <w:divBdr>
        <w:top w:val="none" w:sz="0" w:space="0" w:color="auto"/>
        <w:left w:val="none" w:sz="0" w:space="0" w:color="auto"/>
        <w:bottom w:val="none" w:sz="0" w:space="0" w:color="auto"/>
        <w:right w:val="none" w:sz="0" w:space="0" w:color="auto"/>
      </w:divBdr>
    </w:div>
    <w:div w:id="1529904756">
      <w:bodyDiv w:val="1"/>
      <w:marLeft w:val="0"/>
      <w:marRight w:val="0"/>
      <w:marTop w:val="0"/>
      <w:marBottom w:val="0"/>
      <w:divBdr>
        <w:top w:val="none" w:sz="0" w:space="0" w:color="auto"/>
        <w:left w:val="none" w:sz="0" w:space="0" w:color="auto"/>
        <w:bottom w:val="none" w:sz="0" w:space="0" w:color="auto"/>
        <w:right w:val="none" w:sz="0" w:space="0" w:color="auto"/>
      </w:divBdr>
    </w:div>
    <w:div w:id="1533378502">
      <w:bodyDiv w:val="1"/>
      <w:marLeft w:val="0"/>
      <w:marRight w:val="0"/>
      <w:marTop w:val="0"/>
      <w:marBottom w:val="0"/>
      <w:divBdr>
        <w:top w:val="none" w:sz="0" w:space="0" w:color="auto"/>
        <w:left w:val="none" w:sz="0" w:space="0" w:color="auto"/>
        <w:bottom w:val="none" w:sz="0" w:space="0" w:color="auto"/>
        <w:right w:val="none" w:sz="0" w:space="0" w:color="auto"/>
      </w:divBdr>
    </w:div>
    <w:div w:id="1533499403">
      <w:bodyDiv w:val="1"/>
      <w:marLeft w:val="0"/>
      <w:marRight w:val="0"/>
      <w:marTop w:val="0"/>
      <w:marBottom w:val="0"/>
      <w:divBdr>
        <w:top w:val="none" w:sz="0" w:space="0" w:color="auto"/>
        <w:left w:val="none" w:sz="0" w:space="0" w:color="auto"/>
        <w:bottom w:val="none" w:sz="0" w:space="0" w:color="auto"/>
        <w:right w:val="none" w:sz="0" w:space="0" w:color="auto"/>
      </w:divBdr>
    </w:div>
    <w:div w:id="1533960456">
      <w:bodyDiv w:val="1"/>
      <w:marLeft w:val="0"/>
      <w:marRight w:val="0"/>
      <w:marTop w:val="0"/>
      <w:marBottom w:val="0"/>
      <w:divBdr>
        <w:top w:val="none" w:sz="0" w:space="0" w:color="auto"/>
        <w:left w:val="none" w:sz="0" w:space="0" w:color="auto"/>
        <w:bottom w:val="none" w:sz="0" w:space="0" w:color="auto"/>
        <w:right w:val="none" w:sz="0" w:space="0" w:color="auto"/>
      </w:divBdr>
    </w:div>
    <w:div w:id="1535531935">
      <w:bodyDiv w:val="1"/>
      <w:marLeft w:val="0"/>
      <w:marRight w:val="0"/>
      <w:marTop w:val="0"/>
      <w:marBottom w:val="0"/>
      <w:divBdr>
        <w:top w:val="none" w:sz="0" w:space="0" w:color="auto"/>
        <w:left w:val="none" w:sz="0" w:space="0" w:color="auto"/>
        <w:bottom w:val="none" w:sz="0" w:space="0" w:color="auto"/>
        <w:right w:val="none" w:sz="0" w:space="0" w:color="auto"/>
      </w:divBdr>
    </w:div>
    <w:div w:id="1542594588">
      <w:bodyDiv w:val="1"/>
      <w:marLeft w:val="0"/>
      <w:marRight w:val="0"/>
      <w:marTop w:val="0"/>
      <w:marBottom w:val="0"/>
      <w:divBdr>
        <w:top w:val="none" w:sz="0" w:space="0" w:color="auto"/>
        <w:left w:val="none" w:sz="0" w:space="0" w:color="auto"/>
        <w:bottom w:val="none" w:sz="0" w:space="0" w:color="auto"/>
        <w:right w:val="none" w:sz="0" w:space="0" w:color="auto"/>
      </w:divBdr>
    </w:div>
    <w:div w:id="1544251326">
      <w:bodyDiv w:val="1"/>
      <w:marLeft w:val="0"/>
      <w:marRight w:val="0"/>
      <w:marTop w:val="0"/>
      <w:marBottom w:val="0"/>
      <w:divBdr>
        <w:top w:val="none" w:sz="0" w:space="0" w:color="auto"/>
        <w:left w:val="none" w:sz="0" w:space="0" w:color="auto"/>
        <w:bottom w:val="none" w:sz="0" w:space="0" w:color="auto"/>
        <w:right w:val="none" w:sz="0" w:space="0" w:color="auto"/>
      </w:divBdr>
    </w:div>
    <w:div w:id="1546217294">
      <w:bodyDiv w:val="1"/>
      <w:marLeft w:val="0"/>
      <w:marRight w:val="0"/>
      <w:marTop w:val="0"/>
      <w:marBottom w:val="0"/>
      <w:divBdr>
        <w:top w:val="none" w:sz="0" w:space="0" w:color="auto"/>
        <w:left w:val="none" w:sz="0" w:space="0" w:color="auto"/>
        <w:bottom w:val="none" w:sz="0" w:space="0" w:color="auto"/>
        <w:right w:val="none" w:sz="0" w:space="0" w:color="auto"/>
      </w:divBdr>
    </w:div>
    <w:div w:id="1549534305">
      <w:bodyDiv w:val="1"/>
      <w:marLeft w:val="0"/>
      <w:marRight w:val="0"/>
      <w:marTop w:val="0"/>
      <w:marBottom w:val="0"/>
      <w:divBdr>
        <w:top w:val="none" w:sz="0" w:space="0" w:color="auto"/>
        <w:left w:val="none" w:sz="0" w:space="0" w:color="auto"/>
        <w:bottom w:val="none" w:sz="0" w:space="0" w:color="auto"/>
        <w:right w:val="none" w:sz="0" w:space="0" w:color="auto"/>
      </w:divBdr>
    </w:div>
    <w:div w:id="1558249476">
      <w:bodyDiv w:val="1"/>
      <w:marLeft w:val="0"/>
      <w:marRight w:val="0"/>
      <w:marTop w:val="0"/>
      <w:marBottom w:val="0"/>
      <w:divBdr>
        <w:top w:val="none" w:sz="0" w:space="0" w:color="auto"/>
        <w:left w:val="none" w:sz="0" w:space="0" w:color="auto"/>
        <w:bottom w:val="none" w:sz="0" w:space="0" w:color="auto"/>
        <w:right w:val="none" w:sz="0" w:space="0" w:color="auto"/>
      </w:divBdr>
    </w:div>
    <w:div w:id="1564833780">
      <w:bodyDiv w:val="1"/>
      <w:marLeft w:val="0"/>
      <w:marRight w:val="0"/>
      <w:marTop w:val="0"/>
      <w:marBottom w:val="0"/>
      <w:divBdr>
        <w:top w:val="none" w:sz="0" w:space="0" w:color="auto"/>
        <w:left w:val="none" w:sz="0" w:space="0" w:color="auto"/>
        <w:bottom w:val="none" w:sz="0" w:space="0" w:color="auto"/>
        <w:right w:val="none" w:sz="0" w:space="0" w:color="auto"/>
      </w:divBdr>
    </w:div>
    <w:div w:id="1572229611">
      <w:bodyDiv w:val="1"/>
      <w:marLeft w:val="0"/>
      <w:marRight w:val="0"/>
      <w:marTop w:val="0"/>
      <w:marBottom w:val="0"/>
      <w:divBdr>
        <w:top w:val="none" w:sz="0" w:space="0" w:color="auto"/>
        <w:left w:val="none" w:sz="0" w:space="0" w:color="auto"/>
        <w:bottom w:val="none" w:sz="0" w:space="0" w:color="auto"/>
        <w:right w:val="none" w:sz="0" w:space="0" w:color="auto"/>
      </w:divBdr>
    </w:div>
    <w:div w:id="1572277050">
      <w:bodyDiv w:val="1"/>
      <w:marLeft w:val="0"/>
      <w:marRight w:val="0"/>
      <w:marTop w:val="0"/>
      <w:marBottom w:val="0"/>
      <w:divBdr>
        <w:top w:val="none" w:sz="0" w:space="0" w:color="auto"/>
        <w:left w:val="none" w:sz="0" w:space="0" w:color="auto"/>
        <w:bottom w:val="none" w:sz="0" w:space="0" w:color="auto"/>
        <w:right w:val="none" w:sz="0" w:space="0" w:color="auto"/>
      </w:divBdr>
      <w:divsChild>
        <w:div w:id="1464498674">
          <w:marLeft w:val="346"/>
          <w:marRight w:val="0"/>
          <w:marTop w:val="60"/>
          <w:marBottom w:val="60"/>
          <w:divBdr>
            <w:top w:val="none" w:sz="0" w:space="0" w:color="auto"/>
            <w:left w:val="none" w:sz="0" w:space="0" w:color="auto"/>
            <w:bottom w:val="none" w:sz="0" w:space="0" w:color="auto"/>
            <w:right w:val="none" w:sz="0" w:space="0" w:color="auto"/>
          </w:divBdr>
        </w:div>
      </w:divsChild>
    </w:div>
    <w:div w:id="1573931392">
      <w:bodyDiv w:val="1"/>
      <w:marLeft w:val="0"/>
      <w:marRight w:val="0"/>
      <w:marTop w:val="0"/>
      <w:marBottom w:val="0"/>
      <w:divBdr>
        <w:top w:val="none" w:sz="0" w:space="0" w:color="auto"/>
        <w:left w:val="none" w:sz="0" w:space="0" w:color="auto"/>
        <w:bottom w:val="none" w:sz="0" w:space="0" w:color="auto"/>
        <w:right w:val="none" w:sz="0" w:space="0" w:color="auto"/>
      </w:divBdr>
      <w:divsChild>
        <w:div w:id="468982508">
          <w:marLeft w:val="0"/>
          <w:marRight w:val="0"/>
          <w:marTop w:val="0"/>
          <w:marBottom w:val="0"/>
          <w:divBdr>
            <w:top w:val="none" w:sz="0" w:space="0" w:color="auto"/>
            <w:left w:val="none" w:sz="0" w:space="0" w:color="auto"/>
            <w:bottom w:val="none" w:sz="0" w:space="0" w:color="auto"/>
            <w:right w:val="none" w:sz="0" w:space="0" w:color="auto"/>
          </w:divBdr>
        </w:div>
      </w:divsChild>
    </w:div>
    <w:div w:id="1580748154">
      <w:bodyDiv w:val="1"/>
      <w:marLeft w:val="0"/>
      <w:marRight w:val="0"/>
      <w:marTop w:val="0"/>
      <w:marBottom w:val="0"/>
      <w:divBdr>
        <w:top w:val="none" w:sz="0" w:space="0" w:color="auto"/>
        <w:left w:val="none" w:sz="0" w:space="0" w:color="auto"/>
        <w:bottom w:val="none" w:sz="0" w:space="0" w:color="auto"/>
        <w:right w:val="none" w:sz="0" w:space="0" w:color="auto"/>
      </w:divBdr>
    </w:div>
    <w:div w:id="1581863567">
      <w:bodyDiv w:val="1"/>
      <w:marLeft w:val="0"/>
      <w:marRight w:val="0"/>
      <w:marTop w:val="0"/>
      <w:marBottom w:val="0"/>
      <w:divBdr>
        <w:top w:val="none" w:sz="0" w:space="0" w:color="auto"/>
        <w:left w:val="none" w:sz="0" w:space="0" w:color="auto"/>
        <w:bottom w:val="none" w:sz="0" w:space="0" w:color="auto"/>
        <w:right w:val="none" w:sz="0" w:space="0" w:color="auto"/>
      </w:divBdr>
    </w:div>
    <w:div w:id="1592733299">
      <w:bodyDiv w:val="1"/>
      <w:marLeft w:val="0"/>
      <w:marRight w:val="0"/>
      <w:marTop w:val="0"/>
      <w:marBottom w:val="0"/>
      <w:divBdr>
        <w:top w:val="none" w:sz="0" w:space="0" w:color="auto"/>
        <w:left w:val="none" w:sz="0" w:space="0" w:color="auto"/>
        <w:bottom w:val="none" w:sz="0" w:space="0" w:color="auto"/>
        <w:right w:val="none" w:sz="0" w:space="0" w:color="auto"/>
      </w:divBdr>
    </w:div>
    <w:div w:id="1595237970">
      <w:bodyDiv w:val="1"/>
      <w:marLeft w:val="0"/>
      <w:marRight w:val="0"/>
      <w:marTop w:val="0"/>
      <w:marBottom w:val="0"/>
      <w:divBdr>
        <w:top w:val="none" w:sz="0" w:space="0" w:color="auto"/>
        <w:left w:val="none" w:sz="0" w:space="0" w:color="auto"/>
        <w:bottom w:val="none" w:sz="0" w:space="0" w:color="auto"/>
        <w:right w:val="none" w:sz="0" w:space="0" w:color="auto"/>
      </w:divBdr>
    </w:div>
    <w:div w:id="1600521565">
      <w:bodyDiv w:val="1"/>
      <w:marLeft w:val="0"/>
      <w:marRight w:val="0"/>
      <w:marTop w:val="0"/>
      <w:marBottom w:val="0"/>
      <w:divBdr>
        <w:top w:val="none" w:sz="0" w:space="0" w:color="auto"/>
        <w:left w:val="none" w:sz="0" w:space="0" w:color="auto"/>
        <w:bottom w:val="none" w:sz="0" w:space="0" w:color="auto"/>
        <w:right w:val="none" w:sz="0" w:space="0" w:color="auto"/>
      </w:divBdr>
    </w:div>
    <w:div w:id="1602301121">
      <w:bodyDiv w:val="1"/>
      <w:marLeft w:val="0"/>
      <w:marRight w:val="0"/>
      <w:marTop w:val="0"/>
      <w:marBottom w:val="0"/>
      <w:divBdr>
        <w:top w:val="none" w:sz="0" w:space="0" w:color="auto"/>
        <w:left w:val="none" w:sz="0" w:space="0" w:color="auto"/>
        <w:bottom w:val="none" w:sz="0" w:space="0" w:color="auto"/>
        <w:right w:val="none" w:sz="0" w:space="0" w:color="auto"/>
      </w:divBdr>
    </w:div>
    <w:div w:id="1605191774">
      <w:bodyDiv w:val="1"/>
      <w:marLeft w:val="0"/>
      <w:marRight w:val="0"/>
      <w:marTop w:val="0"/>
      <w:marBottom w:val="0"/>
      <w:divBdr>
        <w:top w:val="none" w:sz="0" w:space="0" w:color="auto"/>
        <w:left w:val="none" w:sz="0" w:space="0" w:color="auto"/>
        <w:bottom w:val="none" w:sz="0" w:space="0" w:color="auto"/>
        <w:right w:val="none" w:sz="0" w:space="0" w:color="auto"/>
      </w:divBdr>
    </w:div>
    <w:div w:id="1605382791">
      <w:bodyDiv w:val="1"/>
      <w:marLeft w:val="0"/>
      <w:marRight w:val="0"/>
      <w:marTop w:val="0"/>
      <w:marBottom w:val="0"/>
      <w:divBdr>
        <w:top w:val="none" w:sz="0" w:space="0" w:color="auto"/>
        <w:left w:val="none" w:sz="0" w:space="0" w:color="auto"/>
        <w:bottom w:val="none" w:sz="0" w:space="0" w:color="auto"/>
        <w:right w:val="none" w:sz="0" w:space="0" w:color="auto"/>
      </w:divBdr>
    </w:div>
    <w:div w:id="1613516277">
      <w:bodyDiv w:val="1"/>
      <w:marLeft w:val="0"/>
      <w:marRight w:val="0"/>
      <w:marTop w:val="0"/>
      <w:marBottom w:val="0"/>
      <w:divBdr>
        <w:top w:val="none" w:sz="0" w:space="0" w:color="auto"/>
        <w:left w:val="none" w:sz="0" w:space="0" w:color="auto"/>
        <w:bottom w:val="none" w:sz="0" w:space="0" w:color="auto"/>
        <w:right w:val="none" w:sz="0" w:space="0" w:color="auto"/>
      </w:divBdr>
    </w:div>
    <w:div w:id="1623221096">
      <w:bodyDiv w:val="1"/>
      <w:marLeft w:val="0"/>
      <w:marRight w:val="0"/>
      <w:marTop w:val="0"/>
      <w:marBottom w:val="0"/>
      <w:divBdr>
        <w:top w:val="none" w:sz="0" w:space="0" w:color="auto"/>
        <w:left w:val="none" w:sz="0" w:space="0" w:color="auto"/>
        <w:bottom w:val="none" w:sz="0" w:space="0" w:color="auto"/>
        <w:right w:val="none" w:sz="0" w:space="0" w:color="auto"/>
      </w:divBdr>
    </w:div>
    <w:div w:id="1624925615">
      <w:bodyDiv w:val="1"/>
      <w:marLeft w:val="0"/>
      <w:marRight w:val="0"/>
      <w:marTop w:val="0"/>
      <w:marBottom w:val="0"/>
      <w:divBdr>
        <w:top w:val="none" w:sz="0" w:space="0" w:color="auto"/>
        <w:left w:val="none" w:sz="0" w:space="0" w:color="auto"/>
        <w:bottom w:val="none" w:sz="0" w:space="0" w:color="auto"/>
        <w:right w:val="none" w:sz="0" w:space="0" w:color="auto"/>
      </w:divBdr>
    </w:div>
    <w:div w:id="1629119669">
      <w:bodyDiv w:val="1"/>
      <w:marLeft w:val="0"/>
      <w:marRight w:val="0"/>
      <w:marTop w:val="0"/>
      <w:marBottom w:val="0"/>
      <w:divBdr>
        <w:top w:val="none" w:sz="0" w:space="0" w:color="auto"/>
        <w:left w:val="none" w:sz="0" w:space="0" w:color="auto"/>
        <w:bottom w:val="none" w:sz="0" w:space="0" w:color="auto"/>
        <w:right w:val="none" w:sz="0" w:space="0" w:color="auto"/>
      </w:divBdr>
    </w:div>
    <w:div w:id="1631089309">
      <w:bodyDiv w:val="1"/>
      <w:marLeft w:val="0"/>
      <w:marRight w:val="0"/>
      <w:marTop w:val="0"/>
      <w:marBottom w:val="0"/>
      <w:divBdr>
        <w:top w:val="none" w:sz="0" w:space="0" w:color="auto"/>
        <w:left w:val="none" w:sz="0" w:space="0" w:color="auto"/>
        <w:bottom w:val="none" w:sz="0" w:space="0" w:color="auto"/>
        <w:right w:val="none" w:sz="0" w:space="0" w:color="auto"/>
      </w:divBdr>
    </w:div>
    <w:div w:id="1645507898">
      <w:bodyDiv w:val="1"/>
      <w:marLeft w:val="0"/>
      <w:marRight w:val="0"/>
      <w:marTop w:val="0"/>
      <w:marBottom w:val="0"/>
      <w:divBdr>
        <w:top w:val="none" w:sz="0" w:space="0" w:color="auto"/>
        <w:left w:val="none" w:sz="0" w:space="0" w:color="auto"/>
        <w:bottom w:val="none" w:sz="0" w:space="0" w:color="auto"/>
        <w:right w:val="none" w:sz="0" w:space="0" w:color="auto"/>
      </w:divBdr>
    </w:div>
    <w:div w:id="1649355757">
      <w:bodyDiv w:val="1"/>
      <w:marLeft w:val="0"/>
      <w:marRight w:val="0"/>
      <w:marTop w:val="0"/>
      <w:marBottom w:val="0"/>
      <w:divBdr>
        <w:top w:val="none" w:sz="0" w:space="0" w:color="auto"/>
        <w:left w:val="none" w:sz="0" w:space="0" w:color="auto"/>
        <w:bottom w:val="none" w:sz="0" w:space="0" w:color="auto"/>
        <w:right w:val="none" w:sz="0" w:space="0" w:color="auto"/>
      </w:divBdr>
    </w:div>
    <w:div w:id="1654069151">
      <w:bodyDiv w:val="1"/>
      <w:marLeft w:val="0"/>
      <w:marRight w:val="0"/>
      <w:marTop w:val="0"/>
      <w:marBottom w:val="0"/>
      <w:divBdr>
        <w:top w:val="none" w:sz="0" w:space="0" w:color="auto"/>
        <w:left w:val="none" w:sz="0" w:space="0" w:color="auto"/>
        <w:bottom w:val="none" w:sz="0" w:space="0" w:color="auto"/>
        <w:right w:val="none" w:sz="0" w:space="0" w:color="auto"/>
      </w:divBdr>
      <w:divsChild>
        <w:div w:id="1402680169">
          <w:marLeft w:val="346"/>
          <w:marRight w:val="0"/>
          <w:marTop w:val="60"/>
          <w:marBottom w:val="60"/>
          <w:divBdr>
            <w:top w:val="none" w:sz="0" w:space="0" w:color="auto"/>
            <w:left w:val="none" w:sz="0" w:space="0" w:color="auto"/>
            <w:bottom w:val="none" w:sz="0" w:space="0" w:color="auto"/>
            <w:right w:val="none" w:sz="0" w:space="0" w:color="auto"/>
          </w:divBdr>
        </w:div>
      </w:divsChild>
    </w:div>
    <w:div w:id="1661078410">
      <w:bodyDiv w:val="1"/>
      <w:marLeft w:val="0"/>
      <w:marRight w:val="0"/>
      <w:marTop w:val="0"/>
      <w:marBottom w:val="0"/>
      <w:divBdr>
        <w:top w:val="none" w:sz="0" w:space="0" w:color="auto"/>
        <w:left w:val="none" w:sz="0" w:space="0" w:color="auto"/>
        <w:bottom w:val="none" w:sz="0" w:space="0" w:color="auto"/>
        <w:right w:val="none" w:sz="0" w:space="0" w:color="auto"/>
      </w:divBdr>
    </w:div>
    <w:div w:id="1661346917">
      <w:bodyDiv w:val="1"/>
      <w:marLeft w:val="0"/>
      <w:marRight w:val="0"/>
      <w:marTop w:val="0"/>
      <w:marBottom w:val="0"/>
      <w:divBdr>
        <w:top w:val="none" w:sz="0" w:space="0" w:color="auto"/>
        <w:left w:val="none" w:sz="0" w:space="0" w:color="auto"/>
        <w:bottom w:val="none" w:sz="0" w:space="0" w:color="auto"/>
        <w:right w:val="none" w:sz="0" w:space="0" w:color="auto"/>
      </w:divBdr>
    </w:div>
    <w:div w:id="1664041533">
      <w:bodyDiv w:val="1"/>
      <w:marLeft w:val="0"/>
      <w:marRight w:val="0"/>
      <w:marTop w:val="0"/>
      <w:marBottom w:val="0"/>
      <w:divBdr>
        <w:top w:val="none" w:sz="0" w:space="0" w:color="auto"/>
        <w:left w:val="none" w:sz="0" w:space="0" w:color="auto"/>
        <w:bottom w:val="none" w:sz="0" w:space="0" w:color="auto"/>
        <w:right w:val="none" w:sz="0" w:space="0" w:color="auto"/>
      </w:divBdr>
    </w:div>
    <w:div w:id="1671715064">
      <w:bodyDiv w:val="1"/>
      <w:marLeft w:val="0"/>
      <w:marRight w:val="0"/>
      <w:marTop w:val="0"/>
      <w:marBottom w:val="0"/>
      <w:divBdr>
        <w:top w:val="none" w:sz="0" w:space="0" w:color="auto"/>
        <w:left w:val="none" w:sz="0" w:space="0" w:color="auto"/>
        <w:bottom w:val="none" w:sz="0" w:space="0" w:color="auto"/>
        <w:right w:val="none" w:sz="0" w:space="0" w:color="auto"/>
      </w:divBdr>
    </w:div>
    <w:div w:id="1679963701">
      <w:bodyDiv w:val="1"/>
      <w:marLeft w:val="0"/>
      <w:marRight w:val="0"/>
      <w:marTop w:val="0"/>
      <w:marBottom w:val="0"/>
      <w:divBdr>
        <w:top w:val="none" w:sz="0" w:space="0" w:color="auto"/>
        <w:left w:val="none" w:sz="0" w:space="0" w:color="auto"/>
        <w:bottom w:val="none" w:sz="0" w:space="0" w:color="auto"/>
        <w:right w:val="none" w:sz="0" w:space="0" w:color="auto"/>
      </w:divBdr>
    </w:div>
    <w:div w:id="1680306574">
      <w:bodyDiv w:val="1"/>
      <w:marLeft w:val="0"/>
      <w:marRight w:val="0"/>
      <w:marTop w:val="0"/>
      <w:marBottom w:val="0"/>
      <w:divBdr>
        <w:top w:val="none" w:sz="0" w:space="0" w:color="auto"/>
        <w:left w:val="none" w:sz="0" w:space="0" w:color="auto"/>
        <w:bottom w:val="none" w:sz="0" w:space="0" w:color="auto"/>
        <w:right w:val="none" w:sz="0" w:space="0" w:color="auto"/>
      </w:divBdr>
    </w:div>
    <w:div w:id="1683628818">
      <w:bodyDiv w:val="1"/>
      <w:marLeft w:val="0"/>
      <w:marRight w:val="0"/>
      <w:marTop w:val="0"/>
      <w:marBottom w:val="0"/>
      <w:divBdr>
        <w:top w:val="none" w:sz="0" w:space="0" w:color="auto"/>
        <w:left w:val="none" w:sz="0" w:space="0" w:color="auto"/>
        <w:bottom w:val="none" w:sz="0" w:space="0" w:color="auto"/>
        <w:right w:val="none" w:sz="0" w:space="0" w:color="auto"/>
      </w:divBdr>
    </w:div>
    <w:div w:id="1684478980">
      <w:bodyDiv w:val="1"/>
      <w:marLeft w:val="0"/>
      <w:marRight w:val="0"/>
      <w:marTop w:val="0"/>
      <w:marBottom w:val="0"/>
      <w:divBdr>
        <w:top w:val="none" w:sz="0" w:space="0" w:color="auto"/>
        <w:left w:val="none" w:sz="0" w:space="0" w:color="auto"/>
        <w:bottom w:val="none" w:sz="0" w:space="0" w:color="auto"/>
        <w:right w:val="none" w:sz="0" w:space="0" w:color="auto"/>
      </w:divBdr>
    </w:div>
    <w:div w:id="1686055217">
      <w:bodyDiv w:val="1"/>
      <w:marLeft w:val="0"/>
      <w:marRight w:val="0"/>
      <w:marTop w:val="0"/>
      <w:marBottom w:val="0"/>
      <w:divBdr>
        <w:top w:val="none" w:sz="0" w:space="0" w:color="auto"/>
        <w:left w:val="none" w:sz="0" w:space="0" w:color="auto"/>
        <w:bottom w:val="none" w:sz="0" w:space="0" w:color="auto"/>
        <w:right w:val="none" w:sz="0" w:space="0" w:color="auto"/>
      </w:divBdr>
    </w:div>
    <w:div w:id="1686056502">
      <w:bodyDiv w:val="1"/>
      <w:marLeft w:val="0"/>
      <w:marRight w:val="0"/>
      <w:marTop w:val="0"/>
      <w:marBottom w:val="0"/>
      <w:divBdr>
        <w:top w:val="none" w:sz="0" w:space="0" w:color="auto"/>
        <w:left w:val="none" w:sz="0" w:space="0" w:color="auto"/>
        <w:bottom w:val="none" w:sz="0" w:space="0" w:color="auto"/>
        <w:right w:val="none" w:sz="0" w:space="0" w:color="auto"/>
      </w:divBdr>
    </w:div>
    <w:div w:id="1691564666">
      <w:bodyDiv w:val="1"/>
      <w:marLeft w:val="0"/>
      <w:marRight w:val="0"/>
      <w:marTop w:val="0"/>
      <w:marBottom w:val="0"/>
      <w:divBdr>
        <w:top w:val="none" w:sz="0" w:space="0" w:color="auto"/>
        <w:left w:val="none" w:sz="0" w:space="0" w:color="auto"/>
        <w:bottom w:val="none" w:sz="0" w:space="0" w:color="auto"/>
        <w:right w:val="none" w:sz="0" w:space="0" w:color="auto"/>
      </w:divBdr>
    </w:div>
    <w:div w:id="1692101944">
      <w:bodyDiv w:val="1"/>
      <w:marLeft w:val="0"/>
      <w:marRight w:val="0"/>
      <w:marTop w:val="0"/>
      <w:marBottom w:val="0"/>
      <w:divBdr>
        <w:top w:val="none" w:sz="0" w:space="0" w:color="auto"/>
        <w:left w:val="none" w:sz="0" w:space="0" w:color="auto"/>
        <w:bottom w:val="none" w:sz="0" w:space="0" w:color="auto"/>
        <w:right w:val="none" w:sz="0" w:space="0" w:color="auto"/>
      </w:divBdr>
    </w:div>
    <w:div w:id="1692341956">
      <w:bodyDiv w:val="1"/>
      <w:marLeft w:val="0"/>
      <w:marRight w:val="0"/>
      <w:marTop w:val="0"/>
      <w:marBottom w:val="0"/>
      <w:divBdr>
        <w:top w:val="none" w:sz="0" w:space="0" w:color="auto"/>
        <w:left w:val="none" w:sz="0" w:space="0" w:color="auto"/>
        <w:bottom w:val="none" w:sz="0" w:space="0" w:color="auto"/>
        <w:right w:val="none" w:sz="0" w:space="0" w:color="auto"/>
      </w:divBdr>
    </w:div>
    <w:div w:id="1692486000">
      <w:bodyDiv w:val="1"/>
      <w:marLeft w:val="0"/>
      <w:marRight w:val="0"/>
      <w:marTop w:val="0"/>
      <w:marBottom w:val="0"/>
      <w:divBdr>
        <w:top w:val="none" w:sz="0" w:space="0" w:color="auto"/>
        <w:left w:val="none" w:sz="0" w:space="0" w:color="auto"/>
        <w:bottom w:val="none" w:sz="0" w:space="0" w:color="auto"/>
        <w:right w:val="none" w:sz="0" w:space="0" w:color="auto"/>
      </w:divBdr>
    </w:div>
    <w:div w:id="1694917218">
      <w:bodyDiv w:val="1"/>
      <w:marLeft w:val="0"/>
      <w:marRight w:val="0"/>
      <w:marTop w:val="0"/>
      <w:marBottom w:val="0"/>
      <w:divBdr>
        <w:top w:val="none" w:sz="0" w:space="0" w:color="auto"/>
        <w:left w:val="none" w:sz="0" w:space="0" w:color="auto"/>
        <w:bottom w:val="none" w:sz="0" w:space="0" w:color="auto"/>
        <w:right w:val="none" w:sz="0" w:space="0" w:color="auto"/>
      </w:divBdr>
    </w:div>
    <w:div w:id="1697195343">
      <w:bodyDiv w:val="1"/>
      <w:marLeft w:val="0"/>
      <w:marRight w:val="0"/>
      <w:marTop w:val="0"/>
      <w:marBottom w:val="0"/>
      <w:divBdr>
        <w:top w:val="none" w:sz="0" w:space="0" w:color="auto"/>
        <w:left w:val="none" w:sz="0" w:space="0" w:color="auto"/>
        <w:bottom w:val="none" w:sz="0" w:space="0" w:color="auto"/>
        <w:right w:val="none" w:sz="0" w:space="0" w:color="auto"/>
      </w:divBdr>
    </w:div>
    <w:div w:id="1707950954">
      <w:bodyDiv w:val="1"/>
      <w:marLeft w:val="0"/>
      <w:marRight w:val="0"/>
      <w:marTop w:val="0"/>
      <w:marBottom w:val="0"/>
      <w:divBdr>
        <w:top w:val="none" w:sz="0" w:space="0" w:color="auto"/>
        <w:left w:val="none" w:sz="0" w:space="0" w:color="auto"/>
        <w:bottom w:val="none" w:sz="0" w:space="0" w:color="auto"/>
        <w:right w:val="none" w:sz="0" w:space="0" w:color="auto"/>
      </w:divBdr>
    </w:div>
    <w:div w:id="1717512650">
      <w:bodyDiv w:val="1"/>
      <w:marLeft w:val="0"/>
      <w:marRight w:val="0"/>
      <w:marTop w:val="0"/>
      <w:marBottom w:val="0"/>
      <w:divBdr>
        <w:top w:val="none" w:sz="0" w:space="0" w:color="auto"/>
        <w:left w:val="none" w:sz="0" w:space="0" w:color="auto"/>
        <w:bottom w:val="none" w:sz="0" w:space="0" w:color="auto"/>
        <w:right w:val="none" w:sz="0" w:space="0" w:color="auto"/>
      </w:divBdr>
    </w:div>
    <w:div w:id="1720351888">
      <w:bodyDiv w:val="1"/>
      <w:marLeft w:val="0"/>
      <w:marRight w:val="0"/>
      <w:marTop w:val="0"/>
      <w:marBottom w:val="0"/>
      <w:divBdr>
        <w:top w:val="none" w:sz="0" w:space="0" w:color="auto"/>
        <w:left w:val="none" w:sz="0" w:space="0" w:color="auto"/>
        <w:bottom w:val="none" w:sz="0" w:space="0" w:color="auto"/>
        <w:right w:val="none" w:sz="0" w:space="0" w:color="auto"/>
      </w:divBdr>
    </w:div>
    <w:div w:id="1721904820">
      <w:bodyDiv w:val="1"/>
      <w:marLeft w:val="0"/>
      <w:marRight w:val="0"/>
      <w:marTop w:val="0"/>
      <w:marBottom w:val="0"/>
      <w:divBdr>
        <w:top w:val="none" w:sz="0" w:space="0" w:color="auto"/>
        <w:left w:val="none" w:sz="0" w:space="0" w:color="auto"/>
        <w:bottom w:val="none" w:sz="0" w:space="0" w:color="auto"/>
        <w:right w:val="none" w:sz="0" w:space="0" w:color="auto"/>
      </w:divBdr>
    </w:div>
    <w:div w:id="1725328404">
      <w:bodyDiv w:val="1"/>
      <w:marLeft w:val="0"/>
      <w:marRight w:val="0"/>
      <w:marTop w:val="0"/>
      <w:marBottom w:val="0"/>
      <w:divBdr>
        <w:top w:val="none" w:sz="0" w:space="0" w:color="auto"/>
        <w:left w:val="none" w:sz="0" w:space="0" w:color="auto"/>
        <w:bottom w:val="none" w:sz="0" w:space="0" w:color="auto"/>
        <w:right w:val="none" w:sz="0" w:space="0" w:color="auto"/>
      </w:divBdr>
    </w:div>
    <w:div w:id="1726828406">
      <w:bodyDiv w:val="1"/>
      <w:marLeft w:val="0"/>
      <w:marRight w:val="0"/>
      <w:marTop w:val="0"/>
      <w:marBottom w:val="0"/>
      <w:divBdr>
        <w:top w:val="none" w:sz="0" w:space="0" w:color="auto"/>
        <w:left w:val="none" w:sz="0" w:space="0" w:color="auto"/>
        <w:bottom w:val="none" w:sz="0" w:space="0" w:color="auto"/>
        <w:right w:val="none" w:sz="0" w:space="0" w:color="auto"/>
      </w:divBdr>
    </w:div>
    <w:div w:id="1737895461">
      <w:bodyDiv w:val="1"/>
      <w:marLeft w:val="0"/>
      <w:marRight w:val="0"/>
      <w:marTop w:val="0"/>
      <w:marBottom w:val="0"/>
      <w:divBdr>
        <w:top w:val="none" w:sz="0" w:space="0" w:color="auto"/>
        <w:left w:val="none" w:sz="0" w:space="0" w:color="auto"/>
        <w:bottom w:val="none" w:sz="0" w:space="0" w:color="auto"/>
        <w:right w:val="none" w:sz="0" w:space="0" w:color="auto"/>
      </w:divBdr>
    </w:div>
    <w:div w:id="1745763987">
      <w:bodyDiv w:val="1"/>
      <w:marLeft w:val="0"/>
      <w:marRight w:val="0"/>
      <w:marTop w:val="0"/>
      <w:marBottom w:val="0"/>
      <w:divBdr>
        <w:top w:val="none" w:sz="0" w:space="0" w:color="auto"/>
        <w:left w:val="none" w:sz="0" w:space="0" w:color="auto"/>
        <w:bottom w:val="none" w:sz="0" w:space="0" w:color="auto"/>
        <w:right w:val="none" w:sz="0" w:space="0" w:color="auto"/>
      </w:divBdr>
    </w:div>
    <w:div w:id="1746878090">
      <w:bodyDiv w:val="1"/>
      <w:marLeft w:val="0"/>
      <w:marRight w:val="0"/>
      <w:marTop w:val="0"/>
      <w:marBottom w:val="0"/>
      <w:divBdr>
        <w:top w:val="none" w:sz="0" w:space="0" w:color="auto"/>
        <w:left w:val="none" w:sz="0" w:space="0" w:color="auto"/>
        <w:bottom w:val="none" w:sz="0" w:space="0" w:color="auto"/>
        <w:right w:val="none" w:sz="0" w:space="0" w:color="auto"/>
      </w:divBdr>
      <w:divsChild>
        <w:div w:id="1253734471">
          <w:marLeft w:val="0"/>
          <w:marRight w:val="0"/>
          <w:marTop w:val="0"/>
          <w:marBottom w:val="0"/>
          <w:divBdr>
            <w:top w:val="none" w:sz="0" w:space="0" w:color="auto"/>
            <w:left w:val="none" w:sz="0" w:space="0" w:color="auto"/>
            <w:bottom w:val="none" w:sz="0" w:space="0" w:color="auto"/>
            <w:right w:val="none" w:sz="0" w:space="0" w:color="auto"/>
          </w:divBdr>
          <w:divsChild>
            <w:div w:id="1739866859">
              <w:marLeft w:val="0"/>
              <w:marRight w:val="0"/>
              <w:marTop w:val="0"/>
              <w:marBottom w:val="0"/>
              <w:divBdr>
                <w:top w:val="none" w:sz="0" w:space="0" w:color="auto"/>
                <w:left w:val="none" w:sz="0" w:space="0" w:color="auto"/>
                <w:bottom w:val="none" w:sz="0" w:space="0" w:color="auto"/>
                <w:right w:val="none" w:sz="0" w:space="0" w:color="auto"/>
              </w:divBdr>
              <w:divsChild>
                <w:div w:id="2014602807">
                  <w:marLeft w:val="0"/>
                  <w:marRight w:val="0"/>
                  <w:marTop w:val="0"/>
                  <w:marBottom w:val="0"/>
                  <w:divBdr>
                    <w:top w:val="none" w:sz="0" w:space="0" w:color="auto"/>
                    <w:left w:val="none" w:sz="0" w:space="0" w:color="auto"/>
                    <w:bottom w:val="none" w:sz="0" w:space="0" w:color="auto"/>
                    <w:right w:val="none" w:sz="0" w:space="0" w:color="auto"/>
                  </w:divBdr>
                  <w:divsChild>
                    <w:div w:id="1364206227">
                      <w:marLeft w:val="0"/>
                      <w:marRight w:val="0"/>
                      <w:marTop w:val="0"/>
                      <w:marBottom w:val="0"/>
                      <w:divBdr>
                        <w:top w:val="none" w:sz="0" w:space="0" w:color="auto"/>
                        <w:left w:val="none" w:sz="0" w:space="0" w:color="auto"/>
                        <w:bottom w:val="none" w:sz="0" w:space="0" w:color="auto"/>
                        <w:right w:val="none" w:sz="0" w:space="0" w:color="auto"/>
                      </w:divBdr>
                      <w:divsChild>
                        <w:div w:id="751857654">
                          <w:marLeft w:val="0"/>
                          <w:marRight w:val="0"/>
                          <w:marTop w:val="0"/>
                          <w:marBottom w:val="0"/>
                          <w:divBdr>
                            <w:top w:val="none" w:sz="0" w:space="0" w:color="auto"/>
                            <w:left w:val="none" w:sz="0" w:space="0" w:color="auto"/>
                            <w:bottom w:val="none" w:sz="0" w:space="0" w:color="auto"/>
                            <w:right w:val="none" w:sz="0" w:space="0" w:color="auto"/>
                          </w:divBdr>
                          <w:divsChild>
                            <w:div w:id="17391343">
                              <w:marLeft w:val="0"/>
                              <w:marRight w:val="0"/>
                              <w:marTop w:val="0"/>
                              <w:marBottom w:val="0"/>
                              <w:divBdr>
                                <w:top w:val="none" w:sz="0" w:space="0" w:color="auto"/>
                                <w:left w:val="none" w:sz="0" w:space="0" w:color="auto"/>
                                <w:bottom w:val="none" w:sz="0" w:space="0" w:color="auto"/>
                                <w:right w:val="none" w:sz="0" w:space="0" w:color="auto"/>
                              </w:divBdr>
                              <w:divsChild>
                                <w:div w:id="1056776014">
                                  <w:marLeft w:val="0"/>
                                  <w:marRight w:val="0"/>
                                  <w:marTop w:val="0"/>
                                  <w:marBottom w:val="0"/>
                                  <w:divBdr>
                                    <w:top w:val="none" w:sz="0" w:space="0" w:color="auto"/>
                                    <w:left w:val="none" w:sz="0" w:space="0" w:color="auto"/>
                                    <w:bottom w:val="none" w:sz="0" w:space="0" w:color="auto"/>
                                    <w:right w:val="none" w:sz="0" w:space="0" w:color="auto"/>
                                  </w:divBdr>
                                  <w:divsChild>
                                    <w:div w:id="798838294">
                                      <w:marLeft w:val="0"/>
                                      <w:marRight w:val="0"/>
                                      <w:marTop w:val="0"/>
                                      <w:marBottom w:val="0"/>
                                      <w:divBdr>
                                        <w:top w:val="none" w:sz="0" w:space="0" w:color="auto"/>
                                        <w:left w:val="none" w:sz="0" w:space="0" w:color="auto"/>
                                        <w:bottom w:val="none" w:sz="0" w:space="0" w:color="auto"/>
                                        <w:right w:val="none" w:sz="0" w:space="0" w:color="auto"/>
                                      </w:divBdr>
                                      <w:divsChild>
                                        <w:div w:id="11720640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144942">
      <w:bodyDiv w:val="1"/>
      <w:marLeft w:val="0"/>
      <w:marRight w:val="0"/>
      <w:marTop w:val="0"/>
      <w:marBottom w:val="0"/>
      <w:divBdr>
        <w:top w:val="none" w:sz="0" w:space="0" w:color="auto"/>
        <w:left w:val="none" w:sz="0" w:space="0" w:color="auto"/>
        <w:bottom w:val="none" w:sz="0" w:space="0" w:color="auto"/>
        <w:right w:val="none" w:sz="0" w:space="0" w:color="auto"/>
      </w:divBdr>
    </w:div>
    <w:div w:id="1747265350">
      <w:bodyDiv w:val="1"/>
      <w:marLeft w:val="0"/>
      <w:marRight w:val="0"/>
      <w:marTop w:val="0"/>
      <w:marBottom w:val="0"/>
      <w:divBdr>
        <w:top w:val="none" w:sz="0" w:space="0" w:color="auto"/>
        <w:left w:val="none" w:sz="0" w:space="0" w:color="auto"/>
        <w:bottom w:val="none" w:sz="0" w:space="0" w:color="auto"/>
        <w:right w:val="none" w:sz="0" w:space="0" w:color="auto"/>
      </w:divBdr>
    </w:div>
    <w:div w:id="1749040236">
      <w:bodyDiv w:val="1"/>
      <w:marLeft w:val="0"/>
      <w:marRight w:val="0"/>
      <w:marTop w:val="0"/>
      <w:marBottom w:val="0"/>
      <w:divBdr>
        <w:top w:val="none" w:sz="0" w:space="0" w:color="auto"/>
        <w:left w:val="none" w:sz="0" w:space="0" w:color="auto"/>
        <w:bottom w:val="none" w:sz="0" w:space="0" w:color="auto"/>
        <w:right w:val="none" w:sz="0" w:space="0" w:color="auto"/>
      </w:divBdr>
    </w:div>
    <w:div w:id="1749306695">
      <w:bodyDiv w:val="1"/>
      <w:marLeft w:val="0"/>
      <w:marRight w:val="0"/>
      <w:marTop w:val="0"/>
      <w:marBottom w:val="0"/>
      <w:divBdr>
        <w:top w:val="none" w:sz="0" w:space="0" w:color="auto"/>
        <w:left w:val="none" w:sz="0" w:space="0" w:color="auto"/>
        <w:bottom w:val="none" w:sz="0" w:space="0" w:color="auto"/>
        <w:right w:val="none" w:sz="0" w:space="0" w:color="auto"/>
      </w:divBdr>
      <w:divsChild>
        <w:div w:id="898829008">
          <w:marLeft w:val="346"/>
          <w:marRight w:val="0"/>
          <w:marTop w:val="60"/>
          <w:marBottom w:val="60"/>
          <w:divBdr>
            <w:top w:val="none" w:sz="0" w:space="0" w:color="auto"/>
            <w:left w:val="none" w:sz="0" w:space="0" w:color="auto"/>
            <w:bottom w:val="none" w:sz="0" w:space="0" w:color="auto"/>
            <w:right w:val="none" w:sz="0" w:space="0" w:color="auto"/>
          </w:divBdr>
        </w:div>
      </w:divsChild>
    </w:div>
    <w:div w:id="1749427168">
      <w:bodyDiv w:val="1"/>
      <w:marLeft w:val="0"/>
      <w:marRight w:val="0"/>
      <w:marTop w:val="0"/>
      <w:marBottom w:val="0"/>
      <w:divBdr>
        <w:top w:val="none" w:sz="0" w:space="0" w:color="auto"/>
        <w:left w:val="none" w:sz="0" w:space="0" w:color="auto"/>
        <w:bottom w:val="none" w:sz="0" w:space="0" w:color="auto"/>
        <w:right w:val="none" w:sz="0" w:space="0" w:color="auto"/>
      </w:divBdr>
    </w:div>
    <w:div w:id="1760910324">
      <w:bodyDiv w:val="1"/>
      <w:marLeft w:val="0"/>
      <w:marRight w:val="0"/>
      <w:marTop w:val="0"/>
      <w:marBottom w:val="0"/>
      <w:divBdr>
        <w:top w:val="none" w:sz="0" w:space="0" w:color="auto"/>
        <w:left w:val="none" w:sz="0" w:space="0" w:color="auto"/>
        <w:bottom w:val="none" w:sz="0" w:space="0" w:color="auto"/>
        <w:right w:val="none" w:sz="0" w:space="0" w:color="auto"/>
      </w:divBdr>
    </w:div>
    <w:div w:id="1766460315">
      <w:bodyDiv w:val="1"/>
      <w:marLeft w:val="0"/>
      <w:marRight w:val="0"/>
      <w:marTop w:val="0"/>
      <w:marBottom w:val="0"/>
      <w:divBdr>
        <w:top w:val="none" w:sz="0" w:space="0" w:color="auto"/>
        <w:left w:val="none" w:sz="0" w:space="0" w:color="auto"/>
        <w:bottom w:val="none" w:sz="0" w:space="0" w:color="auto"/>
        <w:right w:val="none" w:sz="0" w:space="0" w:color="auto"/>
      </w:divBdr>
    </w:div>
    <w:div w:id="1770195522">
      <w:bodyDiv w:val="1"/>
      <w:marLeft w:val="0"/>
      <w:marRight w:val="0"/>
      <w:marTop w:val="0"/>
      <w:marBottom w:val="0"/>
      <w:divBdr>
        <w:top w:val="none" w:sz="0" w:space="0" w:color="auto"/>
        <w:left w:val="none" w:sz="0" w:space="0" w:color="auto"/>
        <w:bottom w:val="none" w:sz="0" w:space="0" w:color="auto"/>
        <w:right w:val="none" w:sz="0" w:space="0" w:color="auto"/>
      </w:divBdr>
    </w:div>
    <w:div w:id="1775436181">
      <w:bodyDiv w:val="1"/>
      <w:marLeft w:val="0"/>
      <w:marRight w:val="0"/>
      <w:marTop w:val="0"/>
      <w:marBottom w:val="0"/>
      <w:divBdr>
        <w:top w:val="none" w:sz="0" w:space="0" w:color="auto"/>
        <w:left w:val="none" w:sz="0" w:space="0" w:color="auto"/>
        <w:bottom w:val="none" w:sz="0" w:space="0" w:color="auto"/>
        <w:right w:val="none" w:sz="0" w:space="0" w:color="auto"/>
      </w:divBdr>
    </w:div>
    <w:div w:id="1778867497">
      <w:bodyDiv w:val="1"/>
      <w:marLeft w:val="0"/>
      <w:marRight w:val="0"/>
      <w:marTop w:val="0"/>
      <w:marBottom w:val="0"/>
      <w:divBdr>
        <w:top w:val="none" w:sz="0" w:space="0" w:color="auto"/>
        <w:left w:val="none" w:sz="0" w:space="0" w:color="auto"/>
        <w:bottom w:val="none" w:sz="0" w:space="0" w:color="auto"/>
        <w:right w:val="none" w:sz="0" w:space="0" w:color="auto"/>
      </w:divBdr>
    </w:div>
    <w:div w:id="1780952740">
      <w:bodyDiv w:val="1"/>
      <w:marLeft w:val="0"/>
      <w:marRight w:val="0"/>
      <w:marTop w:val="0"/>
      <w:marBottom w:val="0"/>
      <w:divBdr>
        <w:top w:val="none" w:sz="0" w:space="0" w:color="auto"/>
        <w:left w:val="none" w:sz="0" w:space="0" w:color="auto"/>
        <w:bottom w:val="none" w:sz="0" w:space="0" w:color="auto"/>
        <w:right w:val="none" w:sz="0" w:space="0" w:color="auto"/>
      </w:divBdr>
    </w:div>
    <w:div w:id="1784182038">
      <w:bodyDiv w:val="1"/>
      <w:marLeft w:val="0"/>
      <w:marRight w:val="0"/>
      <w:marTop w:val="0"/>
      <w:marBottom w:val="0"/>
      <w:divBdr>
        <w:top w:val="none" w:sz="0" w:space="0" w:color="auto"/>
        <w:left w:val="none" w:sz="0" w:space="0" w:color="auto"/>
        <w:bottom w:val="none" w:sz="0" w:space="0" w:color="auto"/>
        <w:right w:val="none" w:sz="0" w:space="0" w:color="auto"/>
      </w:divBdr>
    </w:div>
    <w:div w:id="1787312674">
      <w:bodyDiv w:val="1"/>
      <w:marLeft w:val="0"/>
      <w:marRight w:val="0"/>
      <w:marTop w:val="0"/>
      <w:marBottom w:val="0"/>
      <w:divBdr>
        <w:top w:val="none" w:sz="0" w:space="0" w:color="auto"/>
        <w:left w:val="none" w:sz="0" w:space="0" w:color="auto"/>
        <w:bottom w:val="none" w:sz="0" w:space="0" w:color="auto"/>
        <w:right w:val="none" w:sz="0" w:space="0" w:color="auto"/>
      </w:divBdr>
    </w:div>
    <w:div w:id="1792048135">
      <w:bodyDiv w:val="1"/>
      <w:marLeft w:val="0"/>
      <w:marRight w:val="0"/>
      <w:marTop w:val="0"/>
      <w:marBottom w:val="0"/>
      <w:divBdr>
        <w:top w:val="none" w:sz="0" w:space="0" w:color="auto"/>
        <w:left w:val="none" w:sz="0" w:space="0" w:color="auto"/>
        <w:bottom w:val="none" w:sz="0" w:space="0" w:color="auto"/>
        <w:right w:val="none" w:sz="0" w:space="0" w:color="auto"/>
      </w:divBdr>
    </w:div>
    <w:div w:id="1800608317">
      <w:bodyDiv w:val="1"/>
      <w:marLeft w:val="0"/>
      <w:marRight w:val="0"/>
      <w:marTop w:val="0"/>
      <w:marBottom w:val="0"/>
      <w:divBdr>
        <w:top w:val="none" w:sz="0" w:space="0" w:color="auto"/>
        <w:left w:val="none" w:sz="0" w:space="0" w:color="auto"/>
        <w:bottom w:val="none" w:sz="0" w:space="0" w:color="auto"/>
        <w:right w:val="none" w:sz="0" w:space="0" w:color="auto"/>
      </w:divBdr>
      <w:divsChild>
        <w:div w:id="1315910555">
          <w:marLeft w:val="346"/>
          <w:marRight w:val="0"/>
          <w:marTop w:val="60"/>
          <w:marBottom w:val="60"/>
          <w:divBdr>
            <w:top w:val="none" w:sz="0" w:space="0" w:color="auto"/>
            <w:left w:val="none" w:sz="0" w:space="0" w:color="auto"/>
            <w:bottom w:val="none" w:sz="0" w:space="0" w:color="auto"/>
            <w:right w:val="none" w:sz="0" w:space="0" w:color="auto"/>
          </w:divBdr>
        </w:div>
      </w:divsChild>
    </w:div>
    <w:div w:id="1802528127">
      <w:bodyDiv w:val="1"/>
      <w:marLeft w:val="0"/>
      <w:marRight w:val="0"/>
      <w:marTop w:val="0"/>
      <w:marBottom w:val="0"/>
      <w:divBdr>
        <w:top w:val="none" w:sz="0" w:space="0" w:color="auto"/>
        <w:left w:val="none" w:sz="0" w:space="0" w:color="auto"/>
        <w:bottom w:val="none" w:sz="0" w:space="0" w:color="auto"/>
        <w:right w:val="none" w:sz="0" w:space="0" w:color="auto"/>
      </w:divBdr>
    </w:div>
    <w:div w:id="1804232392">
      <w:bodyDiv w:val="1"/>
      <w:marLeft w:val="0"/>
      <w:marRight w:val="0"/>
      <w:marTop w:val="0"/>
      <w:marBottom w:val="0"/>
      <w:divBdr>
        <w:top w:val="none" w:sz="0" w:space="0" w:color="auto"/>
        <w:left w:val="none" w:sz="0" w:space="0" w:color="auto"/>
        <w:bottom w:val="none" w:sz="0" w:space="0" w:color="auto"/>
        <w:right w:val="none" w:sz="0" w:space="0" w:color="auto"/>
      </w:divBdr>
    </w:div>
    <w:div w:id="1805082241">
      <w:bodyDiv w:val="1"/>
      <w:marLeft w:val="0"/>
      <w:marRight w:val="0"/>
      <w:marTop w:val="0"/>
      <w:marBottom w:val="0"/>
      <w:divBdr>
        <w:top w:val="none" w:sz="0" w:space="0" w:color="auto"/>
        <w:left w:val="none" w:sz="0" w:space="0" w:color="auto"/>
        <w:bottom w:val="none" w:sz="0" w:space="0" w:color="auto"/>
        <w:right w:val="none" w:sz="0" w:space="0" w:color="auto"/>
      </w:divBdr>
    </w:div>
    <w:div w:id="1808544812">
      <w:bodyDiv w:val="1"/>
      <w:marLeft w:val="0"/>
      <w:marRight w:val="0"/>
      <w:marTop w:val="0"/>
      <w:marBottom w:val="0"/>
      <w:divBdr>
        <w:top w:val="none" w:sz="0" w:space="0" w:color="auto"/>
        <w:left w:val="none" w:sz="0" w:space="0" w:color="auto"/>
        <w:bottom w:val="none" w:sz="0" w:space="0" w:color="auto"/>
        <w:right w:val="none" w:sz="0" w:space="0" w:color="auto"/>
      </w:divBdr>
    </w:div>
    <w:div w:id="1809711403">
      <w:bodyDiv w:val="1"/>
      <w:marLeft w:val="0"/>
      <w:marRight w:val="0"/>
      <w:marTop w:val="0"/>
      <w:marBottom w:val="0"/>
      <w:divBdr>
        <w:top w:val="none" w:sz="0" w:space="0" w:color="auto"/>
        <w:left w:val="none" w:sz="0" w:space="0" w:color="auto"/>
        <w:bottom w:val="none" w:sz="0" w:space="0" w:color="auto"/>
        <w:right w:val="none" w:sz="0" w:space="0" w:color="auto"/>
      </w:divBdr>
    </w:div>
    <w:div w:id="1810125028">
      <w:bodyDiv w:val="1"/>
      <w:marLeft w:val="0"/>
      <w:marRight w:val="0"/>
      <w:marTop w:val="0"/>
      <w:marBottom w:val="0"/>
      <w:divBdr>
        <w:top w:val="none" w:sz="0" w:space="0" w:color="auto"/>
        <w:left w:val="none" w:sz="0" w:space="0" w:color="auto"/>
        <w:bottom w:val="none" w:sz="0" w:space="0" w:color="auto"/>
        <w:right w:val="none" w:sz="0" w:space="0" w:color="auto"/>
      </w:divBdr>
    </w:div>
    <w:div w:id="1817915890">
      <w:bodyDiv w:val="1"/>
      <w:marLeft w:val="0"/>
      <w:marRight w:val="0"/>
      <w:marTop w:val="0"/>
      <w:marBottom w:val="0"/>
      <w:divBdr>
        <w:top w:val="none" w:sz="0" w:space="0" w:color="auto"/>
        <w:left w:val="none" w:sz="0" w:space="0" w:color="auto"/>
        <w:bottom w:val="none" w:sz="0" w:space="0" w:color="auto"/>
        <w:right w:val="none" w:sz="0" w:space="0" w:color="auto"/>
      </w:divBdr>
    </w:div>
    <w:div w:id="1822890411">
      <w:bodyDiv w:val="1"/>
      <w:marLeft w:val="0"/>
      <w:marRight w:val="0"/>
      <w:marTop w:val="0"/>
      <w:marBottom w:val="0"/>
      <w:divBdr>
        <w:top w:val="none" w:sz="0" w:space="0" w:color="auto"/>
        <w:left w:val="none" w:sz="0" w:space="0" w:color="auto"/>
        <w:bottom w:val="none" w:sz="0" w:space="0" w:color="auto"/>
        <w:right w:val="none" w:sz="0" w:space="0" w:color="auto"/>
      </w:divBdr>
    </w:div>
    <w:div w:id="1823963292">
      <w:bodyDiv w:val="1"/>
      <w:marLeft w:val="0"/>
      <w:marRight w:val="0"/>
      <w:marTop w:val="0"/>
      <w:marBottom w:val="0"/>
      <w:divBdr>
        <w:top w:val="none" w:sz="0" w:space="0" w:color="auto"/>
        <w:left w:val="none" w:sz="0" w:space="0" w:color="auto"/>
        <w:bottom w:val="none" w:sz="0" w:space="0" w:color="auto"/>
        <w:right w:val="none" w:sz="0" w:space="0" w:color="auto"/>
      </w:divBdr>
    </w:div>
    <w:div w:id="1825588466">
      <w:bodyDiv w:val="1"/>
      <w:marLeft w:val="0"/>
      <w:marRight w:val="0"/>
      <w:marTop w:val="0"/>
      <w:marBottom w:val="0"/>
      <w:divBdr>
        <w:top w:val="none" w:sz="0" w:space="0" w:color="auto"/>
        <w:left w:val="none" w:sz="0" w:space="0" w:color="auto"/>
        <w:bottom w:val="none" w:sz="0" w:space="0" w:color="auto"/>
        <w:right w:val="none" w:sz="0" w:space="0" w:color="auto"/>
      </w:divBdr>
    </w:div>
    <w:div w:id="1833446408">
      <w:bodyDiv w:val="1"/>
      <w:marLeft w:val="0"/>
      <w:marRight w:val="0"/>
      <w:marTop w:val="0"/>
      <w:marBottom w:val="0"/>
      <w:divBdr>
        <w:top w:val="none" w:sz="0" w:space="0" w:color="auto"/>
        <w:left w:val="none" w:sz="0" w:space="0" w:color="auto"/>
        <w:bottom w:val="none" w:sz="0" w:space="0" w:color="auto"/>
        <w:right w:val="none" w:sz="0" w:space="0" w:color="auto"/>
      </w:divBdr>
    </w:div>
    <w:div w:id="1834759364">
      <w:bodyDiv w:val="1"/>
      <w:marLeft w:val="0"/>
      <w:marRight w:val="0"/>
      <w:marTop w:val="0"/>
      <w:marBottom w:val="0"/>
      <w:divBdr>
        <w:top w:val="none" w:sz="0" w:space="0" w:color="auto"/>
        <w:left w:val="none" w:sz="0" w:space="0" w:color="auto"/>
        <w:bottom w:val="none" w:sz="0" w:space="0" w:color="auto"/>
        <w:right w:val="none" w:sz="0" w:space="0" w:color="auto"/>
      </w:divBdr>
    </w:div>
    <w:div w:id="1837459537">
      <w:bodyDiv w:val="1"/>
      <w:marLeft w:val="0"/>
      <w:marRight w:val="0"/>
      <w:marTop w:val="0"/>
      <w:marBottom w:val="0"/>
      <w:divBdr>
        <w:top w:val="none" w:sz="0" w:space="0" w:color="auto"/>
        <w:left w:val="none" w:sz="0" w:space="0" w:color="auto"/>
        <w:bottom w:val="none" w:sz="0" w:space="0" w:color="auto"/>
        <w:right w:val="none" w:sz="0" w:space="0" w:color="auto"/>
      </w:divBdr>
    </w:div>
    <w:div w:id="1837722572">
      <w:bodyDiv w:val="1"/>
      <w:marLeft w:val="0"/>
      <w:marRight w:val="0"/>
      <w:marTop w:val="0"/>
      <w:marBottom w:val="0"/>
      <w:divBdr>
        <w:top w:val="none" w:sz="0" w:space="0" w:color="auto"/>
        <w:left w:val="none" w:sz="0" w:space="0" w:color="auto"/>
        <w:bottom w:val="none" w:sz="0" w:space="0" w:color="auto"/>
        <w:right w:val="none" w:sz="0" w:space="0" w:color="auto"/>
      </w:divBdr>
    </w:div>
    <w:div w:id="1844278484">
      <w:bodyDiv w:val="1"/>
      <w:marLeft w:val="0"/>
      <w:marRight w:val="0"/>
      <w:marTop w:val="0"/>
      <w:marBottom w:val="0"/>
      <w:divBdr>
        <w:top w:val="none" w:sz="0" w:space="0" w:color="auto"/>
        <w:left w:val="none" w:sz="0" w:space="0" w:color="auto"/>
        <w:bottom w:val="none" w:sz="0" w:space="0" w:color="auto"/>
        <w:right w:val="none" w:sz="0" w:space="0" w:color="auto"/>
      </w:divBdr>
    </w:div>
    <w:div w:id="1848014509">
      <w:bodyDiv w:val="1"/>
      <w:marLeft w:val="0"/>
      <w:marRight w:val="0"/>
      <w:marTop w:val="0"/>
      <w:marBottom w:val="0"/>
      <w:divBdr>
        <w:top w:val="none" w:sz="0" w:space="0" w:color="auto"/>
        <w:left w:val="none" w:sz="0" w:space="0" w:color="auto"/>
        <w:bottom w:val="none" w:sz="0" w:space="0" w:color="auto"/>
        <w:right w:val="none" w:sz="0" w:space="0" w:color="auto"/>
      </w:divBdr>
    </w:div>
    <w:div w:id="1852990895">
      <w:bodyDiv w:val="1"/>
      <w:marLeft w:val="0"/>
      <w:marRight w:val="0"/>
      <w:marTop w:val="0"/>
      <w:marBottom w:val="0"/>
      <w:divBdr>
        <w:top w:val="none" w:sz="0" w:space="0" w:color="auto"/>
        <w:left w:val="none" w:sz="0" w:space="0" w:color="auto"/>
        <w:bottom w:val="none" w:sz="0" w:space="0" w:color="auto"/>
        <w:right w:val="none" w:sz="0" w:space="0" w:color="auto"/>
      </w:divBdr>
    </w:div>
    <w:div w:id="1853647358">
      <w:bodyDiv w:val="1"/>
      <w:marLeft w:val="0"/>
      <w:marRight w:val="0"/>
      <w:marTop w:val="0"/>
      <w:marBottom w:val="0"/>
      <w:divBdr>
        <w:top w:val="none" w:sz="0" w:space="0" w:color="auto"/>
        <w:left w:val="none" w:sz="0" w:space="0" w:color="auto"/>
        <w:bottom w:val="none" w:sz="0" w:space="0" w:color="auto"/>
        <w:right w:val="none" w:sz="0" w:space="0" w:color="auto"/>
      </w:divBdr>
    </w:div>
    <w:div w:id="1868710309">
      <w:bodyDiv w:val="1"/>
      <w:marLeft w:val="0"/>
      <w:marRight w:val="0"/>
      <w:marTop w:val="0"/>
      <w:marBottom w:val="0"/>
      <w:divBdr>
        <w:top w:val="none" w:sz="0" w:space="0" w:color="auto"/>
        <w:left w:val="none" w:sz="0" w:space="0" w:color="auto"/>
        <w:bottom w:val="none" w:sz="0" w:space="0" w:color="auto"/>
        <w:right w:val="none" w:sz="0" w:space="0" w:color="auto"/>
      </w:divBdr>
    </w:div>
    <w:div w:id="1873566294">
      <w:bodyDiv w:val="1"/>
      <w:marLeft w:val="0"/>
      <w:marRight w:val="0"/>
      <w:marTop w:val="0"/>
      <w:marBottom w:val="0"/>
      <w:divBdr>
        <w:top w:val="none" w:sz="0" w:space="0" w:color="auto"/>
        <w:left w:val="none" w:sz="0" w:space="0" w:color="auto"/>
        <w:bottom w:val="none" w:sz="0" w:space="0" w:color="auto"/>
        <w:right w:val="none" w:sz="0" w:space="0" w:color="auto"/>
      </w:divBdr>
    </w:div>
    <w:div w:id="1878810716">
      <w:bodyDiv w:val="1"/>
      <w:marLeft w:val="0"/>
      <w:marRight w:val="0"/>
      <w:marTop w:val="0"/>
      <w:marBottom w:val="0"/>
      <w:divBdr>
        <w:top w:val="none" w:sz="0" w:space="0" w:color="auto"/>
        <w:left w:val="none" w:sz="0" w:space="0" w:color="auto"/>
        <w:bottom w:val="none" w:sz="0" w:space="0" w:color="auto"/>
        <w:right w:val="none" w:sz="0" w:space="0" w:color="auto"/>
      </w:divBdr>
    </w:div>
    <w:div w:id="1879077984">
      <w:bodyDiv w:val="1"/>
      <w:marLeft w:val="0"/>
      <w:marRight w:val="0"/>
      <w:marTop w:val="0"/>
      <w:marBottom w:val="0"/>
      <w:divBdr>
        <w:top w:val="none" w:sz="0" w:space="0" w:color="auto"/>
        <w:left w:val="none" w:sz="0" w:space="0" w:color="auto"/>
        <w:bottom w:val="none" w:sz="0" w:space="0" w:color="auto"/>
        <w:right w:val="none" w:sz="0" w:space="0" w:color="auto"/>
      </w:divBdr>
    </w:div>
    <w:div w:id="1903175764">
      <w:bodyDiv w:val="1"/>
      <w:marLeft w:val="0"/>
      <w:marRight w:val="0"/>
      <w:marTop w:val="0"/>
      <w:marBottom w:val="0"/>
      <w:divBdr>
        <w:top w:val="none" w:sz="0" w:space="0" w:color="auto"/>
        <w:left w:val="none" w:sz="0" w:space="0" w:color="auto"/>
        <w:bottom w:val="none" w:sz="0" w:space="0" w:color="auto"/>
        <w:right w:val="none" w:sz="0" w:space="0" w:color="auto"/>
      </w:divBdr>
    </w:div>
    <w:div w:id="1908304149">
      <w:bodyDiv w:val="1"/>
      <w:marLeft w:val="0"/>
      <w:marRight w:val="0"/>
      <w:marTop w:val="0"/>
      <w:marBottom w:val="0"/>
      <w:divBdr>
        <w:top w:val="none" w:sz="0" w:space="0" w:color="auto"/>
        <w:left w:val="none" w:sz="0" w:space="0" w:color="auto"/>
        <w:bottom w:val="none" w:sz="0" w:space="0" w:color="auto"/>
        <w:right w:val="none" w:sz="0" w:space="0" w:color="auto"/>
      </w:divBdr>
    </w:div>
    <w:div w:id="1912302896">
      <w:bodyDiv w:val="1"/>
      <w:marLeft w:val="0"/>
      <w:marRight w:val="0"/>
      <w:marTop w:val="0"/>
      <w:marBottom w:val="0"/>
      <w:divBdr>
        <w:top w:val="none" w:sz="0" w:space="0" w:color="auto"/>
        <w:left w:val="none" w:sz="0" w:space="0" w:color="auto"/>
        <w:bottom w:val="none" w:sz="0" w:space="0" w:color="auto"/>
        <w:right w:val="none" w:sz="0" w:space="0" w:color="auto"/>
      </w:divBdr>
    </w:div>
    <w:div w:id="1916085071">
      <w:bodyDiv w:val="1"/>
      <w:marLeft w:val="0"/>
      <w:marRight w:val="0"/>
      <w:marTop w:val="0"/>
      <w:marBottom w:val="0"/>
      <w:divBdr>
        <w:top w:val="none" w:sz="0" w:space="0" w:color="auto"/>
        <w:left w:val="none" w:sz="0" w:space="0" w:color="auto"/>
        <w:bottom w:val="none" w:sz="0" w:space="0" w:color="auto"/>
        <w:right w:val="none" w:sz="0" w:space="0" w:color="auto"/>
      </w:divBdr>
    </w:div>
    <w:div w:id="1926768766">
      <w:bodyDiv w:val="1"/>
      <w:marLeft w:val="0"/>
      <w:marRight w:val="0"/>
      <w:marTop w:val="0"/>
      <w:marBottom w:val="0"/>
      <w:divBdr>
        <w:top w:val="none" w:sz="0" w:space="0" w:color="auto"/>
        <w:left w:val="none" w:sz="0" w:space="0" w:color="auto"/>
        <w:bottom w:val="none" w:sz="0" w:space="0" w:color="auto"/>
        <w:right w:val="none" w:sz="0" w:space="0" w:color="auto"/>
      </w:divBdr>
    </w:div>
    <w:div w:id="1929927950">
      <w:bodyDiv w:val="1"/>
      <w:marLeft w:val="0"/>
      <w:marRight w:val="0"/>
      <w:marTop w:val="0"/>
      <w:marBottom w:val="0"/>
      <w:divBdr>
        <w:top w:val="none" w:sz="0" w:space="0" w:color="auto"/>
        <w:left w:val="none" w:sz="0" w:space="0" w:color="auto"/>
        <w:bottom w:val="none" w:sz="0" w:space="0" w:color="auto"/>
        <w:right w:val="none" w:sz="0" w:space="0" w:color="auto"/>
      </w:divBdr>
    </w:div>
    <w:div w:id="1930383632">
      <w:bodyDiv w:val="1"/>
      <w:marLeft w:val="0"/>
      <w:marRight w:val="0"/>
      <w:marTop w:val="0"/>
      <w:marBottom w:val="0"/>
      <w:divBdr>
        <w:top w:val="none" w:sz="0" w:space="0" w:color="auto"/>
        <w:left w:val="none" w:sz="0" w:space="0" w:color="auto"/>
        <w:bottom w:val="none" w:sz="0" w:space="0" w:color="auto"/>
        <w:right w:val="none" w:sz="0" w:space="0" w:color="auto"/>
      </w:divBdr>
    </w:div>
    <w:div w:id="1937664885">
      <w:bodyDiv w:val="1"/>
      <w:marLeft w:val="0"/>
      <w:marRight w:val="0"/>
      <w:marTop w:val="0"/>
      <w:marBottom w:val="0"/>
      <w:divBdr>
        <w:top w:val="none" w:sz="0" w:space="0" w:color="auto"/>
        <w:left w:val="none" w:sz="0" w:space="0" w:color="auto"/>
        <w:bottom w:val="none" w:sz="0" w:space="0" w:color="auto"/>
        <w:right w:val="none" w:sz="0" w:space="0" w:color="auto"/>
      </w:divBdr>
    </w:div>
    <w:div w:id="1942179398">
      <w:bodyDiv w:val="1"/>
      <w:marLeft w:val="0"/>
      <w:marRight w:val="0"/>
      <w:marTop w:val="0"/>
      <w:marBottom w:val="0"/>
      <w:divBdr>
        <w:top w:val="none" w:sz="0" w:space="0" w:color="auto"/>
        <w:left w:val="none" w:sz="0" w:space="0" w:color="auto"/>
        <w:bottom w:val="none" w:sz="0" w:space="0" w:color="auto"/>
        <w:right w:val="none" w:sz="0" w:space="0" w:color="auto"/>
      </w:divBdr>
    </w:div>
    <w:div w:id="1943341576">
      <w:bodyDiv w:val="1"/>
      <w:marLeft w:val="0"/>
      <w:marRight w:val="0"/>
      <w:marTop w:val="0"/>
      <w:marBottom w:val="0"/>
      <w:divBdr>
        <w:top w:val="none" w:sz="0" w:space="0" w:color="auto"/>
        <w:left w:val="none" w:sz="0" w:space="0" w:color="auto"/>
        <w:bottom w:val="none" w:sz="0" w:space="0" w:color="auto"/>
        <w:right w:val="none" w:sz="0" w:space="0" w:color="auto"/>
      </w:divBdr>
    </w:div>
    <w:div w:id="1950698608">
      <w:bodyDiv w:val="1"/>
      <w:marLeft w:val="0"/>
      <w:marRight w:val="0"/>
      <w:marTop w:val="0"/>
      <w:marBottom w:val="0"/>
      <w:divBdr>
        <w:top w:val="none" w:sz="0" w:space="0" w:color="auto"/>
        <w:left w:val="none" w:sz="0" w:space="0" w:color="auto"/>
        <w:bottom w:val="none" w:sz="0" w:space="0" w:color="auto"/>
        <w:right w:val="none" w:sz="0" w:space="0" w:color="auto"/>
      </w:divBdr>
      <w:divsChild>
        <w:div w:id="258877566">
          <w:marLeft w:val="346"/>
          <w:marRight w:val="0"/>
          <w:marTop w:val="60"/>
          <w:marBottom w:val="60"/>
          <w:divBdr>
            <w:top w:val="none" w:sz="0" w:space="0" w:color="auto"/>
            <w:left w:val="none" w:sz="0" w:space="0" w:color="auto"/>
            <w:bottom w:val="none" w:sz="0" w:space="0" w:color="auto"/>
            <w:right w:val="none" w:sz="0" w:space="0" w:color="auto"/>
          </w:divBdr>
        </w:div>
      </w:divsChild>
    </w:div>
    <w:div w:id="1953123088">
      <w:bodyDiv w:val="1"/>
      <w:marLeft w:val="0"/>
      <w:marRight w:val="0"/>
      <w:marTop w:val="0"/>
      <w:marBottom w:val="0"/>
      <w:divBdr>
        <w:top w:val="none" w:sz="0" w:space="0" w:color="auto"/>
        <w:left w:val="none" w:sz="0" w:space="0" w:color="auto"/>
        <w:bottom w:val="none" w:sz="0" w:space="0" w:color="auto"/>
        <w:right w:val="none" w:sz="0" w:space="0" w:color="auto"/>
      </w:divBdr>
    </w:div>
    <w:div w:id="1956937417">
      <w:bodyDiv w:val="1"/>
      <w:marLeft w:val="0"/>
      <w:marRight w:val="0"/>
      <w:marTop w:val="0"/>
      <w:marBottom w:val="0"/>
      <w:divBdr>
        <w:top w:val="none" w:sz="0" w:space="0" w:color="auto"/>
        <w:left w:val="none" w:sz="0" w:space="0" w:color="auto"/>
        <w:bottom w:val="none" w:sz="0" w:space="0" w:color="auto"/>
        <w:right w:val="none" w:sz="0" w:space="0" w:color="auto"/>
      </w:divBdr>
    </w:div>
    <w:div w:id="1968125219">
      <w:bodyDiv w:val="1"/>
      <w:marLeft w:val="0"/>
      <w:marRight w:val="0"/>
      <w:marTop w:val="0"/>
      <w:marBottom w:val="0"/>
      <w:divBdr>
        <w:top w:val="none" w:sz="0" w:space="0" w:color="auto"/>
        <w:left w:val="none" w:sz="0" w:space="0" w:color="auto"/>
        <w:bottom w:val="none" w:sz="0" w:space="0" w:color="auto"/>
        <w:right w:val="none" w:sz="0" w:space="0" w:color="auto"/>
      </w:divBdr>
    </w:div>
    <w:div w:id="1969974397">
      <w:bodyDiv w:val="1"/>
      <w:marLeft w:val="0"/>
      <w:marRight w:val="0"/>
      <w:marTop w:val="0"/>
      <w:marBottom w:val="0"/>
      <w:divBdr>
        <w:top w:val="none" w:sz="0" w:space="0" w:color="auto"/>
        <w:left w:val="none" w:sz="0" w:space="0" w:color="auto"/>
        <w:bottom w:val="none" w:sz="0" w:space="0" w:color="auto"/>
        <w:right w:val="none" w:sz="0" w:space="0" w:color="auto"/>
      </w:divBdr>
    </w:div>
    <w:div w:id="1973319161">
      <w:bodyDiv w:val="1"/>
      <w:marLeft w:val="0"/>
      <w:marRight w:val="0"/>
      <w:marTop w:val="0"/>
      <w:marBottom w:val="0"/>
      <w:divBdr>
        <w:top w:val="none" w:sz="0" w:space="0" w:color="auto"/>
        <w:left w:val="none" w:sz="0" w:space="0" w:color="auto"/>
        <w:bottom w:val="none" w:sz="0" w:space="0" w:color="auto"/>
        <w:right w:val="none" w:sz="0" w:space="0" w:color="auto"/>
      </w:divBdr>
    </w:div>
    <w:div w:id="1978219273">
      <w:bodyDiv w:val="1"/>
      <w:marLeft w:val="0"/>
      <w:marRight w:val="0"/>
      <w:marTop w:val="0"/>
      <w:marBottom w:val="0"/>
      <w:divBdr>
        <w:top w:val="none" w:sz="0" w:space="0" w:color="auto"/>
        <w:left w:val="none" w:sz="0" w:space="0" w:color="auto"/>
        <w:bottom w:val="none" w:sz="0" w:space="0" w:color="auto"/>
        <w:right w:val="none" w:sz="0" w:space="0" w:color="auto"/>
      </w:divBdr>
    </w:div>
    <w:div w:id="1980381098">
      <w:bodyDiv w:val="1"/>
      <w:marLeft w:val="0"/>
      <w:marRight w:val="0"/>
      <w:marTop w:val="0"/>
      <w:marBottom w:val="0"/>
      <w:divBdr>
        <w:top w:val="none" w:sz="0" w:space="0" w:color="auto"/>
        <w:left w:val="none" w:sz="0" w:space="0" w:color="auto"/>
        <w:bottom w:val="none" w:sz="0" w:space="0" w:color="auto"/>
        <w:right w:val="none" w:sz="0" w:space="0" w:color="auto"/>
      </w:divBdr>
    </w:div>
    <w:div w:id="1983385651">
      <w:bodyDiv w:val="1"/>
      <w:marLeft w:val="0"/>
      <w:marRight w:val="0"/>
      <w:marTop w:val="0"/>
      <w:marBottom w:val="0"/>
      <w:divBdr>
        <w:top w:val="none" w:sz="0" w:space="0" w:color="auto"/>
        <w:left w:val="none" w:sz="0" w:space="0" w:color="auto"/>
        <w:bottom w:val="none" w:sz="0" w:space="0" w:color="auto"/>
        <w:right w:val="none" w:sz="0" w:space="0" w:color="auto"/>
      </w:divBdr>
      <w:divsChild>
        <w:div w:id="1240138804">
          <w:marLeft w:val="0"/>
          <w:marRight w:val="0"/>
          <w:marTop w:val="0"/>
          <w:marBottom w:val="0"/>
          <w:divBdr>
            <w:top w:val="none" w:sz="0" w:space="0" w:color="auto"/>
            <w:left w:val="none" w:sz="0" w:space="0" w:color="auto"/>
            <w:bottom w:val="none" w:sz="0" w:space="0" w:color="auto"/>
            <w:right w:val="none" w:sz="0" w:space="0" w:color="auto"/>
          </w:divBdr>
          <w:divsChild>
            <w:div w:id="1355185056">
              <w:marLeft w:val="0"/>
              <w:marRight w:val="0"/>
              <w:marTop w:val="0"/>
              <w:marBottom w:val="0"/>
              <w:divBdr>
                <w:top w:val="none" w:sz="0" w:space="0" w:color="auto"/>
                <w:left w:val="none" w:sz="0" w:space="0" w:color="auto"/>
                <w:bottom w:val="none" w:sz="0" w:space="0" w:color="auto"/>
                <w:right w:val="none" w:sz="0" w:space="0" w:color="auto"/>
              </w:divBdr>
              <w:divsChild>
                <w:div w:id="161921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83484">
          <w:marLeft w:val="0"/>
          <w:marRight w:val="0"/>
          <w:marTop w:val="0"/>
          <w:marBottom w:val="0"/>
          <w:divBdr>
            <w:top w:val="none" w:sz="0" w:space="0" w:color="auto"/>
            <w:left w:val="none" w:sz="0" w:space="0" w:color="auto"/>
            <w:bottom w:val="none" w:sz="0" w:space="0" w:color="auto"/>
            <w:right w:val="none" w:sz="0" w:space="0" w:color="auto"/>
          </w:divBdr>
          <w:divsChild>
            <w:div w:id="334764879">
              <w:marLeft w:val="0"/>
              <w:marRight w:val="0"/>
              <w:marTop w:val="0"/>
              <w:marBottom w:val="0"/>
              <w:divBdr>
                <w:top w:val="none" w:sz="0" w:space="0" w:color="auto"/>
                <w:left w:val="none" w:sz="0" w:space="0" w:color="auto"/>
                <w:bottom w:val="none" w:sz="0" w:space="0" w:color="auto"/>
                <w:right w:val="none" w:sz="0" w:space="0" w:color="auto"/>
              </w:divBdr>
              <w:divsChild>
                <w:div w:id="1518542363">
                  <w:marLeft w:val="0"/>
                  <w:marRight w:val="0"/>
                  <w:marTop w:val="0"/>
                  <w:marBottom w:val="0"/>
                  <w:divBdr>
                    <w:top w:val="none" w:sz="0" w:space="0" w:color="auto"/>
                    <w:left w:val="none" w:sz="0" w:space="0" w:color="auto"/>
                    <w:bottom w:val="none" w:sz="0" w:space="0" w:color="auto"/>
                    <w:right w:val="none" w:sz="0" w:space="0" w:color="auto"/>
                  </w:divBdr>
                  <w:divsChild>
                    <w:div w:id="143512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322833">
      <w:bodyDiv w:val="1"/>
      <w:marLeft w:val="0"/>
      <w:marRight w:val="0"/>
      <w:marTop w:val="0"/>
      <w:marBottom w:val="0"/>
      <w:divBdr>
        <w:top w:val="none" w:sz="0" w:space="0" w:color="auto"/>
        <w:left w:val="none" w:sz="0" w:space="0" w:color="auto"/>
        <w:bottom w:val="none" w:sz="0" w:space="0" w:color="auto"/>
        <w:right w:val="none" w:sz="0" w:space="0" w:color="auto"/>
      </w:divBdr>
    </w:div>
    <w:div w:id="2010253944">
      <w:bodyDiv w:val="1"/>
      <w:marLeft w:val="0"/>
      <w:marRight w:val="0"/>
      <w:marTop w:val="0"/>
      <w:marBottom w:val="0"/>
      <w:divBdr>
        <w:top w:val="none" w:sz="0" w:space="0" w:color="auto"/>
        <w:left w:val="none" w:sz="0" w:space="0" w:color="auto"/>
        <w:bottom w:val="none" w:sz="0" w:space="0" w:color="auto"/>
        <w:right w:val="none" w:sz="0" w:space="0" w:color="auto"/>
      </w:divBdr>
    </w:div>
    <w:div w:id="2026638147">
      <w:bodyDiv w:val="1"/>
      <w:marLeft w:val="0"/>
      <w:marRight w:val="0"/>
      <w:marTop w:val="0"/>
      <w:marBottom w:val="0"/>
      <w:divBdr>
        <w:top w:val="none" w:sz="0" w:space="0" w:color="auto"/>
        <w:left w:val="none" w:sz="0" w:space="0" w:color="auto"/>
        <w:bottom w:val="none" w:sz="0" w:space="0" w:color="auto"/>
        <w:right w:val="none" w:sz="0" w:space="0" w:color="auto"/>
      </w:divBdr>
    </w:div>
    <w:div w:id="2029519936">
      <w:bodyDiv w:val="1"/>
      <w:marLeft w:val="0"/>
      <w:marRight w:val="0"/>
      <w:marTop w:val="0"/>
      <w:marBottom w:val="0"/>
      <w:divBdr>
        <w:top w:val="none" w:sz="0" w:space="0" w:color="auto"/>
        <w:left w:val="none" w:sz="0" w:space="0" w:color="auto"/>
        <w:bottom w:val="none" w:sz="0" w:space="0" w:color="auto"/>
        <w:right w:val="none" w:sz="0" w:space="0" w:color="auto"/>
      </w:divBdr>
    </w:div>
    <w:div w:id="2034459710">
      <w:bodyDiv w:val="1"/>
      <w:marLeft w:val="0"/>
      <w:marRight w:val="0"/>
      <w:marTop w:val="0"/>
      <w:marBottom w:val="0"/>
      <w:divBdr>
        <w:top w:val="none" w:sz="0" w:space="0" w:color="auto"/>
        <w:left w:val="none" w:sz="0" w:space="0" w:color="auto"/>
        <w:bottom w:val="none" w:sz="0" w:space="0" w:color="auto"/>
        <w:right w:val="none" w:sz="0" w:space="0" w:color="auto"/>
      </w:divBdr>
    </w:div>
    <w:div w:id="2034500978">
      <w:bodyDiv w:val="1"/>
      <w:marLeft w:val="0"/>
      <w:marRight w:val="0"/>
      <w:marTop w:val="0"/>
      <w:marBottom w:val="0"/>
      <w:divBdr>
        <w:top w:val="none" w:sz="0" w:space="0" w:color="auto"/>
        <w:left w:val="none" w:sz="0" w:space="0" w:color="auto"/>
        <w:bottom w:val="none" w:sz="0" w:space="0" w:color="auto"/>
        <w:right w:val="none" w:sz="0" w:space="0" w:color="auto"/>
      </w:divBdr>
      <w:divsChild>
        <w:div w:id="1627197267">
          <w:marLeft w:val="346"/>
          <w:marRight w:val="0"/>
          <w:marTop w:val="60"/>
          <w:marBottom w:val="60"/>
          <w:divBdr>
            <w:top w:val="none" w:sz="0" w:space="0" w:color="auto"/>
            <w:left w:val="none" w:sz="0" w:space="0" w:color="auto"/>
            <w:bottom w:val="none" w:sz="0" w:space="0" w:color="auto"/>
            <w:right w:val="none" w:sz="0" w:space="0" w:color="auto"/>
          </w:divBdr>
        </w:div>
      </w:divsChild>
    </w:div>
    <w:div w:id="2038499842">
      <w:bodyDiv w:val="1"/>
      <w:marLeft w:val="0"/>
      <w:marRight w:val="0"/>
      <w:marTop w:val="0"/>
      <w:marBottom w:val="0"/>
      <w:divBdr>
        <w:top w:val="none" w:sz="0" w:space="0" w:color="auto"/>
        <w:left w:val="none" w:sz="0" w:space="0" w:color="auto"/>
        <w:bottom w:val="none" w:sz="0" w:space="0" w:color="auto"/>
        <w:right w:val="none" w:sz="0" w:space="0" w:color="auto"/>
      </w:divBdr>
    </w:div>
    <w:div w:id="2045908875">
      <w:bodyDiv w:val="1"/>
      <w:marLeft w:val="0"/>
      <w:marRight w:val="0"/>
      <w:marTop w:val="0"/>
      <w:marBottom w:val="0"/>
      <w:divBdr>
        <w:top w:val="none" w:sz="0" w:space="0" w:color="auto"/>
        <w:left w:val="none" w:sz="0" w:space="0" w:color="auto"/>
        <w:bottom w:val="none" w:sz="0" w:space="0" w:color="auto"/>
        <w:right w:val="none" w:sz="0" w:space="0" w:color="auto"/>
      </w:divBdr>
    </w:div>
    <w:div w:id="2057701829">
      <w:bodyDiv w:val="1"/>
      <w:marLeft w:val="0"/>
      <w:marRight w:val="0"/>
      <w:marTop w:val="0"/>
      <w:marBottom w:val="0"/>
      <w:divBdr>
        <w:top w:val="none" w:sz="0" w:space="0" w:color="auto"/>
        <w:left w:val="none" w:sz="0" w:space="0" w:color="auto"/>
        <w:bottom w:val="none" w:sz="0" w:space="0" w:color="auto"/>
        <w:right w:val="none" w:sz="0" w:space="0" w:color="auto"/>
      </w:divBdr>
    </w:div>
    <w:div w:id="2062754284">
      <w:bodyDiv w:val="1"/>
      <w:marLeft w:val="0"/>
      <w:marRight w:val="0"/>
      <w:marTop w:val="0"/>
      <w:marBottom w:val="0"/>
      <w:divBdr>
        <w:top w:val="none" w:sz="0" w:space="0" w:color="auto"/>
        <w:left w:val="none" w:sz="0" w:space="0" w:color="auto"/>
        <w:bottom w:val="none" w:sz="0" w:space="0" w:color="auto"/>
        <w:right w:val="none" w:sz="0" w:space="0" w:color="auto"/>
      </w:divBdr>
    </w:div>
    <w:div w:id="2066490345">
      <w:bodyDiv w:val="1"/>
      <w:marLeft w:val="0"/>
      <w:marRight w:val="0"/>
      <w:marTop w:val="0"/>
      <w:marBottom w:val="0"/>
      <w:divBdr>
        <w:top w:val="none" w:sz="0" w:space="0" w:color="auto"/>
        <w:left w:val="none" w:sz="0" w:space="0" w:color="auto"/>
        <w:bottom w:val="none" w:sz="0" w:space="0" w:color="auto"/>
        <w:right w:val="none" w:sz="0" w:space="0" w:color="auto"/>
      </w:divBdr>
    </w:div>
    <w:div w:id="2068142581">
      <w:bodyDiv w:val="1"/>
      <w:marLeft w:val="0"/>
      <w:marRight w:val="0"/>
      <w:marTop w:val="0"/>
      <w:marBottom w:val="0"/>
      <w:divBdr>
        <w:top w:val="none" w:sz="0" w:space="0" w:color="auto"/>
        <w:left w:val="none" w:sz="0" w:space="0" w:color="auto"/>
        <w:bottom w:val="none" w:sz="0" w:space="0" w:color="auto"/>
        <w:right w:val="none" w:sz="0" w:space="0" w:color="auto"/>
      </w:divBdr>
    </w:div>
    <w:div w:id="2068214948">
      <w:bodyDiv w:val="1"/>
      <w:marLeft w:val="0"/>
      <w:marRight w:val="0"/>
      <w:marTop w:val="0"/>
      <w:marBottom w:val="0"/>
      <w:divBdr>
        <w:top w:val="none" w:sz="0" w:space="0" w:color="auto"/>
        <w:left w:val="none" w:sz="0" w:space="0" w:color="auto"/>
        <w:bottom w:val="none" w:sz="0" w:space="0" w:color="auto"/>
        <w:right w:val="none" w:sz="0" w:space="0" w:color="auto"/>
      </w:divBdr>
    </w:div>
    <w:div w:id="2076120318">
      <w:bodyDiv w:val="1"/>
      <w:marLeft w:val="0"/>
      <w:marRight w:val="0"/>
      <w:marTop w:val="0"/>
      <w:marBottom w:val="0"/>
      <w:divBdr>
        <w:top w:val="none" w:sz="0" w:space="0" w:color="auto"/>
        <w:left w:val="none" w:sz="0" w:space="0" w:color="auto"/>
        <w:bottom w:val="none" w:sz="0" w:space="0" w:color="auto"/>
        <w:right w:val="none" w:sz="0" w:space="0" w:color="auto"/>
      </w:divBdr>
    </w:div>
    <w:div w:id="2084597837">
      <w:bodyDiv w:val="1"/>
      <w:marLeft w:val="0"/>
      <w:marRight w:val="0"/>
      <w:marTop w:val="0"/>
      <w:marBottom w:val="0"/>
      <w:divBdr>
        <w:top w:val="none" w:sz="0" w:space="0" w:color="auto"/>
        <w:left w:val="none" w:sz="0" w:space="0" w:color="auto"/>
        <w:bottom w:val="none" w:sz="0" w:space="0" w:color="auto"/>
        <w:right w:val="none" w:sz="0" w:space="0" w:color="auto"/>
      </w:divBdr>
    </w:div>
    <w:div w:id="2085644456">
      <w:bodyDiv w:val="1"/>
      <w:marLeft w:val="0"/>
      <w:marRight w:val="0"/>
      <w:marTop w:val="0"/>
      <w:marBottom w:val="0"/>
      <w:divBdr>
        <w:top w:val="none" w:sz="0" w:space="0" w:color="auto"/>
        <w:left w:val="none" w:sz="0" w:space="0" w:color="auto"/>
        <w:bottom w:val="none" w:sz="0" w:space="0" w:color="auto"/>
        <w:right w:val="none" w:sz="0" w:space="0" w:color="auto"/>
      </w:divBdr>
    </w:div>
    <w:div w:id="2086294371">
      <w:bodyDiv w:val="1"/>
      <w:marLeft w:val="0"/>
      <w:marRight w:val="0"/>
      <w:marTop w:val="0"/>
      <w:marBottom w:val="0"/>
      <w:divBdr>
        <w:top w:val="none" w:sz="0" w:space="0" w:color="auto"/>
        <w:left w:val="none" w:sz="0" w:space="0" w:color="auto"/>
        <w:bottom w:val="none" w:sz="0" w:space="0" w:color="auto"/>
        <w:right w:val="none" w:sz="0" w:space="0" w:color="auto"/>
      </w:divBdr>
      <w:divsChild>
        <w:div w:id="1647516210">
          <w:marLeft w:val="346"/>
          <w:marRight w:val="0"/>
          <w:marTop w:val="60"/>
          <w:marBottom w:val="60"/>
          <w:divBdr>
            <w:top w:val="none" w:sz="0" w:space="0" w:color="auto"/>
            <w:left w:val="none" w:sz="0" w:space="0" w:color="auto"/>
            <w:bottom w:val="none" w:sz="0" w:space="0" w:color="auto"/>
            <w:right w:val="none" w:sz="0" w:space="0" w:color="auto"/>
          </w:divBdr>
        </w:div>
      </w:divsChild>
    </w:div>
    <w:div w:id="2090996971">
      <w:bodyDiv w:val="1"/>
      <w:marLeft w:val="0"/>
      <w:marRight w:val="0"/>
      <w:marTop w:val="0"/>
      <w:marBottom w:val="0"/>
      <w:divBdr>
        <w:top w:val="none" w:sz="0" w:space="0" w:color="auto"/>
        <w:left w:val="none" w:sz="0" w:space="0" w:color="auto"/>
        <w:bottom w:val="none" w:sz="0" w:space="0" w:color="auto"/>
        <w:right w:val="none" w:sz="0" w:space="0" w:color="auto"/>
      </w:divBdr>
    </w:div>
    <w:div w:id="2092314107">
      <w:bodyDiv w:val="1"/>
      <w:marLeft w:val="0"/>
      <w:marRight w:val="0"/>
      <w:marTop w:val="0"/>
      <w:marBottom w:val="0"/>
      <w:divBdr>
        <w:top w:val="none" w:sz="0" w:space="0" w:color="auto"/>
        <w:left w:val="none" w:sz="0" w:space="0" w:color="auto"/>
        <w:bottom w:val="none" w:sz="0" w:space="0" w:color="auto"/>
        <w:right w:val="none" w:sz="0" w:space="0" w:color="auto"/>
      </w:divBdr>
    </w:div>
    <w:div w:id="2114276834">
      <w:bodyDiv w:val="1"/>
      <w:marLeft w:val="0"/>
      <w:marRight w:val="0"/>
      <w:marTop w:val="0"/>
      <w:marBottom w:val="0"/>
      <w:divBdr>
        <w:top w:val="none" w:sz="0" w:space="0" w:color="auto"/>
        <w:left w:val="none" w:sz="0" w:space="0" w:color="auto"/>
        <w:bottom w:val="none" w:sz="0" w:space="0" w:color="auto"/>
        <w:right w:val="none" w:sz="0" w:space="0" w:color="auto"/>
      </w:divBdr>
    </w:div>
    <w:div w:id="2116632100">
      <w:bodyDiv w:val="1"/>
      <w:marLeft w:val="0"/>
      <w:marRight w:val="0"/>
      <w:marTop w:val="0"/>
      <w:marBottom w:val="0"/>
      <w:divBdr>
        <w:top w:val="none" w:sz="0" w:space="0" w:color="auto"/>
        <w:left w:val="none" w:sz="0" w:space="0" w:color="auto"/>
        <w:bottom w:val="none" w:sz="0" w:space="0" w:color="auto"/>
        <w:right w:val="none" w:sz="0" w:space="0" w:color="auto"/>
      </w:divBdr>
    </w:div>
    <w:div w:id="2123645467">
      <w:bodyDiv w:val="1"/>
      <w:marLeft w:val="0"/>
      <w:marRight w:val="0"/>
      <w:marTop w:val="0"/>
      <w:marBottom w:val="0"/>
      <w:divBdr>
        <w:top w:val="none" w:sz="0" w:space="0" w:color="auto"/>
        <w:left w:val="none" w:sz="0" w:space="0" w:color="auto"/>
        <w:bottom w:val="none" w:sz="0" w:space="0" w:color="auto"/>
        <w:right w:val="none" w:sz="0" w:space="0" w:color="auto"/>
      </w:divBdr>
    </w:div>
    <w:div w:id="2125954042">
      <w:bodyDiv w:val="1"/>
      <w:marLeft w:val="0"/>
      <w:marRight w:val="0"/>
      <w:marTop w:val="0"/>
      <w:marBottom w:val="0"/>
      <w:divBdr>
        <w:top w:val="none" w:sz="0" w:space="0" w:color="auto"/>
        <w:left w:val="none" w:sz="0" w:space="0" w:color="auto"/>
        <w:bottom w:val="none" w:sz="0" w:space="0" w:color="auto"/>
        <w:right w:val="none" w:sz="0" w:space="0" w:color="auto"/>
      </w:divBdr>
    </w:div>
    <w:div w:id="2127040672">
      <w:bodyDiv w:val="1"/>
      <w:marLeft w:val="0"/>
      <w:marRight w:val="0"/>
      <w:marTop w:val="0"/>
      <w:marBottom w:val="0"/>
      <w:divBdr>
        <w:top w:val="none" w:sz="0" w:space="0" w:color="auto"/>
        <w:left w:val="none" w:sz="0" w:space="0" w:color="auto"/>
        <w:bottom w:val="none" w:sz="0" w:space="0" w:color="auto"/>
        <w:right w:val="none" w:sz="0" w:space="0" w:color="auto"/>
      </w:divBdr>
    </w:div>
    <w:div w:id="2129859026">
      <w:bodyDiv w:val="1"/>
      <w:marLeft w:val="0"/>
      <w:marRight w:val="0"/>
      <w:marTop w:val="0"/>
      <w:marBottom w:val="0"/>
      <w:divBdr>
        <w:top w:val="none" w:sz="0" w:space="0" w:color="auto"/>
        <w:left w:val="none" w:sz="0" w:space="0" w:color="auto"/>
        <w:bottom w:val="none" w:sz="0" w:space="0" w:color="auto"/>
        <w:right w:val="none" w:sz="0" w:space="0" w:color="auto"/>
      </w:divBdr>
    </w:div>
    <w:div w:id="2130850585">
      <w:bodyDiv w:val="1"/>
      <w:marLeft w:val="0"/>
      <w:marRight w:val="0"/>
      <w:marTop w:val="0"/>
      <w:marBottom w:val="0"/>
      <w:divBdr>
        <w:top w:val="none" w:sz="0" w:space="0" w:color="auto"/>
        <w:left w:val="none" w:sz="0" w:space="0" w:color="auto"/>
        <w:bottom w:val="none" w:sz="0" w:space="0" w:color="auto"/>
        <w:right w:val="none" w:sz="0" w:space="0" w:color="auto"/>
      </w:divBdr>
    </w:div>
    <w:div w:id="2135756718">
      <w:bodyDiv w:val="1"/>
      <w:marLeft w:val="0"/>
      <w:marRight w:val="0"/>
      <w:marTop w:val="0"/>
      <w:marBottom w:val="0"/>
      <w:divBdr>
        <w:top w:val="none" w:sz="0" w:space="0" w:color="auto"/>
        <w:left w:val="none" w:sz="0" w:space="0" w:color="auto"/>
        <w:bottom w:val="none" w:sz="0" w:space="0" w:color="auto"/>
        <w:right w:val="none" w:sz="0" w:space="0" w:color="auto"/>
      </w:divBdr>
    </w:div>
    <w:div w:id="214145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diagramQuickStyle" Target="diagrams/quickStyle1.xml"/><Relationship Id="rId26" Type="http://schemas.openxmlformats.org/officeDocument/2006/relationships/image" Target="media/image10.png"/><Relationship Id="rId39" Type="http://schemas.openxmlformats.org/officeDocument/2006/relationships/image" Target="media/image21.jpeg"/><Relationship Id="rId21" Type="http://schemas.openxmlformats.org/officeDocument/2006/relationships/image" Target="media/image5.pn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1.png"/><Relationship Id="rId11" Type="http://schemas.openxmlformats.org/officeDocument/2006/relationships/image" Target="media/image4.svg"/><Relationship Id="rId24" Type="http://schemas.openxmlformats.org/officeDocument/2006/relationships/image" Target="media/image8.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chart" Target="charts/chart2.xml"/><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chart" Target="charts/chart3.xml"/><Relationship Id="rId19" Type="http://schemas.openxmlformats.org/officeDocument/2006/relationships/diagramColors" Target="diagrams/colors1.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s://showyourstripes.info/s/europe/kosovo/pristina" TargetMode="External"/><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6.png"/><Relationship Id="rId59" Type="http://schemas.openxmlformats.org/officeDocument/2006/relationships/image" Target="media/image39.png"/><Relationship Id="rId20" Type="http://schemas.microsoft.com/office/2007/relationships/diagramDrawing" Target="diagrams/drawing1.xml"/><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7.png"/><Relationship Id="rId28" Type="http://schemas.openxmlformats.org/officeDocument/2006/relationships/hyperlink" Target="https://showyourstripes.info/s/europe/kosovo/pristina" TargetMode="External"/><Relationship Id="rId36" Type="http://schemas.openxmlformats.org/officeDocument/2006/relationships/image" Target="media/image18.jpe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2.png"/><Relationship Id="rId31" Type="http://schemas.openxmlformats.org/officeDocument/2006/relationships/image" Target="media/image13.jpeg"/><Relationship Id="rId44" Type="http://schemas.openxmlformats.org/officeDocument/2006/relationships/chart" Target="charts/chart1.xml"/><Relationship Id="rId52" Type="http://schemas.openxmlformats.org/officeDocument/2006/relationships/image" Target="media/image32.png"/><Relationship Id="rId60"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svg"/></Relationships>
</file>

<file path=word/_rels/footnotes.xml.rels><?xml version="1.0" encoding="UTF-8" standalone="yes"?>
<Relationships xmlns="http://schemas.openxmlformats.org/package/2006/relationships"><Relationship Id="rId26" Type="http://schemas.openxmlformats.org/officeDocument/2006/relationships/hyperlink" Target="https://gzk.rks-gov.net/ActDetail.aspx?ActID=16331" TargetMode="External"/><Relationship Id="rId21" Type="http://schemas.openxmlformats.org/officeDocument/2006/relationships/hyperlink" Target="file:///\\192.168.1.12\Datos\3.Consultoria\3.3.Proyectos\3.3.3.Politica_Publica\B3774_Civitta\B3774_01_Civitta_KCCAS\Ejecuci&#243;n\Task%203%20-%20KCAAS\KCCAS\Law%20No.%2005\L-042%20on%20Regulation%20of%20Water%20Services" TargetMode="External"/><Relationship Id="rId34" Type="http://schemas.openxmlformats.org/officeDocument/2006/relationships/hyperlink" Target="file:///\\192.168.1.12\Datos\3.Consultoria\3.3.Proyectos\3.3.3.Politica_Publica\B3774_Civitta\B3774_01_Civitta_KCCAS\Ejecuci&#243;n\Task%203%20-%20KCAAS\KCCAS\Administrative%20Instruction%20(GRK)%20No.%2010\2021%20on%20the%20Quality%20of%20Water%20Intended%20for%20Human%20Consumption" TargetMode="External"/><Relationship Id="rId42" Type="http://schemas.openxmlformats.org/officeDocument/2006/relationships/hyperlink" Target="https://gzk.rks-gov.net/ActDetail.aspx?ActID=68589" TargetMode="External"/><Relationship Id="rId47" Type="http://schemas.openxmlformats.org/officeDocument/2006/relationships/hyperlink" Target="https://www.worldbank.org" TargetMode="External"/><Relationship Id="rId50" Type="http://schemas.openxmlformats.org/officeDocument/2006/relationships/hyperlink" Target="https://niph-rks.org/wp-content/uploads/2024/09/Analiza-e-gjendjes-shendetesore-te-popullates-2022.pdf" TargetMode="External"/><Relationship Id="rId55" Type="http://schemas.openxmlformats.org/officeDocument/2006/relationships/hyperlink" Target="https://www.imf.org/" TargetMode="External"/><Relationship Id="rId63" Type="http://schemas.openxmlformats.org/officeDocument/2006/relationships/hyperlink" Target="https://www.international-climate-initiative.com" TargetMode="External"/><Relationship Id="rId68" Type="http://schemas.openxmlformats.org/officeDocument/2006/relationships/hyperlink" Target="https://www.fincakosovo.org/" TargetMode="External"/><Relationship Id="rId7" Type="http://schemas.openxmlformats.org/officeDocument/2006/relationships/hyperlink" Target="https://climateknowledgeportal.worldbank.org/country/kosovo/trends-variability-projections" TargetMode="External"/><Relationship Id="rId2" Type="http://schemas.openxmlformats.org/officeDocument/2006/relationships/hyperlink" Target="https://climate-adapt.eea.europa.eu/en/about/climate-adapt-strategy-2022-2024-final.pdf/@@download/file" TargetMode="External"/><Relationship Id="rId16" Type="http://schemas.openxmlformats.org/officeDocument/2006/relationships/hyperlink" Target="https://doi.org/10.5194/hess-16-1915-2012" TargetMode="External"/><Relationship Id="rId29" Type="http://schemas.openxmlformats.org/officeDocument/2006/relationships/hyperlink" Target="https://gzk.rks-gov.net/ActDetail.aspx?ActID=2716" TargetMode="External"/><Relationship Id="rId11" Type="http://schemas.openxmlformats.org/officeDocument/2006/relationships/hyperlink" Target="https://www.ipcc.ch/report/ar6/syr/downloads/report/IPCC_AR6_SYR_FullVolume.pdf" TargetMode="External"/><Relationship Id="rId24" Type="http://schemas.openxmlformats.org/officeDocument/2006/relationships/hyperlink" Target="https://gzk.rks-gov.net/ActDetail.aspx?ActID=2822" TargetMode="External"/><Relationship Id="rId32" Type="http://schemas.openxmlformats.org/officeDocument/2006/relationships/hyperlink" Target="https://gzk.rks-gov.net/ActDetail.aspx?ActID=2573" TargetMode="External"/><Relationship Id="rId37" Type="http://schemas.openxmlformats.org/officeDocument/2006/relationships/hyperlink" Target="https://gzk.rks-gov.net/ActDetail.aspx?ActID=62058" TargetMode="External"/><Relationship Id="rId40" Type="http://schemas.openxmlformats.org/officeDocument/2006/relationships/hyperlink" Target="https://ask.rks-gov.net/Releases/Details/8431" TargetMode="External"/><Relationship Id="rId45" Type="http://schemas.openxmlformats.org/officeDocument/2006/relationships/hyperlink" Target="https://enlargement.ec.europa.eu" TargetMode="External"/><Relationship Id="rId53" Type="http://schemas.openxmlformats.org/officeDocument/2006/relationships/hyperlink" Target="https://www.worldbank.org/" TargetMode="External"/><Relationship Id="rId58" Type="http://schemas.openxmlformats.org/officeDocument/2006/relationships/hyperlink" Target="https://digitallibrary.un.org/record/274488" TargetMode="External"/><Relationship Id="rId66" Type="http://schemas.openxmlformats.org/officeDocument/2006/relationships/hyperlink" Target="https://www.ifc.org/" TargetMode="External"/><Relationship Id="rId5" Type="http://schemas.openxmlformats.org/officeDocument/2006/relationships/hyperlink" Target="https://www.ipcc.ch/report/ar6/syr/downloads/report/IPCC_AR6_SYR_FullVolume.pdf" TargetMode="External"/><Relationship Id="rId61" Type="http://schemas.openxmlformats.org/officeDocument/2006/relationships/hyperlink" Target="https://www.ebrd.com" TargetMode="External"/><Relationship Id="rId19" Type="http://schemas.openxmlformats.org/officeDocument/2006/relationships/hyperlink" Target="https://www.undp.org/sites/g/files/zskgke326/files/2024-02/public_pulse_eng_2024_final.pdf" TargetMode="External"/><Relationship Id="rId14" Type="http://schemas.openxmlformats.org/officeDocument/2006/relationships/hyperlink" Target="https://doi.org/10.1002/joc.773" TargetMode="External"/><Relationship Id="rId22" Type="http://schemas.openxmlformats.org/officeDocument/2006/relationships/hyperlink" Target="https://gzk.rks-gov.net/ActDetail.aspx?ActID=20503" TargetMode="External"/><Relationship Id="rId27" Type="http://schemas.openxmlformats.org/officeDocument/2006/relationships/hyperlink" Target="https://gzk.rks-gov.net/ActDetail.aspx?ActID=18129" TargetMode="External"/><Relationship Id="rId30" Type="http://schemas.openxmlformats.org/officeDocument/2006/relationships/hyperlink" Target="https://gzk.rks-gov.net/ActDetail.aspx?ActID=8865&amp;langid=2" TargetMode="External"/><Relationship Id="rId35" Type="http://schemas.openxmlformats.org/officeDocument/2006/relationships/hyperlink" Target="https://gzk.rks-gov.net/ActDetail.aspx?ActID=2444" TargetMode="External"/><Relationship Id="rId43" Type="http://schemas.openxmlformats.org/officeDocument/2006/relationships/hyperlink" Target="https://msh.rks-gov.net" TargetMode="External"/><Relationship Id="rId48" Type="http://schemas.openxmlformats.org/officeDocument/2006/relationships/hyperlink" Target="https://msh.rks-gov.net" TargetMode="External"/><Relationship Id="rId56" Type="http://schemas.openxmlformats.org/officeDocument/2006/relationships/hyperlink" Target="https://www.ebrd.com/" TargetMode="External"/><Relationship Id="rId64" Type="http://schemas.openxmlformats.org/officeDocument/2006/relationships/hyperlink" Target="https://balkangreenenergynews.com" TargetMode="External"/><Relationship Id="rId8" Type="http://schemas.openxmlformats.org/officeDocument/2006/relationships/hyperlink" Target="https://wbif.eu/news-details/completion-eu-funded-preliminary-flood-risk-assessment-river-basins-kosovo" TargetMode="External"/><Relationship Id="rId51" Type="http://schemas.openxmlformats.org/officeDocument/2006/relationships/hyperlink" Target="https://kryeministri.rks-gov.net" TargetMode="External"/><Relationship Id="rId3" Type="http://schemas.openxmlformats.org/officeDocument/2006/relationships/hyperlink" Target="https://www.ipcc.ch/report/ar6/syr/downloads/report/IPCC_AR6_SYR_FullVolume.pdf" TargetMode="External"/><Relationship Id="rId12" Type="http://schemas.openxmlformats.org/officeDocument/2006/relationships/hyperlink" Target="https://doi.org/10.2760/34094" TargetMode="External"/><Relationship Id="rId17" Type="http://schemas.openxmlformats.org/officeDocument/2006/relationships/hyperlink" Target="https://www.climatelinks.org/countries/kosovo" TargetMode="External"/><Relationship Id="rId25" Type="http://schemas.openxmlformats.org/officeDocument/2006/relationships/hyperlink" Target="https://gzk.rks-gov.net/ActDetail.aspx?ActID=10822" TargetMode="External"/><Relationship Id="rId33" Type="http://schemas.openxmlformats.org/officeDocument/2006/relationships/hyperlink" Target="https://gzk.rks-gov.net/ActDetail.aspx?ActID=57851" TargetMode="External"/><Relationship Id="rId38" Type="http://schemas.openxmlformats.org/officeDocument/2006/relationships/hyperlink" Target="https://xk.usembassy.gov/wp-content/uploads/sites/133/30159_rev3.pdf" TargetMode="External"/><Relationship Id="rId46" Type="http://schemas.openxmlformats.org/officeDocument/2006/relationships/hyperlink" Target="https://niph-rks.org/wp-content/uploads/2025/01/Buletini-vjetor-i-semundjeve-ngjitese-janar-dhjetor-2024-1.pdf" TargetMode="External"/><Relationship Id="rId59" Type="http://schemas.openxmlformats.org/officeDocument/2006/relationships/hyperlink" Target="https://neighbourhood-enlargement.ec.europa.eu/kosovo-financial-assistance-under-ipa_en" TargetMode="External"/><Relationship Id="rId67" Type="http://schemas.openxmlformats.org/officeDocument/2006/relationships/hyperlink" Target="https://www.krk-ks.com/" TargetMode="External"/><Relationship Id="rId20" Type="http://schemas.openxmlformats.org/officeDocument/2006/relationships/hyperlink" Target="https://gzk.rks-gov.net/ActDetail.aspx?ActID=8659" TargetMode="External"/><Relationship Id="rId41" Type="http://schemas.openxmlformats.org/officeDocument/2006/relationships/hyperlink" Target="https://gzk.rks-gov.net/ActDetail.aspx?ActID=99025" TargetMode="External"/><Relationship Id="rId54" Type="http://schemas.openxmlformats.org/officeDocument/2006/relationships/hyperlink" Target="https://www.worldbank.org/" TargetMode="External"/><Relationship Id="rId62" Type="http://schemas.openxmlformats.org/officeDocument/2006/relationships/hyperlink" Target="https://tirana.aics.gov.it" TargetMode="External"/><Relationship Id="rId1" Type="http://schemas.openxmlformats.org/officeDocument/2006/relationships/hyperlink" Target="https://gzk.rks-gov.net/ActDetail.aspx?ActID=85112" TargetMode="External"/><Relationship Id="rId6" Type="http://schemas.openxmlformats.org/officeDocument/2006/relationships/hyperlink" Target="https://www.ipcc.ch/report/ar6/syr/downloads/report/IPCC_AR6_SYR_FullVolume.pdf" TargetMode="External"/><Relationship Id="rId15" Type="http://schemas.openxmlformats.org/officeDocument/2006/relationships/hyperlink" Target="https://doi.org/10.1007/s00382-020-05316-6" TargetMode="External"/><Relationship Id="rId23" Type="http://schemas.openxmlformats.org/officeDocument/2006/relationships/hyperlink" Target="https://gzk.rks-gov.net/ActDetail.aspx?ActID=2547" TargetMode="External"/><Relationship Id="rId28" Type="http://schemas.openxmlformats.org/officeDocument/2006/relationships/hyperlink" Target="https://gzk.rks-gov.net/ActDetail.aspx?ActID=2631&amp;langid=2" TargetMode="External"/><Relationship Id="rId36" Type="http://schemas.openxmlformats.org/officeDocument/2006/relationships/hyperlink" Target="https://gzk.rks-gov.net/ActDetail.aspx?ActID=2695" TargetMode="External"/><Relationship Id="rId49" Type="http://schemas.openxmlformats.org/officeDocument/2006/relationships/hyperlink" Target="https://www.ijpsi.org" TargetMode="External"/><Relationship Id="rId57" Type="http://schemas.openxmlformats.org/officeDocument/2006/relationships/hyperlink" Target="https://www.worldbank.org/" TargetMode="External"/><Relationship Id="rId10" Type="http://schemas.openxmlformats.org/officeDocument/2006/relationships/hyperlink" Target="https://climateknowledgeportal.worldbank.org/country/kosovo/trends-variability-projections" TargetMode="External"/><Relationship Id="rId31" Type="http://schemas.openxmlformats.org/officeDocument/2006/relationships/hyperlink" Target="https://gzk.rks-gov.net/ActDetail.aspx?ActID=2530&amp;langid=2" TargetMode="External"/><Relationship Id="rId44" Type="http://schemas.openxmlformats.org/officeDocument/2006/relationships/hyperlink" Target="https://msh.rks-gov.net" TargetMode="External"/><Relationship Id="rId52" Type="http://schemas.openxmlformats.org/officeDocument/2006/relationships/hyperlink" Target="https://www.worldbank.org/" TargetMode="External"/><Relationship Id="rId60" Type="http://schemas.openxmlformats.org/officeDocument/2006/relationships/hyperlink" Target="https://www.wbif.eu" TargetMode="External"/><Relationship Id="rId65" Type="http://schemas.openxmlformats.org/officeDocument/2006/relationships/hyperlink" Target="https://www.ifc.org/" TargetMode="External"/><Relationship Id="rId4" Type="http://schemas.openxmlformats.org/officeDocument/2006/relationships/hyperlink" Target="https://doi.org/10.1080/00139157.1992.9931432" TargetMode="External"/><Relationship Id="rId9" Type="http://schemas.openxmlformats.org/officeDocument/2006/relationships/hyperlink" Target="https://climateknowledgeportal.worldbank.org/country/kosovo/trends-variability-projections" TargetMode="External"/><Relationship Id="rId13" Type="http://schemas.openxmlformats.org/officeDocument/2006/relationships/hyperlink" Target="https://policy.atmosphere.copernicus.eu/reports/pdf/CAMS271_2021SCx_D1.1.1._202306_2022_Interim_Assessment_Report_v3.pdf" TargetMode="External"/><Relationship Id="rId18" Type="http://schemas.openxmlformats.org/officeDocument/2006/relationships/hyperlink" Target="https://www.undp.org/kosovo/publications/climate-change-baseline-study" TargetMode="External"/><Relationship Id="rId39" Type="http://schemas.openxmlformats.org/officeDocument/2006/relationships/hyperlink" Target="https://doi.org/10.1051/e3sconf/20223460100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'AVG surface temperature'!$B$1</c:f>
              <c:strCache>
                <c:ptCount val="1"/>
                <c:pt idx="0">
                  <c:v>Historical</c:v>
                </c:pt>
              </c:strCache>
            </c:strRef>
          </c:tx>
          <c:spPr>
            <a:ln w="28575" cap="rnd">
              <a:solidFill>
                <a:schemeClr val="accent2"/>
              </a:solidFill>
              <a:round/>
            </a:ln>
            <a:effectLst/>
          </c:spPr>
          <c:marker>
            <c:symbol val="none"/>
          </c:marker>
          <c:cat>
            <c:numRef>
              <c:f>'AVG surface temperature'!$A$2:$A$152</c:f>
              <c:numCache>
                <c:formatCode>0.00</c:formatCode>
                <c:ptCount val="151"/>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pt idx="74">
                  <c:v>2024</c:v>
                </c:pt>
                <c:pt idx="75">
                  <c:v>2025</c:v>
                </c:pt>
                <c:pt idx="76">
                  <c:v>2026</c:v>
                </c:pt>
                <c:pt idx="77">
                  <c:v>2027</c:v>
                </c:pt>
                <c:pt idx="78">
                  <c:v>2028</c:v>
                </c:pt>
                <c:pt idx="79">
                  <c:v>2029</c:v>
                </c:pt>
                <c:pt idx="80">
                  <c:v>2030</c:v>
                </c:pt>
                <c:pt idx="81">
                  <c:v>2031</c:v>
                </c:pt>
                <c:pt idx="82">
                  <c:v>2032</c:v>
                </c:pt>
                <c:pt idx="83">
                  <c:v>2033</c:v>
                </c:pt>
                <c:pt idx="84">
                  <c:v>2034</c:v>
                </c:pt>
                <c:pt idx="85">
                  <c:v>2035</c:v>
                </c:pt>
                <c:pt idx="86">
                  <c:v>2036</c:v>
                </c:pt>
                <c:pt idx="87">
                  <c:v>2037</c:v>
                </c:pt>
                <c:pt idx="88">
                  <c:v>2038</c:v>
                </c:pt>
                <c:pt idx="89">
                  <c:v>2039</c:v>
                </c:pt>
                <c:pt idx="90">
                  <c:v>2040</c:v>
                </c:pt>
                <c:pt idx="91">
                  <c:v>2041</c:v>
                </c:pt>
                <c:pt idx="92">
                  <c:v>2042</c:v>
                </c:pt>
                <c:pt idx="93">
                  <c:v>2043</c:v>
                </c:pt>
                <c:pt idx="94">
                  <c:v>2044</c:v>
                </c:pt>
                <c:pt idx="95">
                  <c:v>2045</c:v>
                </c:pt>
                <c:pt idx="96">
                  <c:v>2046</c:v>
                </c:pt>
                <c:pt idx="97">
                  <c:v>2047</c:v>
                </c:pt>
                <c:pt idx="98">
                  <c:v>2048</c:v>
                </c:pt>
                <c:pt idx="99">
                  <c:v>2049</c:v>
                </c:pt>
                <c:pt idx="100">
                  <c:v>2050</c:v>
                </c:pt>
                <c:pt idx="101">
                  <c:v>2051</c:v>
                </c:pt>
                <c:pt idx="102">
                  <c:v>2052</c:v>
                </c:pt>
                <c:pt idx="103">
                  <c:v>2053</c:v>
                </c:pt>
                <c:pt idx="104">
                  <c:v>2054</c:v>
                </c:pt>
                <c:pt idx="105">
                  <c:v>2055</c:v>
                </c:pt>
                <c:pt idx="106">
                  <c:v>2056</c:v>
                </c:pt>
                <c:pt idx="107">
                  <c:v>2057</c:v>
                </c:pt>
                <c:pt idx="108">
                  <c:v>2058</c:v>
                </c:pt>
                <c:pt idx="109">
                  <c:v>2059</c:v>
                </c:pt>
                <c:pt idx="110">
                  <c:v>2060</c:v>
                </c:pt>
                <c:pt idx="111">
                  <c:v>2061</c:v>
                </c:pt>
                <c:pt idx="112">
                  <c:v>2062</c:v>
                </c:pt>
                <c:pt idx="113">
                  <c:v>2063</c:v>
                </c:pt>
                <c:pt idx="114">
                  <c:v>2064</c:v>
                </c:pt>
                <c:pt idx="115">
                  <c:v>2065</c:v>
                </c:pt>
                <c:pt idx="116">
                  <c:v>2066</c:v>
                </c:pt>
                <c:pt idx="117">
                  <c:v>2067</c:v>
                </c:pt>
                <c:pt idx="118">
                  <c:v>2068</c:v>
                </c:pt>
                <c:pt idx="119">
                  <c:v>2069</c:v>
                </c:pt>
                <c:pt idx="120">
                  <c:v>2070</c:v>
                </c:pt>
                <c:pt idx="121">
                  <c:v>2071</c:v>
                </c:pt>
                <c:pt idx="122">
                  <c:v>2072</c:v>
                </c:pt>
                <c:pt idx="123">
                  <c:v>2073</c:v>
                </c:pt>
                <c:pt idx="124">
                  <c:v>2074</c:v>
                </c:pt>
                <c:pt idx="125">
                  <c:v>2075</c:v>
                </c:pt>
                <c:pt idx="126">
                  <c:v>2076</c:v>
                </c:pt>
                <c:pt idx="127">
                  <c:v>2077</c:v>
                </c:pt>
                <c:pt idx="128">
                  <c:v>2078</c:v>
                </c:pt>
                <c:pt idx="129">
                  <c:v>2079</c:v>
                </c:pt>
                <c:pt idx="130">
                  <c:v>2080</c:v>
                </c:pt>
                <c:pt idx="131">
                  <c:v>2081</c:v>
                </c:pt>
                <c:pt idx="132">
                  <c:v>2082</c:v>
                </c:pt>
                <c:pt idx="133">
                  <c:v>2083</c:v>
                </c:pt>
                <c:pt idx="134">
                  <c:v>2084</c:v>
                </c:pt>
                <c:pt idx="135">
                  <c:v>2085</c:v>
                </c:pt>
                <c:pt idx="136">
                  <c:v>2086</c:v>
                </c:pt>
                <c:pt idx="137">
                  <c:v>2087</c:v>
                </c:pt>
                <c:pt idx="138">
                  <c:v>2088</c:v>
                </c:pt>
                <c:pt idx="139">
                  <c:v>2089</c:v>
                </c:pt>
                <c:pt idx="140">
                  <c:v>2090</c:v>
                </c:pt>
                <c:pt idx="141">
                  <c:v>2091</c:v>
                </c:pt>
                <c:pt idx="142">
                  <c:v>2092</c:v>
                </c:pt>
                <c:pt idx="143">
                  <c:v>2093</c:v>
                </c:pt>
                <c:pt idx="144">
                  <c:v>2094</c:v>
                </c:pt>
                <c:pt idx="145">
                  <c:v>2095</c:v>
                </c:pt>
                <c:pt idx="146">
                  <c:v>2096</c:v>
                </c:pt>
                <c:pt idx="147">
                  <c:v>2097</c:v>
                </c:pt>
                <c:pt idx="148">
                  <c:v>2098</c:v>
                </c:pt>
                <c:pt idx="149">
                  <c:v>2099</c:v>
                </c:pt>
                <c:pt idx="150">
                  <c:v>2100</c:v>
                </c:pt>
              </c:numCache>
            </c:numRef>
          </c:cat>
          <c:val>
            <c:numRef>
              <c:f>'AVG surface temperature'!$B$2:$B$66</c:f>
              <c:numCache>
                <c:formatCode>0.00</c:formatCode>
                <c:ptCount val="65"/>
                <c:pt idx="0">
                  <c:v>9.73</c:v>
                </c:pt>
                <c:pt idx="1">
                  <c:v>9.86</c:v>
                </c:pt>
                <c:pt idx="2">
                  <c:v>9.93</c:v>
                </c:pt>
                <c:pt idx="3">
                  <c:v>9.92</c:v>
                </c:pt>
                <c:pt idx="4">
                  <c:v>9.65</c:v>
                </c:pt>
                <c:pt idx="5">
                  <c:v>9.94</c:v>
                </c:pt>
                <c:pt idx="6">
                  <c:v>9.5</c:v>
                </c:pt>
                <c:pt idx="7">
                  <c:v>9.74</c:v>
                </c:pt>
                <c:pt idx="8">
                  <c:v>9.92</c:v>
                </c:pt>
                <c:pt idx="9">
                  <c:v>10.07</c:v>
                </c:pt>
                <c:pt idx="10">
                  <c:v>9.9499999999999993</c:v>
                </c:pt>
                <c:pt idx="11">
                  <c:v>9.73</c:v>
                </c:pt>
                <c:pt idx="12">
                  <c:v>9.7899999999999991</c:v>
                </c:pt>
                <c:pt idx="13">
                  <c:v>9.73</c:v>
                </c:pt>
                <c:pt idx="14">
                  <c:v>9.75</c:v>
                </c:pt>
                <c:pt idx="15">
                  <c:v>9.32</c:v>
                </c:pt>
                <c:pt idx="16">
                  <c:v>9.4</c:v>
                </c:pt>
                <c:pt idx="17">
                  <c:v>9.66</c:v>
                </c:pt>
                <c:pt idx="18">
                  <c:v>9.6300000000000008</c:v>
                </c:pt>
                <c:pt idx="19">
                  <c:v>9.59</c:v>
                </c:pt>
                <c:pt idx="20">
                  <c:v>9.36</c:v>
                </c:pt>
                <c:pt idx="21">
                  <c:v>9.7899999999999991</c:v>
                </c:pt>
                <c:pt idx="22">
                  <c:v>9.52</c:v>
                </c:pt>
                <c:pt idx="23">
                  <c:v>9.76</c:v>
                </c:pt>
                <c:pt idx="24">
                  <c:v>9.59</c:v>
                </c:pt>
                <c:pt idx="25">
                  <c:v>9.4600000000000009</c:v>
                </c:pt>
                <c:pt idx="26">
                  <c:v>9.5299999999999994</c:v>
                </c:pt>
                <c:pt idx="27">
                  <c:v>9.48</c:v>
                </c:pt>
                <c:pt idx="28">
                  <c:v>9.81</c:v>
                </c:pt>
                <c:pt idx="29">
                  <c:v>9.5299999999999994</c:v>
                </c:pt>
                <c:pt idx="30">
                  <c:v>9.6999999999999993</c:v>
                </c:pt>
                <c:pt idx="31">
                  <c:v>9.8000000000000007</c:v>
                </c:pt>
                <c:pt idx="32">
                  <c:v>9.76</c:v>
                </c:pt>
                <c:pt idx="33">
                  <c:v>9.69</c:v>
                </c:pt>
                <c:pt idx="34">
                  <c:v>9.64</c:v>
                </c:pt>
                <c:pt idx="35">
                  <c:v>9.73</c:v>
                </c:pt>
                <c:pt idx="36">
                  <c:v>9.7899999999999991</c:v>
                </c:pt>
                <c:pt idx="37">
                  <c:v>9.65</c:v>
                </c:pt>
                <c:pt idx="38">
                  <c:v>9.83</c:v>
                </c:pt>
                <c:pt idx="39">
                  <c:v>10.02</c:v>
                </c:pt>
                <c:pt idx="40">
                  <c:v>10.43</c:v>
                </c:pt>
                <c:pt idx="41">
                  <c:v>10.050000000000001</c:v>
                </c:pt>
                <c:pt idx="42">
                  <c:v>9.43</c:v>
                </c:pt>
                <c:pt idx="43">
                  <c:v>9.7100000000000009</c:v>
                </c:pt>
                <c:pt idx="44">
                  <c:v>10.220000000000001</c:v>
                </c:pt>
                <c:pt idx="45">
                  <c:v>10.08</c:v>
                </c:pt>
                <c:pt idx="46">
                  <c:v>10.27</c:v>
                </c:pt>
                <c:pt idx="47">
                  <c:v>10.050000000000001</c:v>
                </c:pt>
                <c:pt idx="48">
                  <c:v>10.199999999999999</c:v>
                </c:pt>
                <c:pt idx="49">
                  <c:v>10.54</c:v>
                </c:pt>
                <c:pt idx="50">
                  <c:v>10.79</c:v>
                </c:pt>
                <c:pt idx="51">
                  <c:v>10.64</c:v>
                </c:pt>
                <c:pt idx="52">
                  <c:v>10.43</c:v>
                </c:pt>
                <c:pt idx="53">
                  <c:v>10.72</c:v>
                </c:pt>
                <c:pt idx="54">
                  <c:v>10.58</c:v>
                </c:pt>
                <c:pt idx="55">
                  <c:v>10.59</c:v>
                </c:pt>
                <c:pt idx="56">
                  <c:v>10.87</c:v>
                </c:pt>
                <c:pt idx="57">
                  <c:v>10.62</c:v>
                </c:pt>
                <c:pt idx="58">
                  <c:v>10.99</c:v>
                </c:pt>
                <c:pt idx="59">
                  <c:v>10.96</c:v>
                </c:pt>
                <c:pt idx="60">
                  <c:v>11.05</c:v>
                </c:pt>
                <c:pt idx="61">
                  <c:v>11</c:v>
                </c:pt>
                <c:pt idx="62">
                  <c:v>10.82</c:v>
                </c:pt>
                <c:pt idx="63">
                  <c:v>10.93</c:v>
                </c:pt>
                <c:pt idx="64">
                  <c:v>11.14</c:v>
                </c:pt>
              </c:numCache>
            </c:numRef>
          </c:val>
          <c:smooth val="0"/>
          <c:extLst>
            <c:ext xmlns:c16="http://schemas.microsoft.com/office/drawing/2014/chart" uri="{C3380CC4-5D6E-409C-BE32-E72D297353CC}">
              <c16:uniqueId val="{00000000-9DE1-4D28-AECC-2BC4D3073F95}"/>
            </c:ext>
          </c:extLst>
        </c:ser>
        <c:ser>
          <c:idx val="0"/>
          <c:order val="1"/>
          <c:tx>
            <c:strRef>
              <c:f>'AVG surface temperature'!$E$1</c:f>
              <c:strCache>
                <c:ptCount val="1"/>
                <c:pt idx="0">
                  <c:v>SSP1-2.6</c:v>
                </c:pt>
              </c:strCache>
            </c:strRef>
          </c:tx>
          <c:spPr>
            <a:ln w="28575" cap="rnd">
              <a:solidFill>
                <a:schemeClr val="accent1"/>
              </a:solidFill>
              <a:round/>
            </a:ln>
            <a:effectLst/>
          </c:spPr>
          <c:marker>
            <c:symbol val="none"/>
          </c:marker>
          <c:cat>
            <c:numRef>
              <c:f>'AVG surface temperature'!$A$2:$A$152</c:f>
              <c:numCache>
                <c:formatCode>0.00</c:formatCode>
                <c:ptCount val="151"/>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pt idx="73">
                  <c:v>2023</c:v>
                </c:pt>
                <c:pt idx="74">
                  <c:v>2024</c:v>
                </c:pt>
                <c:pt idx="75">
                  <c:v>2025</c:v>
                </c:pt>
                <c:pt idx="76">
                  <c:v>2026</c:v>
                </c:pt>
                <c:pt idx="77">
                  <c:v>2027</c:v>
                </c:pt>
                <c:pt idx="78">
                  <c:v>2028</c:v>
                </c:pt>
                <c:pt idx="79">
                  <c:v>2029</c:v>
                </c:pt>
                <c:pt idx="80">
                  <c:v>2030</c:v>
                </c:pt>
                <c:pt idx="81">
                  <c:v>2031</c:v>
                </c:pt>
                <c:pt idx="82">
                  <c:v>2032</c:v>
                </c:pt>
                <c:pt idx="83">
                  <c:v>2033</c:v>
                </c:pt>
                <c:pt idx="84">
                  <c:v>2034</c:v>
                </c:pt>
                <c:pt idx="85">
                  <c:v>2035</c:v>
                </c:pt>
                <c:pt idx="86">
                  <c:v>2036</c:v>
                </c:pt>
                <c:pt idx="87">
                  <c:v>2037</c:v>
                </c:pt>
                <c:pt idx="88">
                  <c:v>2038</c:v>
                </c:pt>
                <c:pt idx="89">
                  <c:v>2039</c:v>
                </c:pt>
                <c:pt idx="90">
                  <c:v>2040</c:v>
                </c:pt>
                <c:pt idx="91">
                  <c:v>2041</c:v>
                </c:pt>
                <c:pt idx="92">
                  <c:v>2042</c:v>
                </c:pt>
                <c:pt idx="93">
                  <c:v>2043</c:v>
                </c:pt>
                <c:pt idx="94">
                  <c:v>2044</c:v>
                </c:pt>
                <c:pt idx="95">
                  <c:v>2045</c:v>
                </c:pt>
                <c:pt idx="96">
                  <c:v>2046</c:v>
                </c:pt>
                <c:pt idx="97">
                  <c:v>2047</c:v>
                </c:pt>
                <c:pt idx="98">
                  <c:v>2048</c:v>
                </c:pt>
                <c:pt idx="99">
                  <c:v>2049</c:v>
                </c:pt>
                <c:pt idx="100">
                  <c:v>2050</c:v>
                </c:pt>
                <c:pt idx="101">
                  <c:v>2051</c:v>
                </c:pt>
                <c:pt idx="102">
                  <c:v>2052</c:v>
                </c:pt>
                <c:pt idx="103">
                  <c:v>2053</c:v>
                </c:pt>
                <c:pt idx="104">
                  <c:v>2054</c:v>
                </c:pt>
                <c:pt idx="105">
                  <c:v>2055</c:v>
                </c:pt>
                <c:pt idx="106">
                  <c:v>2056</c:v>
                </c:pt>
                <c:pt idx="107">
                  <c:v>2057</c:v>
                </c:pt>
                <c:pt idx="108">
                  <c:v>2058</c:v>
                </c:pt>
                <c:pt idx="109">
                  <c:v>2059</c:v>
                </c:pt>
                <c:pt idx="110">
                  <c:v>2060</c:v>
                </c:pt>
                <c:pt idx="111">
                  <c:v>2061</c:v>
                </c:pt>
                <c:pt idx="112">
                  <c:v>2062</c:v>
                </c:pt>
                <c:pt idx="113">
                  <c:v>2063</c:v>
                </c:pt>
                <c:pt idx="114">
                  <c:v>2064</c:v>
                </c:pt>
                <c:pt idx="115">
                  <c:v>2065</c:v>
                </c:pt>
                <c:pt idx="116">
                  <c:v>2066</c:v>
                </c:pt>
                <c:pt idx="117">
                  <c:v>2067</c:v>
                </c:pt>
                <c:pt idx="118">
                  <c:v>2068</c:v>
                </c:pt>
                <c:pt idx="119">
                  <c:v>2069</c:v>
                </c:pt>
                <c:pt idx="120">
                  <c:v>2070</c:v>
                </c:pt>
                <c:pt idx="121">
                  <c:v>2071</c:v>
                </c:pt>
                <c:pt idx="122">
                  <c:v>2072</c:v>
                </c:pt>
                <c:pt idx="123">
                  <c:v>2073</c:v>
                </c:pt>
                <c:pt idx="124">
                  <c:v>2074</c:v>
                </c:pt>
                <c:pt idx="125">
                  <c:v>2075</c:v>
                </c:pt>
                <c:pt idx="126">
                  <c:v>2076</c:v>
                </c:pt>
                <c:pt idx="127">
                  <c:v>2077</c:v>
                </c:pt>
                <c:pt idx="128">
                  <c:v>2078</c:v>
                </c:pt>
                <c:pt idx="129">
                  <c:v>2079</c:v>
                </c:pt>
                <c:pt idx="130">
                  <c:v>2080</c:v>
                </c:pt>
                <c:pt idx="131">
                  <c:v>2081</c:v>
                </c:pt>
                <c:pt idx="132">
                  <c:v>2082</c:v>
                </c:pt>
                <c:pt idx="133">
                  <c:v>2083</c:v>
                </c:pt>
                <c:pt idx="134">
                  <c:v>2084</c:v>
                </c:pt>
                <c:pt idx="135">
                  <c:v>2085</c:v>
                </c:pt>
                <c:pt idx="136">
                  <c:v>2086</c:v>
                </c:pt>
                <c:pt idx="137">
                  <c:v>2087</c:v>
                </c:pt>
                <c:pt idx="138">
                  <c:v>2088</c:v>
                </c:pt>
                <c:pt idx="139">
                  <c:v>2089</c:v>
                </c:pt>
                <c:pt idx="140">
                  <c:v>2090</c:v>
                </c:pt>
                <c:pt idx="141">
                  <c:v>2091</c:v>
                </c:pt>
                <c:pt idx="142">
                  <c:v>2092</c:v>
                </c:pt>
                <c:pt idx="143">
                  <c:v>2093</c:v>
                </c:pt>
                <c:pt idx="144">
                  <c:v>2094</c:v>
                </c:pt>
                <c:pt idx="145">
                  <c:v>2095</c:v>
                </c:pt>
                <c:pt idx="146">
                  <c:v>2096</c:v>
                </c:pt>
                <c:pt idx="147">
                  <c:v>2097</c:v>
                </c:pt>
                <c:pt idx="148">
                  <c:v>2098</c:v>
                </c:pt>
                <c:pt idx="149">
                  <c:v>2099</c:v>
                </c:pt>
                <c:pt idx="150">
                  <c:v>2100</c:v>
                </c:pt>
              </c:numCache>
            </c:numRef>
          </c:cat>
          <c:val>
            <c:numRef>
              <c:f>'AVG surface temperature'!$E$2:$E$152</c:f>
              <c:numCache>
                <c:formatCode>General</c:formatCode>
                <c:ptCount val="151"/>
                <c:pt idx="64" formatCode="0.00">
                  <c:v>11.14</c:v>
                </c:pt>
                <c:pt idx="65" formatCode="0.00">
                  <c:v>11.38</c:v>
                </c:pt>
                <c:pt idx="66" formatCode="0.00">
                  <c:v>11.22</c:v>
                </c:pt>
                <c:pt idx="67" formatCode="0.00">
                  <c:v>11.24</c:v>
                </c:pt>
                <c:pt idx="68" formatCode="0.00">
                  <c:v>11.14</c:v>
                </c:pt>
                <c:pt idx="69" formatCode="0.00">
                  <c:v>10.93</c:v>
                </c:pt>
                <c:pt idx="70" formatCode="0.00">
                  <c:v>11.02</c:v>
                </c:pt>
                <c:pt idx="71" formatCode="0.00">
                  <c:v>11.6</c:v>
                </c:pt>
                <c:pt idx="72" formatCode="0.00">
                  <c:v>11.37</c:v>
                </c:pt>
                <c:pt idx="73" formatCode="0.00">
                  <c:v>11.56</c:v>
                </c:pt>
                <c:pt idx="74" formatCode="0.00">
                  <c:v>11.62</c:v>
                </c:pt>
                <c:pt idx="75" formatCode="0.00">
                  <c:v>11.88</c:v>
                </c:pt>
                <c:pt idx="76" formatCode="0.00">
                  <c:v>11.62</c:v>
                </c:pt>
                <c:pt idx="77" formatCode="0.00">
                  <c:v>11.48</c:v>
                </c:pt>
                <c:pt idx="78" formatCode="0.00">
                  <c:v>11.7</c:v>
                </c:pt>
                <c:pt idx="79" formatCode="0.00">
                  <c:v>11.6</c:v>
                </c:pt>
                <c:pt idx="80" formatCode="0.00">
                  <c:v>12.06</c:v>
                </c:pt>
                <c:pt idx="81" formatCode="0.00">
                  <c:v>11.48</c:v>
                </c:pt>
                <c:pt idx="82" formatCode="0.00">
                  <c:v>11.4</c:v>
                </c:pt>
                <c:pt idx="83" formatCode="0.00">
                  <c:v>11.7</c:v>
                </c:pt>
                <c:pt idx="84" formatCode="0.00">
                  <c:v>11.87</c:v>
                </c:pt>
                <c:pt idx="85" formatCode="0.00">
                  <c:v>11.8</c:v>
                </c:pt>
                <c:pt idx="86" formatCode="0.00">
                  <c:v>11.87</c:v>
                </c:pt>
                <c:pt idx="87" formatCode="0.00">
                  <c:v>11.71</c:v>
                </c:pt>
                <c:pt idx="88" formatCode="0.00">
                  <c:v>11.83</c:v>
                </c:pt>
                <c:pt idx="89" formatCode="0.00">
                  <c:v>11.56</c:v>
                </c:pt>
                <c:pt idx="90" formatCode="0.00">
                  <c:v>11.89</c:v>
                </c:pt>
                <c:pt idx="91" formatCode="0.00">
                  <c:v>11.94</c:v>
                </c:pt>
                <c:pt idx="92" formatCode="0.00">
                  <c:v>12</c:v>
                </c:pt>
                <c:pt idx="93" formatCode="0.00">
                  <c:v>12.14</c:v>
                </c:pt>
                <c:pt idx="94" formatCode="0.00">
                  <c:v>11.95</c:v>
                </c:pt>
                <c:pt idx="95" formatCode="0.00">
                  <c:v>11.86</c:v>
                </c:pt>
                <c:pt idx="96" formatCode="0.00">
                  <c:v>12.22</c:v>
                </c:pt>
                <c:pt idx="97" formatCode="0.00">
                  <c:v>11.99</c:v>
                </c:pt>
                <c:pt idx="98" formatCode="0.00">
                  <c:v>12.09</c:v>
                </c:pt>
                <c:pt idx="99" formatCode="0.00">
                  <c:v>12.27</c:v>
                </c:pt>
                <c:pt idx="100" formatCode="0.00">
                  <c:v>11.85</c:v>
                </c:pt>
                <c:pt idx="101" formatCode="0.00">
                  <c:v>12.18</c:v>
                </c:pt>
                <c:pt idx="102" formatCode="0.00">
                  <c:v>12.16</c:v>
                </c:pt>
                <c:pt idx="103" formatCode="0.00">
                  <c:v>12.32</c:v>
                </c:pt>
                <c:pt idx="104" formatCode="0.00">
                  <c:v>12.21</c:v>
                </c:pt>
                <c:pt idx="105" formatCode="0.00">
                  <c:v>12.15</c:v>
                </c:pt>
                <c:pt idx="106" formatCode="0.00">
                  <c:v>12.32</c:v>
                </c:pt>
                <c:pt idx="107" formatCode="0.00">
                  <c:v>12.51</c:v>
                </c:pt>
                <c:pt idx="108" formatCode="0.00">
                  <c:v>12.46</c:v>
                </c:pt>
                <c:pt idx="109" formatCode="0.00">
                  <c:v>12.01</c:v>
                </c:pt>
                <c:pt idx="110" formatCode="0.00">
                  <c:v>12.19</c:v>
                </c:pt>
                <c:pt idx="111" formatCode="0.00">
                  <c:v>12.4</c:v>
                </c:pt>
                <c:pt idx="112" formatCode="0.00">
                  <c:v>12.31</c:v>
                </c:pt>
                <c:pt idx="113" formatCode="0.00">
                  <c:v>12.35</c:v>
                </c:pt>
                <c:pt idx="114" formatCode="0.00">
                  <c:v>12.11</c:v>
                </c:pt>
                <c:pt idx="115" formatCode="0.00">
                  <c:v>12.12</c:v>
                </c:pt>
                <c:pt idx="116" formatCode="0.00">
                  <c:v>12.15</c:v>
                </c:pt>
                <c:pt idx="117" formatCode="0.00">
                  <c:v>12.23</c:v>
                </c:pt>
                <c:pt idx="118" formatCode="0.00">
                  <c:v>12.2</c:v>
                </c:pt>
                <c:pt idx="119" formatCode="0.00">
                  <c:v>12.44</c:v>
                </c:pt>
                <c:pt idx="120" formatCode="0.00">
                  <c:v>12.16</c:v>
                </c:pt>
                <c:pt idx="121" formatCode="0.00">
                  <c:v>12.05</c:v>
                </c:pt>
                <c:pt idx="122" formatCode="0.00">
                  <c:v>11.99</c:v>
                </c:pt>
                <c:pt idx="123" formatCode="0.00">
                  <c:v>11.96</c:v>
                </c:pt>
                <c:pt idx="124" formatCode="0.00">
                  <c:v>11.96</c:v>
                </c:pt>
                <c:pt idx="125" formatCode="0.00">
                  <c:v>12.57</c:v>
                </c:pt>
                <c:pt idx="126" formatCode="0.00">
                  <c:v>12.36</c:v>
                </c:pt>
                <c:pt idx="127" formatCode="0.00">
                  <c:v>12.33</c:v>
                </c:pt>
                <c:pt idx="128" formatCode="0.00">
                  <c:v>12.19</c:v>
                </c:pt>
                <c:pt idx="129" formatCode="0.00">
                  <c:v>12.52</c:v>
                </c:pt>
                <c:pt idx="130" formatCode="0.00">
                  <c:v>12.34</c:v>
                </c:pt>
                <c:pt idx="131" formatCode="0.00">
                  <c:v>11.93</c:v>
                </c:pt>
                <c:pt idx="132" formatCode="0.00">
                  <c:v>12.19</c:v>
                </c:pt>
                <c:pt idx="133" formatCode="0.00">
                  <c:v>12.08</c:v>
                </c:pt>
                <c:pt idx="134" formatCode="0.00">
                  <c:v>12.06</c:v>
                </c:pt>
                <c:pt idx="135" formatCode="0.00">
                  <c:v>12.21</c:v>
                </c:pt>
                <c:pt idx="136" formatCode="0.00">
                  <c:v>12.73</c:v>
                </c:pt>
                <c:pt idx="137" formatCode="0.00">
                  <c:v>12.22</c:v>
                </c:pt>
                <c:pt idx="138" formatCode="0.00">
                  <c:v>12.01</c:v>
                </c:pt>
                <c:pt idx="139" formatCode="0.00">
                  <c:v>12.17</c:v>
                </c:pt>
                <c:pt idx="140" formatCode="0.00">
                  <c:v>12.55</c:v>
                </c:pt>
                <c:pt idx="141" formatCode="0.00">
                  <c:v>12.08</c:v>
                </c:pt>
                <c:pt idx="142" formatCode="0.00">
                  <c:v>12.01</c:v>
                </c:pt>
                <c:pt idx="143" formatCode="0.00">
                  <c:v>12.42</c:v>
                </c:pt>
                <c:pt idx="144" formatCode="0.00">
                  <c:v>12.11</c:v>
                </c:pt>
                <c:pt idx="145" formatCode="0.00">
                  <c:v>12.2</c:v>
                </c:pt>
                <c:pt idx="146" formatCode="0.00">
                  <c:v>12.01</c:v>
                </c:pt>
                <c:pt idx="147" formatCode="0.00">
                  <c:v>11.99</c:v>
                </c:pt>
                <c:pt idx="148" formatCode="0.00">
                  <c:v>12.6</c:v>
                </c:pt>
                <c:pt idx="149" formatCode="0.00">
                  <c:v>12.32</c:v>
                </c:pt>
                <c:pt idx="150" formatCode="0.00">
                  <c:v>12.2</c:v>
                </c:pt>
              </c:numCache>
            </c:numRef>
          </c:val>
          <c:smooth val="0"/>
          <c:extLst>
            <c:ext xmlns:c16="http://schemas.microsoft.com/office/drawing/2014/chart" uri="{C3380CC4-5D6E-409C-BE32-E72D297353CC}">
              <c16:uniqueId val="{00000001-9DE1-4D28-AECC-2BC4D3073F95}"/>
            </c:ext>
          </c:extLst>
        </c:ser>
        <c:ser>
          <c:idx val="2"/>
          <c:order val="2"/>
          <c:tx>
            <c:strRef>
              <c:f>'AVG surface temperature'!$H$1</c:f>
              <c:strCache>
                <c:ptCount val="1"/>
                <c:pt idx="0">
                  <c:v>SSP2-4.5</c:v>
                </c:pt>
              </c:strCache>
            </c:strRef>
          </c:tx>
          <c:spPr>
            <a:ln w="28575" cap="rnd">
              <a:solidFill>
                <a:schemeClr val="accent3"/>
              </a:solidFill>
              <a:round/>
            </a:ln>
            <a:effectLst/>
          </c:spPr>
          <c:marker>
            <c:symbol val="none"/>
          </c:marker>
          <c:val>
            <c:numRef>
              <c:f>'AVG surface temperature'!$H$2:$H$152</c:f>
              <c:numCache>
                <c:formatCode>General</c:formatCode>
                <c:ptCount val="151"/>
                <c:pt idx="64" formatCode="0.00">
                  <c:v>11.14</c:v>
                </c:pt>
                <c:pt idx="65" formatCode="0.00">
                  <c:v>11.26</c:v>
                </c:pt>
                <c:pt idx="66" formatCode="0.00">
                  <c:v>10.88</c:v>
                </c:pt>
                <c:pt idx="67" formatCode="0.00">
                  <c:v>11.02</c:v>
                </c:pt>
                <c:pt idx="68" formatCode="0.00">
                  <c:v>11.14</c:v>
                </c:pt>
                <c:pt idx="69" formatCode="0.00">
                  <c:v>11.12</c:v>
                </c:pt>
                <c:pt idx="70" formatCode="0.00">
                  <c:v>11.1</c:v>
                </c:pt>
                <c:pt idx="71" formatCode="0.00">
                  <c:v>11.51</c:v>
                </c:pt>
                <c:pt idx="72" formatCode="0.00">
                  <c:v>11.69</c:v>
                </c:pt>
                <c:pt idx="73" formatCode="0.00">
                  <c:v>11.42</c:v>
                </c:pt>
                <c:pt idx="74" formatCode="0.00">
                  <c:v>11.38</c:v>
                </c:pt>
                <c:pt idx="75" formatCode="0.00">
                  <c:v>11.74</c:v>
                </c:pt>
                <c:pt idx="76" formatCode="0.00">
                  <c:v>11.6</c:v>
                </c:pt>
                <c:pt idx="77" formatCode="0.00">
                  <c:v>11.52</c:v>
                </c:pt>
                <c:pt idx="78" formatCode="0.00">
                  <c:v>11.6</c:v>
                </c:pt>
                <c:pt idx="79" formatCode="0.00">
                  <c:v>11.7</c:v>
                </c:pt>
                <c:pt idx="80" formatCode="0.00">
                  <c:v>11.7</c:v>
                </c:pt>
                <c:pt idx="81" formatCode="0.00">
                  <c:v>11.69</c:v>
                </c:pt>
                <c:pt idx="82" formatCode="0.00">
                  <c:v>11.86</c:v>
                </c:pt>
                <c:pt idx="83" formatCode="0.00">
                  <c:v>11.6</c:v>
                </c:pt>
                <c:pt idx="84" formatCode="0.00">
                  <c:v>11.75</c:v>
                </c:pt>
                <c:pt idx="85" formatCode="0.00">
                  <c:v>11.95</c:v>
                </c:pt>
                <c:pt idx="86" formatCode="0.00">
                  <c:v>11.97</c:v>
                </c:pt>
                <c:pt idx="87" formatCode="0.00">
                  <c:v>11.96</c:v>
                </c:pt>
                <c:pt idx="88" formatCode="0.00">
                  <c:v>12.21</c:v>
                </c:pt>
                <c:pt idx="89" formatCode="0.00">
                  <c:v>12.15</c:v>
                </c:pt>
                <c:pt idx="90" formatCode="0.00">
                  <c:v>12.03</c:v>
                </c:pt>
                <c:pt idx="91" formatCode="0.00">
                  <c:v>11.7</c:v>
                </c:pt>
                <c:pt idx="92" formatCode="0.00">
                  <c:v>12.05</c:v>
                </c:pt>
                <c:pt idx="93" formatCode="0.00">
                  <c:v>12.03</c:v>
                </c:pt>
                <c:pt idx="94" formatCode="0.00">
                  <c:v>12</c:v>
                </c:pt>
                <c:pt idx="95" formatCode="0.00">
                  <c:v>12.04</c:v>
                </c:pt>
                <c:pt idx="96" formatCode="0.00">
                  <c:v>12.07</c:v>
                </c:pt>
                <c:pt idx="97" formatCode="0.00">
                  <c:v>12.24</c:v>
                </c:pt>
                <c:pt idx="98" formatCode="0.00">
                  <c:v>12.36</c:v>
                </c:pt>
                <c:pt idx="99" formatCode="0.00">
                  <c:v>12.05</c:v>
                </c:pt>
                <c:pt idx="100" formatCode="0.00">
                  <c:v>12.28</c:v>
                </c:pt>
                <c:pt idx="101" formatCode="0.00">
                  <c:v>12.3</c:v>
                </c:pt>
                <c:pt idx="102" formatCode="0.00">
                  <c:v>12.41</c:v>
                </c:pt>
                <c:pt idx="103" formatCode="0.00">
                  <c:v>12.59</c:v>
                </c:pt>
                <c:pt idx="104" formatCode="0.00">
                  <c:v>12.34</c:v>
                </c:pt>
                <c:pt idx="105" formatCode="0.00">
                  <c:v>12.54</c:v>
                </c:pt>
                <c:pt idx="106" formatCode="0.00">
                  <c:v>12.26</c:v>
                </c:pt>
                <c:pt idx="107" formatCode="0.00">
                  <c:v>12.47</c:v>
                </c:pt>
                <c:pt idx="108" formatCode="0.00">
                  <c:v>12.75</c:v>
                </c:pt>
                <c:pt idx="109" formatCode="0.00">
                  <c:v>12.82</c:v>
                </c:pt>
                <c:pt idx="110" formatCode="0.00">
                  <c:v>12.67</c:v>
                </c:pt>
                <c:pt idx="111" formatCode="0.00">
                  <c:v>12.66</c:v>
                </c:pt>
                <c:pt idx="112" formatCode="0.00">
                  <c:v>12.73</c:v>
                </c:pt>
                <c:pt idx="113" formatCode="0.00">
                  <c:v>12.81</c:v>
                </c:pt>
                <c:pt idx="114" formatCode="0.00">
                  <c:v>12.63</c:v>
                </c:pt>
                <c:pt idx="115" formatCode="0.00">
                  <c:v>12.99</c:v>
                </c:pt>
                <c:pt idx="116" formatCode="0.00">
                  <c:v>12.79</c:v>
                </c:pt>
                <c:pt idx="117" formatCode="0.00">
                  <c:v>13.03</c:v>
                </c:pt>
                <c:pt idx="118" formatCode="0.00">
                  <c:v>13.15</c:v>
                </c:pt>
                <c:pt idx="119" formatCode="0.00">
                  <c:v>12.82</c:v>
                </c:pt>
                <c:pt idx="120" formatCode="0.00">
                  <c:v>12.66</c:v>
                </c:pt>
                <c:pt idx="121" formatCode="0.00">
                  <c:v>13.1</c:v>
                </c:pt>
                <c:pt idx="122" formatCode="0.00">
                  <c:v>13.26</c:v>
                </c:pt>
                <c:pt idx="123" formatCode="0.00">
                  <c:v>12.85</c:v>
                </c:pt>
                <c:pt idx="124" formatCode="0.00">
                  <c:v>12.8</c:v>
                </c:pt>
                <c:pt idx="125" formatCode="0.00">
                  <c:v>12.84</c:v>
                </c:pt>
                <c:pt idx="126" formatCode="0.00">
                  <c:v>12.8</c:v>
                </c:pt>
                <c:pt idx="127" formatCode="0.00">
                  <c:v>13.24</c:v>
                </c:pt>
                <c:pt idx="128" formatCode="0.00">
                  <c:v>13.03</c:v>
                </c:pt>
                <c:pt idx="129" formatCode="0.00">
                  <c:v>13.16</c:v>
                </c:pt>
                <c:pt idx="130" formatCode="0.00">
                  <c:v>13.12</c:v>
                </c:pt>
                <c:pt idx="131" formatCode="0.00">
                  <c:v>13.16</c:v>
                </c:pt>
                <c:pt idx="132" formatCode="0.00">
                  <c:v>13.25</c:v>
                </c:pt>
                <c:pt idx="133" formatCode="0.00">
                  <c:v>13</c:v>
                </c:pt>
                <c:pt idx="134" formatCode="0.00">
                  <c:v>13.45</c:v>
                </c:pt>
                <c:pt idx="135" formatCode="0.00">
                  <c:v>13.41</c:v>
                </c:pt>
                <c:pt idx="136" formatCode="0.00">
                  <c:v>13.52</c:v>
                </c:pt>
                <c:pt idx="137" formatCode="0.00">
                  <c:v>13.33</c:v>
                </c:pt>
                <c:pt idx="138" formatCode="0.00">
                  <c:v>13.32</c:v>
                </c:pt>
                <c:pt idx="139" formatCode="0.00">
                  <c:v>13.32</c:v>
                </c:pt>
                <c:pt idx="140" formatCode="0.00">
                  <c:v>13.61</c:v>
                </c:pt>
                <c:pt idx="141" formatCode="0.00">
                  <c:v>13.42</c:v>
                </c:pt>
                <c:pt idx="142" formatCode="0.00">
                  <c:v>13.48</c:v>
                </c:pt>
                <c:pt idx="143" formatCode="0.00">
                  <c:v>13.09</c:v>
                </c:pt>
                <c:pt idx="144" formatCode="0.00">
                  <c:v>13.54</c:v>
                </c:pt>
                <c:pt idx="145" formatCode="0.00">
                  <c:v>13.16</c:v>
                </c:pt>
                <c:pt idx="146" formatCode="0.00">
                  <c:v>13.13</c:v>
                </c:pt>
                <c:pt idx="147" formatCode="0.00">
                  <c:v>13.56</c:v>
                </c:pt>
                <c:pt idx="148" formatCode="0.00">
                  <c:v>13.48</c:v>
                </c:pt>
                <c:pt idx="149" formatCode="0.00">
                  <c:v>13.76</c:v>
                </c:pt>
                <c:pt idx="150" formatCode="0.00">
                  <c:v>13.13</c:v>
                </c:pt>
              </c:numCache>
            </c:numRef>
          </c:val>
          <c:smooth val="0"/>
          <c:extLst>
            <c:ext xmlns:c16="http://schemas.microsoft.com/office/drawing/2014/chart" uri="{C3380CC4-5D6E-409C-BE32-E72D297353CC}">
              <c16:uniqueId val="{00000002-9DE1-4D28-AECC-2BC4D3073F95}"/>
            </c:ext>
          </c:extLst>
        </c:ser>
        <c:ser>
          <c:idx val="3"/>
          <c:order val="3"/>
          <c:tx>
            <c:strRef>
              <c:f>'AVG surface temperature'!$K$1</c:f>
              <c:strCache>
                <c:ptCount val="1"/>
                <c:pt idx="0">
                  <c:v>SSP3-7.0</c:v>
                </c:pt>
              </c:strCache>
            </c:strRef>
          </c:tx>
          <c:spPr>
            <a:ln w="28575" cap="rnd">
              <a:solidFill>
                <a:schemeClr val="accent4"/>
              </a:solidFill>
              <a:round/>
            </a:ln>
            <a:effectLst/>
          </c:spPr>
          <c:marker>
            <c:symbol val="none"/>
          </c:marker>
          <c:val>
            <c:numRef>
              <c:f>'AVG surface temperature'!$K$2:$K$152</c:f>
              <c:numCache>
                <c:formatCode>General</c:formatCode>
                <c:ptCount val="151"/>
                <c:pt idx="64" formatCode="0.00">
                  <c:v>11.14</c:v>
                </c:pt>
                <c:pt idx="65" formatCode="0.00">
                  <c:v>11.06</c:v>
                </c:pt>
                <c:pt idx="66" formatCode="0.00">
                  <c:v>11.07</c:v>
                </c:pt>
                <c:pt idx="67" formatCode="0.00">
                  <c:v>11.07</c:v>
                </c:pt>
                <c:pt idx="68" formatCode="0.00">
                  <c:v>11.13</c:v>
                </c:pt>
                <c:pt idx="69" formatCode="0.00">
                  <c:v>11.07</c:v>
                </c:pt>
                <c:pt idx="70" formatCode="0.00">
                  <c:v>10.8</c:v>
                </c:pt>
                <c:pt idx="71" formatCode="0.00">
                  <c:v>11.22</c:v>
                </c:pt>
                <c:pt idx="72" formatCode="0.00">
                  <c:v>11.15</c:v>
                </c:pt>
                <c:pt idx="73" formatCode="0.00">
                  <c:v>11.49</c:v>
                </c:pt>
                <c:pt idx="74" formatCode="0.00">
                  <c:v>11.36</c:v>
                </c:pt>
                <c:pt idx="75" formatCode="0.00">
                  <c:v>11.1</c:v>
                </c:pt>
                <c:pt idx="76" formatCode="0.00">
                  <c:v>11.51</c:v>
                </c:pt>
                <c:pt idx="77" formatCode="0.00">
                  <c:v>11.49</c:v>
                </c:pt>
                <c:pt idx="78" formatCode="0.00">
                  <c:v>11.47</c:v>
                </c:pt>
                <c:pt idx="79" formatCode="0.00">
                  <c:v>11.64</c:v>
                </c:pt>
                <c:pt idx="80" formatCode="0.00">
                  <c:v>11.63</c:v>
                </c:pt>
                <c:pt idx="81" formatCode="0.00">
                  <c:v>11.75</c:v>
                </c:pt>
                <c:pt idx="82" formatCode="0.00">
                  <c:v>11.97</c:v>
                </c:pt>
                <c:pt idx="83" formatCode="0.00">
                  <c:v>11.82</c:v>
                </c:pt>
                <c:pt idx="84" formatCode="0.00">
                  <c:v>11.69</c:v>
                </c:pt>
                <c:pt idx="85" formatCode="0.00">
                  <c:v>11.65</c:v>
                </c:pt>
                <c:pt idx="86" formatCode="0.00">
                  <c:v>11.66</c:v>
                </c:pt>
                <c:pt idx="87" formatCode="0.00">
                  <c:v>12.09</c:v>
                </c:pt>
                <c:pt idx="88" formatCode="0.00">
                  <c:v>11.91</c:v>
                </c:pt>
                <c:pt idx="89" formatCode="0.00">
                  <c:v>12.01</c:v>
                </c:pt>
                <c:pt idx="90" formatCode="0.00">
                  <c:v>12.16</c:v>
                </c:pt>
                <c:pt idx="91" formatCode="0.00">
                  <c:v>12.1</c:v>
                </c:pt>
                <c:pt idx="92" formatCode="0.00">
                  <c:v>11.92</c:v>
                </c:pt>
                <c:pt idx="93" formatCode="0.00">
                  <c:v>12.08</c:v>
                </c:pt>
                <c:pt idx="94" formatCode="0.00">
                  <c:v>12.14</c:v>
                </c:pt>
                <c:pt idx="95" formatCode="0.00">
                  <c:v>12.17</c:v>
                </c:pt>
                <c:pt idx="96" formatCode="0.00">
                  <c:v>11.96</c:v>
                </c:pt>
                <c:pt idx="97" formatCode="0.00">
                  <c:v>12.17</c:v>
                </c:pt>
                <c:pt idx="98" formatCode="0.00">
                  <c:v>12.66</c:v>
                </c:pt>
                <c:pt idx="99" formatCode="0.00">
                  <c:v>12.55</c:v>
                </c:pt>
                <c:pt idx="100" formatCode="0.00">
                  <c:v>12.13</c:v>
                </c:pt>
                <c:pt idx="101" formatCode="0.00">
                  <c:v>12.66</c:v>
                </c:pt>
                <c:pt idx="102" formatCode="0.00">
                  <c:v>12.87</c:v>
                </c:pt>
                <c:pt idx="103" formatCode="0.00">
                  <c:v>12.64</c:v>
                </c:pt>
                <c:pt idx="104" formatCode="0.00">
                  <c:v>12.46</c:v>
                </c:pt>
                <c:pt idx="105" formatCode="0.00">
                  <c:v>12.71</c:v>
                </c:pt>
                <c:pt idx="106" formatCode="0.00">
                  <c:v>12.76</c:v>
                </c:pt>
                <c:pt idx="107" formatCode="0.00">
                  <c:v>12.63</c:v>
                </c:pt>
                <c:pt idx="108" formatCode="0.00">
                  <c:v>12.65</c:v>
                </c:pt>
                <c:pt idx="109" formatCode="0.00">
                  <c:v>13.07</c:v>
                </c:pt>
                <c:pt idx="110" formatCode="0.00">
                  <c:v>12.59</c:v>
                </c:pt>
                <c:pt idx="111" formatCode="0.00">
                  <c:v>12.88</c:v>
                </c:pt>
                <c:pt idx="112" formatCode="0.00">
                  <c:v>13.22</c:v>
                </c:pt>
                <c:pt idx="113" formatCode="0.00">
                  <c:v>13.38</c:v>
                </c:pt>
                <c:pt idx="114" formatCode="0.00">
                  <c:v>13.33</c:v>
                </c:pt>
                <c:pt idx="115" formatCode="0.00">
                  <c:v>13.2</c:v>
                </c:pt>
                <c:pt idx="116" formatCode="0.00">
                  <c:v>13.52</c:v>
                </c:pt>
                <c:pt idx="117" formatCode="0.00">
                  <c:v>13.04</c:v>
                </c:pt>
                <c:pt idx="118" formatCode="0.00">
                  <c:v>13.48</c:v>
                </c:pt>
                <c:pt idx="119" formatCode="0.00">
                  <c:v>13.28</c:v>
                </c:pt>
                <c:pt idx="120" formatCode="0.00">
                  <c:v>13.41</c:v>
                </c:pt>
                <c:pt idx="121" formatCode="0.00">
                  <c:v>13.48</c:v>
                </c:pt>
                <c:pt idx="122" formatCode="0.00">
                  <c:v>13.63</c:v>
                </c:pt>
                <c:pt idx="123" formatCode="0.00">
                  <c:v>13.58</c:v>
                </c:pt>
                <c:pt idx="124" formatCode="0.00">
                  <c:v>13.67</c:v>
                </c:pt>
                <c:pt idx="125" formatCode="0.00">
                  <c:v>13.46</c:v>
                </c:pt>
                <c:pt idx="126" formatCode="0.00">
                  <c:v>13.92</c:v>
                </c:pt>
                <c:pt idx="127" formatCode="0.00">
                  <c:v>14</c:v>
                </c:pt>
                <c:pt idx="128" formatCode="0.00">
                  <c:v>14.1</c:v>
                </c:pt>
                <c:pt idx="129" formatCode="0.00">
                  <c:v>13.64</c:v>
                </c:pt>
                <c:pt idx="130" formatCode="0.00">
                  <c:v>13.95</c:v>
                </c:pt>
                <c:pt idx="131" formatCode="0.00">
                  <c:v>14.38</c:v>
                </c:pt>
                <c:pt idx="132" formatCode="0.00">
                  <c:v>13.93</c:v>
                </c:pt>
                <c:pt idx="133" formatCode="0.00">
                  <c:v>14.23</c:v>
                </c:pt>
                <c:pt idx="134" formatCode="0.00">
                  <c:v>14.71</c:v>
                </c:pt>
                <c:pt idx="135" formatCode="0.00">
                  <c:v>14.48</c:v>
                </c:pt>
                <c:pt idx="136" formatCode="0.00">
                  <c:v>14.22</c:v>
                </c:pt>
                <c:pt idx="137" formatCode="0.00">
                  <c:v>14.27</c:v>
                </c:pt>
                <c:pt idx="138" formatCode="0.00">
                  <c:v>14.67</c:v>
                </c:pt>
                <c:pt idx="139" formatCode="0.00">
                  <c:v>14.55</c:v>
                </c:pt>
                <c:pt idx="140" formatCode="0.00">
                  <c:v>14.69</c:v>
                </c:pt>
                <c:pt idx="141" formatCode="0.00">
                  <c:v>14.69</c:v>
                </c:pt>
                <c:pt idx="142" formatCode="0.00">
                  <c:v>14.37</c:v>
                </c:pt>
                <c:pt idx="143" formatCode="0.00">
                  <c:v>14.84</c:v>
                </c:pt>
                <c:pt idx="144" formatCode="0.00">
                  <c:v>14.8</c:v>
                </c:pt>
                <c:pt idx="145" formatCode="0.00">
                  <c:v>14.44</c:v>
                </c:pt>
                <c:pt idx="146" formatCode="0.00">
                  <c:v>15.32</c:v>
                </c:pt>
                <c:pt idx="147" formatCode="0.00">
                  <c:v>15.19</c:v>
                </c:pt>
                <c:pt idx="148" formatCode="0.00">
                  <c:v>15.16</c:v>
                </c:pt>
                <c:pt idx="149" formatCode="0.00">
                  <c:v>15.2</c:v>
                </c:pt>
                <c:pt idx="150" formatCode="0.00">
                  <c:v>14.64</c:v>
                </c:pt>
              </c:numCache>
            </c:numRef>
          </c:val>
          <c:smooth val="0"/>
          <c:extLst>
            <c:ext xmlns:c16="http://schemas.microsoft.com/office/drawing/2014/chart" uri="{C3380CC4-5D6E-409C-BE32-E72D297353CC}">
              <c16:uniqueId val="{00000003-9DE1-4D28-AECC-2BC4D3073F95}"/>
            </c:ext>
          </c:extLst>
        </c:ser>
        <c:ser>
          <c:idx val="4"/>
          <c:order val="4"/>
          <c:tx>
            <c:strRef>
              <c:f>'AVG surface temperature'!$N$1</c:f>
              <c:strCache>
                <c:ptCount val="1"/>
                <c:pt idx="0">
                  <c:v>SSP5-8.5</c:v>
                </c:pt>
              </c:strCache>
            </c:strRef>
          </c:tx>
          <c:spPr>
            <a:ln w="28575" cap="rnd">
              <a:solidFill>
                <a:schemeClr val="accent5"/>
              </a:solidFill>
              <a:round/>
            </a:ln>
            <a:effectLst/>
          </c:spPr>
          <c:marker>
            <c:symbol val="none"/>
          </c:marker>
          <c:val>
            <c:numRef>
              <c:f>'AVG surface temperature'!$N$2:$N$152</c:f>
              <c:numCache>
                <c:formatCode>General</c:formatCode>
                <c:ptCount val="151"/>
                <c:pt idx="64" formatCode="0.00">
                  <c:v>11.14</c:v>
                </c:pt>
                <c:pt idx="65" formatCode="0.00">
                  <c:v>10.89</c:v>
                </c:pt>
                <c:pt idx="66" formatCode="0.00">
                  <c:v>11.47</c:v>
                </c:pt>
                <c:pt idx="67" formatCode="0.00">
                  <c:v>11.35</c:v>
                </c:pt>
                <c:pt idx="68" formatCode="0.00">
                  <c:v>11.19</c:v>
                </c:pt>
                <c:pt idx="69" formatCode="0.00">
                  <c:v>11.49</c:v>
                </c:pt>
                <c:pt idx="70" formatCode="0.00">
                  <c:v>11.61</c:v>
                </c:pt>
                <c:pt idx="71" formatCode="0.00">
                  <c:v>11.61</c:v>
                </c:pt>
                <c:pt idx="72" formatCode="0.00">
                  <c:v>11.51</c:v>
                </c:pt>
                <c:pt idx="73" formatCode="0.00">
                  <c:v>11.4</c:v>
                </c:pt>
                <c:pt idx="74" formatCode="0.00">
                  <c:v>11.66</c:v>
                </c:pt>
                <c:pt idx="75" formatCode="0.00">
                  <c:v>11.59</c:v>
                </c:pt>
                <c:pt idx="76" formatCode="0.00">
                  <c:v>11.74</c:v>
                </c:pt>
                <c:pt idx="77" formatCode="0.00">
                  <c:v>11.69</c:v>
                </c:pt>
                <c:pt idx="78" formatCode="0.00">
                  <c:v>11.72</c:v>
                </c:pt>
                <c:pt idx="79" formatCode="0.00">
                  <c:v>11.91</c:v>
                </c:pt>
                <c:pt idx="80" formatCode="0.00">
                  <c:v>12.1</c:v>
                </c:pt>
                <c:pt idx="81" formatCode="0.00">
                  <c:v>11.81</c:v>
                </c:pt>
                <c:pt idx="82" formatCode="0.00">
                  <c:v>11.89</c:v>
                </c:pt>
                <c:pt idx="83" formatCode="0.00">
                  <c:v>11.84</c:v>
                </c:pt>
                <c:pt idx="84" formatCode="0.00">
                  <c:v>12.42</c:v>
                </c:pt>
                <c:pt idx="85" formatCode="0.00">
                  <c:v>12.11</c:v>
                </c:pt>
                <c:pt idx="86" formatCode="0.00">
                  <c:v>12.06</c:v>
                </c:pt>
                <c:pt idx="87" formatCode="0.00">
                  <c:v>12.36</c:v>
                </c:pt>
                <c:pt idx="88" formatCode="0.00">
                  <c:v>12.5</c:v>
                </c:pt>
                <c:pt idx="89" formatCode="0.00">
                  <c:v>12.4</c:v>
                </c:pt>
                <c:pt idx="90" formatCode="0.00">
                  <c:v>12.13</c:v>
                </c:pt>
                <c:pt idx="91" formatCode="0.00">
                  <c:v>12.42</c:v>
                </c:pt>
                <c:pt idx="92" formatCode="0.00">
                  <c:v>12.26</c:v>
                </c:pt>
                <c:pt idx="93" formatCode="0.00">
                  <c:v>12.64</c:v>
                </c:pt>
                <c:pt idx="94" formatCode="0.00">
                  <c:v>12.17</c:v>
                </c:pt>
                <c:pt idx="95" formatCode="0.00">
                  <c:v>12.59</c:v>
                </c:pt>
                <c:pt idx="96" formatCode="0.00">
                  <c:v>12.98</c:v>
                </c:pt>
                <c:pt idx="97" formatCode="0.00">
                  <c:v>12.83</c:v>
                </c:pt>
                <c:pt idx="98" formatCode="0.00">
                  <c:v>12.76</c:v>
                </c:pt>
                <c:pt idx="99" formatCode="0.00">
                  <c:v>12.92</c:v>
                </c:pt>
                <c:pt idx="100" formatCode="0.00">
                  <c:v>13.04</c:v>
                </c:pt>
                <c:pt idx="101" formatCode="0.00">
                  <c:v>13</c:v>
                </c:pt>
                <c:pt idx="102" formatCode="0.00">
                  <c:v>13.14</c:v>
                </c:pt>
                <c:pt idx="103" formatCode="0.00">
                  <c:v>12.9</c:v>
                </c:pt>
                <c:pt idx="104" formatCode="0.00">
                  <c:v>13.39</c:v>
                </c:pt>
                <c:pt idx="105" formatCode="0.00">
                  <c:v>13.26</c:v>
                </c:pt>
                <c:pt idx="106" formatCode="0.00">
                  <c:v>13.38</c:v>
                </c:pt>
                <c:pt idx="107" formatCode="0.00">
                  <c:v>13.35</c:v>
                </c:pt>
                <c:pt idx="108" formatCode="0.00">
                  <c:v>13.61</c:v>
                </c:pt>
                <c:pt idx="109" formatCode="0.00">
                  <c:v>13.77</c:v>
                </c:pt>
                <c:pt idx="110" formatCode="0.00">
                  <c:v>13.67</c:v>
                </c:pt>
                <c:pt idx="111" formatCode="0.00">
                  <c:v>13.52</c:v>
                </c:pt>
                <c:pt idx="112" formatCode="0.00">
                  <c:v>13.61</c:v>
                </c:pt>
                <c:pt idx="113" formatCode="0.00">
                  <c:v>13.67</c:v>
                </c:pt>
                <c:pt idx="114" formatCode="0.00">
                  <c:v>13.95</c:v>
                </c:pt>
                <c:pt idx="115" formatCode="0.00">
                  <c:v>14.01</c:v>
                </c:pt>
                <c:pt idx="116" formatCode="0.00">
                  <c:v>13.96</c:v>
                </c:pt>
                <c:pt idx="117" formatCode="0.00">
                  <c:v>14.2</c:v>
                </c:pt>
                <c:pt idx="118" formatCode="0.00">
                  <c:v>14.08</c:v>
                </c:pt>
                <c:pt idx="119" formatCode="0.00">
                  <c:v>14.37</c:v>
                </c:pt>
                <c:pt idx="120" formatCode="0.00">
                  <c:v>14.25</c:v>
                </c:pt>
                <c:pt idx="121" formatCode="0.00">
                  <c:v>14.38</c:v>
                </c:pt>
                <c:pt idx="122" formatCode="0.00">
                  <c:v>14.58</c:v>
                </c:pt>
                <c:pt idx="123" formatCode="0.00">
                  <c:v>14.63</c:v>
                </c:pt>
                <c:pt idx="124" formatCode="0.00">
                  <c:v>14.81</c:v>
                </c:pt>
                <c:pt idx="125" formatCode="0.00">
                  <c:v>14.75</c:v>
                </c:pt>
                <c:pt idx="126" formatCode="0.00">
                  <c:v>15.06</c:v>
                </c:pt>
                <c:pt idx="127" formatCode="0.00">
                  <c:v>14.71</c:v>
                </c:pt>
                <c:pt idx="128" formatCode="0.00">
                  <c:v>14.81</c:v>
                </c:pt>
                <c:pt idx="129" formatCode="0.00">
                  <c:v>15.06</c:v>
                </c:pt>
                <c:pt idx="130" formatCode="0.00">
                  <c:v>15.01</c:v>
                </c:pt>
                <c:pt idx="131" formatCode="0.00">
                  <c:v>14.94</c:v>
                </c:pt>
                <c:pt idx="132" formatCode="0.00">
                  <c:v>15.43</c:v>
                </c:pt>
                <c:pt idx="133" formatCode="0.00">
                  <c:v>15.56</c:v>
                </c:pt>
                <c:pt idx="134" formatCode="0.00">
                  <c:v>15.36</c:v>
                </c:pt>
                <c:pt idx="135" formatCode="0.00">
                  <c:v>15.44</c:v>
                </c:pt>
                <c:pt idx="136" formatCode="0.00">
                  <c:v>15.56</c:v>
                </c:pt>
                <c:pt idx="137" formatCode="0.00">
                  <c:v>15.81</c:v>
                </c:pt>
                <c:pt idx="138" formatCode="0.00">
                  <c:v>15.91</c:v>
                </c:pt>
                <c:pt idx="139" formatCode="0.00">
                  <c:v>15.66</c:v>
                </c:pt>
                <c:pt idx="140" formatCode="0.00">
                  <c:v>16.21</c:v>
                </c:pt>
                <c:pt idx="141" formatCode="0.00">
                  <c:v>16.02</c:v>
                </c:pt>
                <c:pt idx="142" formatCode="0.00">
                  <c:v>16.350000000000001</c:v>
                </c:pt>
                <c:pt idx="143" formatCode="0.00">
                  <c:v>16.239999999999998</c:v>
                </c:pt>
                <c:pt idx="144" formatCode="0.00">
                  <c:v>16.46</c:v>
                </c:pt>
                <c:pt idx="145" formatCode="0.00">
                  <c:v>16.61</c:v>
                </c:pt>
                <c:pt idx="146" formatCode="0.00">
                  <c:v>16.510000000000002</c:v>
                </c:pt>
                <c:pt idx="147" formatCode="0.00">
                  <c:v>16.649999999999999</c:v>
                </c:pt>
                <c:pt idx="148" formatCode="0.00">
                  <c:v>16.97</c:v>
                </c:pt>
                <c:pt idx="149" formatCode="0.00">
                  <c:v>16.54</c:v>
                </c:pt>
                <c:pt idx="150" formatCode="0.00">
                  <c:v>17.34</c:v>
                </c:pt>
              </c:numCache>
            </c:numRef>
          </c:val>
          <c:smooth val="0"/>
          <c:extLst>
            <c:ext xmlns:c16="http://schemas.microsoft.com/office/drawing/2014/chart" uri="{C3380CC4-5D6E-409C-BE32-E72D297353CC}">
              <c16:uniqueId val="{00000004-9DE1-4D28-AECC-2BC4D3073F95}"/>
            </c:ext>
          </c:extLst>
        </c:ser>
        <c:dLbls>
          <c:showLegendKey val="0"/>
          <c:showVal val="0"/>
          <c:showCatName val="0"/>
          <c:showSerName val="0"/>
          <c:showPercent val="0"/>
          <c:showBubbleSize val="0"/>
        </c:dLbls>
        <c:smooth val="0"/>
        <c:axId val="821271519"/>
        <c:axId val="821269119"/>
      </c:lineChart>
      <c:catAx>
        <c:axId val="821271519"/>
        <c:scaling>
          <c:orientation val="minMax"/>
        </c:scaling>
        <c:delete val="0"/>
        <c:axPos val="b"/>
        <c:numFmt formatCode="0"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269119"/>
        <c:crosses val="autoZero"/>
        <c:auto val="1"/>
        <c:lblAlgn val="ctr"/>
        <c:lblOffset val="100"/>
        <c:tickLblSkip val="10"/>
        <c:tickMarkSkip val="10"/>
        <c:noMultiLvlLbl val="0"/>
      </c:catAx>
      <c:valAx>
        <c:axId val="821269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Average temperature (°C)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12715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92316817604603"/>
          <c:y val="6.8090374497059736E-2"/>
          <c:w val="0.85694024146713088"/>
          <c:h val="0.66528390079373778"/>
        </c:manualLayout>
      </c:layout>
      <c:lineChart>
        <c:grouping val="standard"/>
        <c:varyColors val="0"/>
        <c:ser>
          <c:idx val="0"/>
          <c:order val="0"/>
          <c:tx>
            <c:strRef>
              <c:f>'Precipitation anomaly'!$B$1</c:f>
              <c:strCache>
                <c:ptCount val="1"/>
                <c:pt idx="0">
                  <c:v>SSP1-2.6</c:v>
                </c:pt>
              </c:strCache>
            </c:strRef>
          </c:tx>
          <c:spPr>
            <a:ln w="28575" cap="rnd">
              <a:solidFill>
                <a:schemeClr val="accent1"/>
              </a:solidFill>
              <a:round/>
            </a:ln>
            <a:effectLst/>
          </c:spPr>
          <c:marker>
            <c:symbol val="none"/>
          </c:marker>
          <c:cat>
            <c:strRef>
              <c:f>'Precipitation anomaly'!$A$2:$A$13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'Precipitation anomaly'!$B$2:$B$13</c:f>
              <c:numCache>
                <c:formatCode>0.00</c:formatCode>
                <c:ptCount val="12"/>
                <c:pt idx="0">
                  <c:v>4.1100000000000003</c:v>
                </c:pt>
                <c:pt idx="1">
                  <c:v>2.15</c:v>
                </c:pt>
                <c:pt idx="2">
                  <c:v>7.01</c:v>
                </c:pt>
                <c:pt idx="3">
                  <c:v>-2.13</c:v>
                </c:pt>
                <c:pt idx="4">
                  <c:v>-5.83</c:v>
                </c:pt>
                <c:pt idx="5">
                  <c:v>-3.6</c:v>
                </c:pt>
                <c:pt idx="6">
                  <c:v>-5.49</c:v>
                </c:pt>
                <c:pt idx="7">
                  <c:v>-3.91</c:v>
                </c:pt>
                <c:pt idx="8">
                  <c:v>-2.02</c:v>
                </c:pt>
                <c:pt idx="9">
                  <c:v>-3.08</c:v>
                </c:pt>
                <c:pt idx="10">
                  <c:v>0.27</c:v>
                </c:pt>
                <c:pt idx="11">
                  <c:v>0.37</c:v>
                </c:pt>
              </c:numCache>
            </c:numRef>
          </c:val>
          <c:smooth val="0"/>
          <c:extLst>
            <c:ext xmlns:c16="http://schemas.microsoft.com/office/drawing/2014/chart" uri="{C3380CC4-5D6E-409C-BE32-E72D297353CC}">
              <c16:uniqueId val="{00000000-55C8-418E-8BC5-EB1644EFE474}"/>
            </c:ext>
          </c:extLst>
        </c:ser>
        <c:ser>
          <c:idx val="2"/>
          <c:order val="1"/>
          <c:tx>
            <c:strRef>
              <c:f>'Precipitation anomaly'!$E$1</c:f>
              <c:strCache>
                <c:ptCount val="1"/>
                <c:pt idx="0">
                  <c:v>SSP2-4.5</c:v>
                </c:pt>
              </c:strCache>
            </c:strRef>
          </c:tx>
          <c:spPr>
            <a:ln w="28575" cap="rnd">
              <a:solidFill>
                <a:schemeClr val="accent3"/>
              </a:solidFill>
              <a:round/>
            </a:ln>
            <a:effectLst/>
          </c:spPr>
          <c:marker>
            <c:symbol val="none"/>
          </c:marker>
          <c:cat>
            <c:strRef>
              <c:f>'Precipitation anomaly'!$A$2:$A$13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'Precipitation anomaly'!$E$2:$E$13</c:f>
              <c:numCache>
                <c:formatCode>0.00</c:formatCode>
                <c:ptCount val="12"/>
                <c:pt idx="0">
                  <c:v>1.62</c:v>
                </c:pt>
                <c:pt idx="1">
                  <c:v>4.83</c:v>
                </c:pt>
                <c:pt idx="2">
                  <c:v>6.51</c:v>
                </c:pt>
                <c:pt idx="3">
                  <c:v>-1.84</c:v>
                </c:pt>
                <c:pt idx="4">
                  <c:v>-2.75</c:v>
                </c:pt>
                <c:pt idx="5">
                  <c:v>-6</c:v>
                </c:pt>
                <c:pt idx="6">
                  <c:v>-10.49</c:v>
                </c:pt>
                <c:pt idx="7">
                  <c:v>-11.21</c:v>
                </c:pt>
                <c:pt idx="8">
                  <c:v>-14.64</c:v>
                </c:pt>
                <c:pt idx="9">
                  <c:v>-2.5299999999999998</c:v>
                </c:pt>
                <c:pt idx="10">
                  <c:v>-2.15</c:v>
                </c:pt>
                <c:pt idx="11">
                  <c:v>-0.61</c:v>
                </c:pt>
              </c:numCache>
            </c:numRef>
          </c:val>
          <c:smooth val="0"/>
          <c:extLst>
            <c:ext xmlns:c16="http://schemas.microsoft.com/office/drawing/2014/chart" uri="{C3380CC4-5D6E-409C-BE32-E72D297353CC}">
              <c16:uniqueId val="{00000001-55C8-418E-8BC5-EB1644EFE474}"/>
            </c:ext>
          </c:extLst>
        </c:ser>
        <c:ser>
          <c:idx val="1"/>
          <c:order val="2"/>
          <c:tx>
            <c:strRef>
              <c:f>'Precipitation anomaly'!$H$1</c:f>
              <c:strCache>
                <c:ptCount val="1"/>
                <c:pt idx="0">
                  <c:v>SSP3-7.0</c:v>
                </c:pt>
              </c:strCache>
            </c:strRef>
          </c:tx>
          <c:spPr>
            <a:ln w="28575" cap="rnd">
              <a:solidFill>
                <a:schemeClr val="accent2"/>
              </a:solidFill>
              <a:round/>
            </a:ln>
            <a:effectLst/>
          </c:spPr>
          <c:marker>
            <c:symbol val="none"/>
          </c:marker>
          <c:cat>
            <c:strRef>
              <c:f>'Precipitation anomaly'!$A$2:$A$13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'Precipitation anomaly'!$H$2:$H$13</c:f>
              <c:numCache>
                <c:formatCode>0.00</c:formatCode>
                <c:ptCount val="12"/>
                <c:pt idx="0">
                  <c:v>-1.75</c:v>
                </c:pt>
                <c:pt idx="1">
                  <c:v>-0.45</c:v>
                </c:pt>
                <c:pt idx="2">
                  <c:v>-2.61</c:v>
                </c:pt>
                <c:pt idx="3">
                  <c:v>-10.1</c:v>
                </c:pt>
                <c:pt idx="4">
                  <c:v>-12.01</c:v>
                </c:pt>
                <c:pt idx="5">
                  <c:v>-17.489999999999998</c:v>
                </c:pt>
                <c:pt idx="6">
                  <c:v>-21.5</c:v>
                </c:pt>
                <c:pt idx="7">
                  <c:v>-16.170000000000002</c:v>
                </c:pt>
                <c:pt idx="8">
                  <c:v>-14.28</c:v>
                </c:pt>
                <c:pt idx="9">
                  <c:v>-10.28</c:v>
                </c:pt>
                <c:pt idx="10">
                  <c:v>-4.9800000000000004</c:v>
                </c:pt>
                <c:pt idx="11">
                  <c:v>-0.69</c:v>
                </c:pt>
              </c:numCache>
            </c:numRef>
          </c:val>
          <c:smooth val="0"/>
          <c:extLst>
            <c:ext xmlns:c16="http://schemas.microsoft.com/office/drawing/2014/chart" uri="{C3380CC4-5D6E-409C-BE32-E72D297353CC}">
              <c16:uniqueId val="{00000002-55C8-418E-8BC5-EB1644EFE474}"/>
            </c:ext>
          </c:extLst>
        </c:ser>
        <c:ser>
          <c:idx val="3"/>
          <c:order val="3"/>
          <c:tx>
            <c:strRef>
              <c:f>'Precipitation anomaly'!$K$1</c:f>
              <c:strCache>
                <c:ptCount val="1"/>
                <c:pt idx="0">
                  <c:v>SSP5-8.5</c:v>
                </c:pt>
              </c:strCache>
            </c:strRef>
          </c:tx>
          <c:spPr>
            <a:ln w="28575" cap="rnd">
              <a:solidFill>
                <a:schemeClr val="accent4"/>
              </a:solidFill>
              <a:round/>
            </a:ln>
            <a:effectLst/>
          </c:spPr>
          <c:marker>
            <c:symbol val="none"/>
          </c:marker>
          <c:cat>
            <c:strRef>
              <c:f>'Precipitation anomaly'!$A$2:$A$13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'Precipitation anomaly'!$K$2:$K$13</c:f>
              <c:numCache>
                <c:formatCode>0.00</c:formatCode>
                <c:ptCount val="12"/>
                <c:pt idx="0">
                  <c:v>-3.2</c:v>
                </c:pt>
                <c:pt idx="1">
                  <c:v>0.5</c:v>
                </c:pt>
                <c:pt idx="2">
                  <c:v>0.61</c:v>
                </c:pt>
                <c:pt idx="3">
                  <c:v>-12.78</c:v>
                </c:pt>
                <c:pt idx="4">
                  <c:v>-18.78</c:v>
                </c:pt>
                <c:pt idx="5">
                  <c:v>-20.82</c:v>
                </c:pt>
                <c:pt idx="6">
                  <c:v>-23.71</c:v>
                </c:pt>
                <c:pt idx="7">
                  <c:v>-20.239999999999998</c:v>
                </c:pt>
                <c:pt idx="8">
                  <c:v>-16.5</c:v>
                </c:pt>
                <c:pt idx="9">
                  <c:v>-14.15</c:v>
                </c:pt>
                <c:pt idx="10">
                  <c:v>-7.26</c:v>
                </c:pt>
                <c:pt idx="11">
                  <c:v>-3.3</c:v>
                </c:pt>
              </c:numCache>
            </c:numRef>
          </c:val>
          <c:smooth val="0"/>
          <c:extLst>
            <c:ext xmlns:c16="http://schemas.microsoft.com/office/drawing/2014/chart" uri="{C3380CC4-5D6E-409C-BE32-E72D297353CC}">
              <c16:uniqueId val="{00000003-55C8-418E-8BC5-EB1644EFE474}"/>
            </c:ext>
          </c:extLst>
        </c:ser>
        <c:dLbls>
          <c:showLegendKey val="0"/>
          <c:showVal val="0"/>
          <c:showCatName val="0"/>
          <c:showSerName val="0"/>
          <c:showPercent val="0"/>
          <c:showBubbleSize val="0"/>
        </c:dLbls>
        <c:smooth val="0"/>
        <c:axId val="845093855"/>
        <c:axId val="845094335"/>
      </c:lineChart>
      <c:catAx>
        <c:axId val="84509385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094335"/>
        <c:crossesAt val="-30"/>
        <c:auto val="1"/>
        <c:lblAlgn val="ctr"/>
        <c:lblOffset val="0"/>
        <c:noMultiLvlLbl val="0"/>
      </c:catAx>
      <c:valAx>
        <c:axId val="845094335"/>
        <c:scaling>
          <c:orientation val="minMax"/>
          <c:max val="10"/>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Precipitation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093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458227217146822E-2"/>
          <c:y val="1.6420361247947456E-2"/>
          <c:w val="0.89924998247622612"/>
          <c:h val="0.83227131091372197"/>
        </c:manualLayout>
      </c:layout>
      <c:barChart>
        <c:barDir val="bar"/>
        <c:grouping val="clustered"/>
        <c:varyColors val="0"/>
        <c:ser>
          <c:idx val="0"/>
          <c:order val="0"/>
          <c:tx>
            <c:strRef>
              <c:f>Sheet1!$C$6</c:f>
              <c:strCache>
                <c:ptCount val="1"/>
                <c:pt idx="0">
                  <c:v>Albania</c:v>
                </c:pt>
              </c:strCache>
            </c:strRef>
          </c:tx>
          <c:spPr>
            <a:solidFill>
              <a:schemeClr val="accent1"/>
            </a:solidFill>
            <a:ln>
              <a:noFill/>
            </a:ln>
            <a:effectLst/>
          </c:spPr>
          <c:invertIfNegative val="0"/>
          <c:dLbls>
            <c:dLbl>
              <c:idx val="4"/>
              <c:layout>
                <c:manualLayout>
                  <c:x val="-5.0925337632079971E-17"/>
                  <c:y val="7.76397515527943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29-427C-89B6-86B44DFAFB32}"/>
                </c:ext>
              </c:extLst>
            </c:dLbl>
            <c:dLbl>
              <c:idx val="5"/>
              <c:layout>
                <c:manualLayout>
                  <c:x val="0"/>
                  <c:y val="7.76397515527943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29-427C-89B6-86B44DFAFB32}"/>
                </c:ext>
              </c:extLst>
            </c:dLbl>
            <c:dLbl>
              <c:idx val="6"/>
              <c:layout>
                <c:manualLayout>
                  <c:x val="0"/>
                  <c:y val="3.881987577639751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29-427C-89B6-86B44DFAFB32}"/>
                </c:ext>
              </c:extLst>
            </c:dLbl>
            <c:dLbl>
              <c:idx val="7"/>
              <c:layout>
                <c:manualLayout>
                  <c:x val="-2.5462668816039986E-17"/>
                  <c:y val="7.7639751552795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29-427C-89B6-86B44DFAFB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Sheet1!$D$5:$L$5</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Sheet1!$D$6:$L$6</c:f>
              <c:numCache>
                <c:formatCode>General</c:formatCode>
                <c:ptCount val="9"/>
                <c:pt idx="0">
                  <c:v>110</c:v>
                </c:pt>
                <c:pt idx="1">
                  <c:v>174</c:v>
                </c:pt>
                <c:pt idx="2">
                  <c:v>15</c:v>
                </c:pt>
                <c:pt idx="3">
                  <c:v>111</c:v>
                </c:pt>
                <c:pt idx="4">
                  <c:v>114</c:v>
                </c:pt>
                <c:pt idx="5">
                  <c:v>34</c:v>
                </c:pt>
                <c:pt idx="6">
                  <c:v>66</c:v>
                </c:pt>
                <c:pt idx="7">
                  <c:v>70</c:v>
                </c:pt>
                <c:pt idx="8">
                  <c:v>304</c:v>
                </c:pt>
              </c:numCache>
            </c:numRef>
          </c:val>
          <c:extLst>
            <c:ext xmlns:c16="http://schemas.microsoft.com/office/drawing/2014/chart" uri="{C3380CC4-5D6E-409C-BE32-E72D297353CC}">
              <c16:uniqueId val="{00000004-1829-427C-89B6-86B44DFAFB32}"/>
            </c:ext>
          </c:extLst>
        </c:ser>
        <c:ser>
          <c:idx val="1"/>
          <c:order val="1"/>
          <c:tx>
            <c:strRef>
              <c:f>Sheet1!$C$7</c:f>
              <c:strCache>
                <c:ptCount val="1"/>
                <c:pt idx="0">
                  <c:v>Kosovo</c:v>
                </c:pt>
              </c:strCache>
            </c:strRef>
          </c:tx>
          <c:spPr>
            <a:solidFill>
              <a:schemeClr val="accent2"/>
            </a:solidFill>
            <a:ln>
              <a:noFill/>
            </a:ln>
            <a:effectLst/>
          </c:spPr>
          <c:invertIfNegative val="0"/>
          <c:dLbls>
            <c:dLbl>
              <c:idx val="0"/>
              <c:layout>
                <c:manualLayout>
                  <c:x val="0"/>
                  <c:y val="-7.76397515527964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29-427C-89B6-86B44DFAFB32}"/>
                </c:ext>
              </c:extLst>
            </c:dLbl>
            <c:dLbl>
              <c:idx val="1"/>
              <c:layout>
                <c:manualLayout>
                  <c:x val="2.7777777777777779E-3"/>
                  <c:y val="-3.88198757763989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29-427C-89B6-86B44DFAFB32}"/>
                </c:ext>
              </c:extLst>
            </c:dLbl>
            <c:dLbl>
              <c:idx val="2"/>
              <c:layout>
                <c:manualLayout>
                  <c:x val="1.1111111111111086E-2"/>
                  <c:y val="-7.116895010694405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29-427C-89B6-86B44DFAFB32}"/>
                </c:ext>
              </c:extLst>
            </c:dLbl>
            <c:dLbl>
              <c:idx val="7"/>
              <c:layout>
                <c:manualLayout>
                  <c:x val="0"/>
                  <c:y val="7.7639751552795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829-427C-89B6-86B44DFAFB32}"/>
                </c:ext>
              </c:extLst>
            </c:dLbl>
            <c:dLbl>
              <c:idx val="8"/>
              <c:layout>
                <c:manualLayout>
                  <c:x val="1.9782393669634024E-2"/>
                  <c:y val="-3.28407224958949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829-427C-89B6-86B44DFAFB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Sheet1!$D$5:$L$5</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Sheet1!$D$7:$L$7</c:f>
              <c:numCache>
                <c:formatCode>General</c:formatCode>
                <c:ptCount val="9"/>
                <c:pt idx="0">
                  <c:v>74</c:v>
                </c:pt>
                <c:pt idx="1">
                  <c:v>56</c:v>
                </c:pt>
                <c:pt idx="2">
                  <c:v>31</c:v>
                </c:pt>
                <c:pt idx="3">
                  <c:v>48</c:v>
                </c:pt>
                <c:pt idx="4">
                  <c:v>96</c:v>
                </c:pt>
                <c:pt idx="5">
                  <c:v>57</c:v>
                </c:pt>
                <c:pt idx="6">
                  <c:v>96</c:v>
                </c:pt>
                <c:pt idx="7">
                  <c:v>121</c:v>
                </c:pt>
                <c:pt idx="8">
                  <c:v>86</c:v>
                </c:pt>
              </c:numCache>
            </c:numRef>
          </c:val>
          <c:extLst>
            <c:ext xmlns:c16="http://schemas.microsoft.com/office/drawing/2014/chart" uri="{C3380CC4-5D6E-409C-BE32-E72D297353CC}">
              <c16:uniqueId val="{0000000A-1829-427C-89B6-86B44DFAFB32}"/>
            </c:ext>
          </c:extLst>
        </c:ser>
        <c:ser>
          <c:idx val="2"/>
          <c:order val="2"/>
          <c:tx>
            <c:strRef>
              <c:f>Sheet1!$C$8</c:f>
              <c:strCache>
                <c:ptCount val="1"/>
                <c:pt idx="0">
                  <c:v>North Macedonia</c:v>
                </c:pt>
              </c:strCache>
            </c:strRef>
          </c:tx>
          <c:spPr>
            <a:solidFill>
              <a:schemeClr val="accent3"/>
            </a:solidFill>
            <a:ln>
              <a:noFill/>
            </a:ln>
            <a:effectLst/>
          </c:spPr>
          <c:invertIfNegative val="0"/>
          <c:dLbls>
            <c:dLbl>
              <c:idx val="0"/>
              <c:layout>
                <c:manualLayout>
                  <c:x val="2.7777777777777776E-2"/>
                  <c:y val="-7.76397515527964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829-427C-89B6-86B44DFAFB32}"/>
                </c:ext>
              </c:extLst>
            </c:dLbl>
            <c:dLbl>
              <c:idx val="1"/>
              <c:layout>
                <c:manualLayout>
                  <c:x val="2.7777777777777779E-3"/>
                  <c:y val="-3.881987577639751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829-427C-89B6-86B44DFAFB32}"/>
                </c:ext>
              </c:extLst>
            </c:dLbl>
            <c:dLbl>
              <c:idx val="2"/>
              <c:layout>
                <c:manualLayout>
                  <c:x val="5.55555555555555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829-427C-89B6-86B44DFAFB32}"/>
                </c:ext>
              </c:extLst>
            </c:dLbl>
            <c:dLbl>
              <c:idx val="3"/>
              <c:layout>
                <c:manualLayout>
                  <c:x val="1.1111111111111112E-2"/>
                  <c:y val="-3.88198757763982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829-427C-89B6-86B44DFAFB32}"/>
                </c:ext>
              </c:extLst>
            </c:dLbl>
            <c:dLbl>
              <c:idx val="4"/>
              <c:layout>
                <c:manualLayout>
                  <c:x val="0"/>
                  <c:y val="-1.16459627329193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829-427C-89B6-86B44DFAFB32}"/>
                </c:ext>
              </c:extLst>
            </c:dLbl>
            <c:dLbl>
              <c:idx val="7"/>
              <c:layout>
                <c:manualLayout>
                  <c:x val="-5.0925337632079971E-17"/>
                  <c:y val="-7.76397515527952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829-427C-89B6-86B44DFAFB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Sheet1!$D$5:$L$5</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Sheet1!$D$8:$L$8</c:f>
              <c:numCache>
                <c:formatCode>General</c:formatCode>
                <c:ptCount val="9"/>
                <c:pt idx="0">
                  <c:v>27</c:v>
                </c:pt>
                <c:pt idx="1">
                  <c:v>14</c:v>
                </c:pt>
                <c:pt idx="2">
                  <c:v>8</c:v>
                </c:pt>
                <c:pt idx="3">
                  <c:v>18</c:v>
                </c:pt>
                <c:pt idx="4">
                  <c:v>99</c:v>
                </c:pt>
                <c:pt idx="5">
                  <c:v>129</c:v>
                </c:pt>
                <c:pt idx="6">
                  <c:v>149</c:v>
                </c:pt>
                <c:pt idx="7">
                  <c:v>122</c:v>
                </c:pt>
                <c:pt idx="8">
                  <c:v>586</c:v>
                </c:pt>
              </c:numCache>
            </c:numRef>
          </c:val>
          <c:extLst>
            <c:ext xmlns:c16="http://schemas.microsoft.com/office/drawing/2014/chart" uri="{C3380CC4-5D6E-409C-BE32-E72D297353CC}">
              <c16:uniqueId val="{00000011-1829-427C-89B6-86B44DFAFB32}"/>
            </c:ext>
          </c:extLst>
        </c:ser>
        <c:ser>
          <c:idx val="3"/>
          <c:order val="3"/>
          <c:tx>
            <c:strRef>
              <c:f>Sheet1!$C$9</c:f>
              <c:strCache>
                <c:ptCount val="1"/>
                <c:pt idx="0">
                  <c:v>Montenegro</c:v>
                </c:pt>
              </c:strCache>
            </c:strRef>
          </c:tx>
          <c:spPr>
            <a:solidFill>
              <a:schemeClr val="accent4"/>
            </a:solidFill>
            <a:ln>
              <a:noFill/>
            </a:ln>
            <a:effectLst/>
          </c:spPr>
          <c:invertIfNegative val="0"/>
          <c:dLbls>
            <c:dLbl>
              <c:idx val="0"/>
              <c:layout>
                <c:manualLayout>
                  <c:x val="2.0202808476833572E-2"/>
                  <c:y val="-1.49301164940589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829-427C-89B6-86B44DFAFB32}"/>
                </c:ext>
              </c:extLst>
            </c:dLbl>
            <c:dLbl>
              <c:idx val="3"/>
              <c:layout>
                <c:manualLayout>
                  <c:x val="0"/>
                  <c:y val="-1.16459627329192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829-427C-89B6-86B44DFAFB32}"/>
                </c:ext>
              </c:extLst>
            </c:dLbl>
            <c:dLbl>
              <c:idx val="4"/>
              <c:layout>
                <c:manualLayout>
                  <c:x val="-1.2731334408019993E-17"/>
                  <c:y val="-7.7639751552795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829-427C-89B6-86B44DFAFB32}"/>
                </c:ext>
              </c:extLst>
            </c:dLbl>
            <c:dLbl>
              <c:idx val="5"/>
              <c:layout>
                <c:manualLayout>
                  <c:x val="-2.5462668816039986E-17"/>
                  <c:y val="-1.16459627329192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829-427C-89B6-86B44DFAFB32}"/>
                </c:ext>
              </c:extLst>
            </c:dLbl>
            <c:dLbl>
              <c:idx val="8"/>
              <c:layout>
                <c:manualLayout>
                  <c:x val="-2.5462668816039986E-17"/>
                  <c:y val="-1.16459627329192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829-427C-89B6-86B44DFAFB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Sheet1!$D$5:$L$5</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Sheet1!$D$9:$L$9</c:f>
              <c:numCache>
                <c:formatCode>General</c:formatCode>
                <c:ptCount val="9"/>
                <c:pt idx="0">
                  <c:v>62</c:v>
                </c:pt>
                <c:pt idx="1">
                  <c:v>1</c:v>
                </c:pt>
                <c:pt idx="2">
                  <c:v>68</c:v>
                </c:pt>
                <c:pt idx="3">
                  <c:v>25</c:v>
                </c:pt>
                <c:pt idx="4">
                  <c:v>7</c:v>
                </c:pt>
                <c:pt idx="5">
                  <c:v>13</c:v>
                </c:pt>
                <c:pt idx="6">
                  <c:v>12</c:v>
                </c:pt>
                <c:pt idx="7">
                  <c:v>23</c:v>
                </c:pt>
                <c:pt idx="8">
                  <c:v>70</c:v>
                </c:pt>
              </c:numCache>
            </c:numRef>
          </c:val>
          <c:extLst>
            <c:ext xmlns:c16="http://schemas.microsoft.com/office/drawing/2014/chart" uri="{C3380CC4-5D6E-409C-BE32-E72D297353CC}">
              <c16:uniqueId val="{00000017-1829-427C-89B6-86B44DFAFB32}"/>
            </c:ext>
          </c:extLst>
        </c:ser>
        <c:dLbls>
          <c:dLblPos val="outEnd"/>
          <c:showLegendKey val="0"/>
          <c:showVal val="1"/>
          <c:showCatName val="0"/>
          <c:showSerName val="0"/>
          <c:showPercent val="0"/>
          <c:showBubbleSize val="0"/>
        </c:dLbls>
        <c:gapWidth val="182"/>
        <c:axId val="1794694688"/>
        <c:axId val="1794693248"/>
      </c:barChart>
      <c:catAx>
        <c:axId val="1794694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4693248"/>
        <c:crosses val="autoZero"/>
        <c:auto val="1"/>
        <c:lblAlgn val="ctr"/>
        <c:lblOffset val="100"/>
        <c:noMultiLvlLbl val="0"/>
      </c:catAx>
      <c:valAx>
        <c:axId val="1794693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469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7A9811-CC0B-4CFA-BAFF-7DB391F3A9BE}"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GB"/>
        </a:p>
      </dgm:t>
    </dgm:pt>
    <dgm:pt modelId="{E766C6CA-53DF-4F10-A4D5-8CB8898EE5DF}">
      <dgm:prSet phldrT="[Text]" custT="1"/>
      <dgm:spPr>
        <a:xfrm>
          <a:off x="2360116" y="1157"/>
          <a:ext cx="766167" cy="498008"/>
        </a:xfrm>
        <a:prstGeom prst="round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800">
              <a:solidFill>
                <a:sysClr val="window" lastClr="FFFFFF"/>
              </a:solidFill>
              <a:latin typeface="Aptos" panose="02110004020202020204"/>
              <a:ea typeface="+mn-ea"/>
              <a:cs typeface="+mn-cs"/>
            </a:rPr>
            <a:t>Monitoruar, Vlerësuar dhe Përmirësuar Vazhdimisht</a:t>
          </a:r>
        </a:p>
      </dgm:t>
    </dgm:pt>
    <dgm:pt modelId="{626F71A9-B110-4DF6-AD97-AA8830D249C5}" type="parTrans" cxnId="{7D615A9F-E87E-453C-8E73-5C16A498F887}">
      <dgm:prSet/>
      <dgm:spPr/>
      <dgm:t>
        <a:bodyPr/>
        <a:lstStyle/>
        <a:p>
          <a:pPr algn="ctr"/>
          <a:endParaRPr lang="en-GB" sz="800">
            <a:latin typeface="+mn-lt"/>
          </a:endParaRPr>
        </a:p>
      </dgm:t>
    </dgm:pt>
    <dgm:pt modelId="{7D7F4C3B-71EF-4DAE-96F7-ACCCF005BA7D}" type="sibTrans" cxnId="{7D615A9F-E87E-453C-8E73-5C16A498F887}">
      <dgm:prSet/>
      <dgm:spPr>
        <a:xfrm>
          <a:off x="1322831" y="250161"/>
          <a:ext cx="2840737" cy="2840737"/>
        </a:xfrm>
        <a:custGeom>
          <a:avLst/>
          <a:gdLst/>
          <a:ahLst/>
          <a:cxnLst/>
          <a:rect l="0" t="0" r="0" b="0"/>
          <a:pathLst>
            <a:path>
              <a:moveTo>
                <a:pt x="1808513" y="54063"/>
              </a:moveTo>
              <a:arcTo wR="1420368" hR="1420368" stAng="17151539" swAng="1254795"/>
            </a:path>
          </a:pathLst>
        </a:custGeom>
        <a:noFill/>
        <a:ln w="6350" cap="flat" cmpd="sng" algn="ctr">
          <a:solidFill>
            <a:srgbClr val="156082">
              <a:hueOff val="0"/>
              <a:satOff val="0"/>
              <a:lumOff val="0"/>
              <a:alphaOff val="0"/>
            </a:srgbClr>
          </a:solidFill>
          <a:prstDash val="solid"/>
          <a:miter lim="800000"/>
        </a:ln>
        <a:effectLst/>
      </dgm:spPr>
      <dgm:t>
        <a:bodyPr/>
        <a:lstStyle/>
        <a:p>
          <a:pPr algn="ctr"/>
          <a:endParaRPr lang="en-GB" sz="800">
            <a:latin typeface="+mn-lt"/>
          </a:endParaRPr>
        </a:p>
      </dgm:t>
    </dgm:pt>
    <dgm:pt modelId="{88B78474-B5BC-4F69-A045-FDBFD6BEE511}">
      <dgm:prSet phldrT="[Text]" custT="1"/>
      <dgm:spPr>
        <a:xfrm>
          <a:off x="3744873" y="1737587"/>
          <a:ext cx="766167" cy="498008"/>
        </a:xfrm>
        <a:prstGeom prst="round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800">
              <a:solidFill>
                <a:sysClr val="window" lastClr="FFFFFF"/>
              </a:solidFill>
              <a:latin typeface="Aptos" panose="02110004020202020204"/>
              <a:ea typeface="+mn-ea"/>
              <a:cs typeface="+mn-cs"/>
            </a:rPr>
            <a:t>Fleksibile dhe Përshtatëse</a:t>
          </a:r>
        </a:p>
      </dgm:t>
    </dgm:pt>
    <dgm:pt modelId="{7BCA26CD-E46D-44EC-A947-59729302A9D0}" type="parTrans" cxnId="{90AC3178-7CF0-48F0-BE57-48EAC1E1091A}">
      <dgm:prSet/>
      <dgm:spPr/>
      <dgm:t>
        <a:bodyPr/>
        <a:lstStyle/>
        <a:p>
          <a:pPr algn="ctr"/>
          <a:endParaRPr lang="en-GB" sz="800">
            <a:latin typeface="+mn-lt"/>
          </a:endParaRPr>
        </a:p>
      </dgm:t>
    </dgm:pt>
    <dgm:pt modelId="{8BC99753-0F5E-4D7D-A6F3-9A28F638F4EF}" type="sibTrans" cxnId="{90AC3178-7CF0-48F0-BE57-48EAC1E1091A}">
      <dgm:prSet/>
      <dgm:spPr>
        <a:xfrm>
          <a:off x="1322831" y="250161"/>
          <a:ext cx="2840737" cy="2840737"/>
        </a:xfrm>
        <a:custGeom>
          <a:avLst/>
          <a:gdLst/>
          <a:ahLst/>
          <a:cxnLst/>
          <a:rect l="0" t="0" r="0" b="0"/>
          <a:pathLst>
            <a:path>
              <a:moveTo>
                <a:pt x="2721227" y="1990644"/>
              </a:moveTo>
              <a:arcTo wR="1420368" hR="1420368" stAng="1420313" swAng="1357355"/>
            </a:path>
          </a:pathLst>
        </a:custGeom>
        <a:noFill/>
        <a:ln w="6350" cap="flat" cmpd="sng" algn="ctr">
          <a:solidFill>
            <a:srgbClr val="156082">
              <a:hueOff val="0"/>
              <a:satOff val="0"/>
              <a:lumOff val="0"/>
              <a:alphaOff val="0"/>
            </a:srgbClr>
          </a:solidFill>
          <a:prstDash val="solid"/>
          <a:miter lim="800000"/>
        </a:ln>
        <a:effectLst/>
      </dgm:spPr>
      <dgm:t>
        <a:bodyPr/>
        <a:lstStyle/>
        <a:p>
          <a:pPr algn="ctr"/>
          <a:endParaRPr lang="en-GB" sz="800">
            <a:latin typeface="+mn-lt"/>
          </a:endParaRPr>
        </a:p>
      </dgm:t>
    </dgm:pt>
    <dgm:pt modelId="{D2CB28DB-467B-4EBD-98FF-8B3B47B63887}">
      <dgm:prSet phldrT="[Text]" custT="1"/>
      <dgm:spPr>
        <a:xfrm>
          <a:off x="1743841" y="2701233"/>
          <a:ext cx="766167" cy="498008"/>
        </a:xfrm>
        <a:prstGeom prst="round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800">
              <a:solidFill>
                <a:sysClr val="window" lastClr="FFFFFF"/>
              </a:solidFill>
              <a:latin typeface="Aptos" panose="02110004020202020204"/>
              <a:ea typeface="+mn-ea"/>
              <a:cs typeface="+mn-cs"/>
            </a:rPr>
            <a:t>Bashkëpunuese dhe Koherente</a:t>
          </a:r>
        </a:p>
      </dgm:t>
    </dgm:pt>
    <dgm:pt modelId="{E4B12810-C396-4A32-B75F-A6913E22DE83}" type="parTrans" cxnId="{5C4BF59E-FAEA-4220-938F-2264DB104FE0}">
      <dgm:prSet/>
      <dgm:spPr/>
      <dgm:t>
        <a:bodyPr/>
        <a:lstStyle/>
        <a:p>
          <a:pPr algn="ctr"/>
          <a:endParaRPr lang="en-GB" sz="800">
            <a:latin typeface="+mn-lt"/>
          </a:endParaRPr>
        </a:p>
      </dgm:t>
    </dgm:pt>
    <dgm:pt modelId="{ACC50D2C-D879-48EC-A2D0-F9E1B0D098C1}" type="sibTrans" cxnId="{5C4BF59E-FAEA-4220-938F-2264DB104FE0}">
      <dgm:prSet/>
      <dgm:spPr>
        <a:xfrm>
          <a:off x="1322831" y="250161"/>
          <a:ext cx="2840737" cy="2840737"/>
        </a:xfrm>
        <a:custGeom>
          <a:avLst/>
          <a:gdLst/>
          <a:ahLst/>
          <a:cxnLst/>
          <a:rect l="0" t="0" r="0" b="0"/>
          <a:pathLst>
            <a:path>
              <a:moveTo>
                <a:pt x="438961" y="2447153"/>
              </a:moveTo>
              <a:arcTo wR="1420368" hR="1420368" stAng="8022332" swAng="1357355"/>
            </a:path>
          </a:pathLst>
        </a:custGeom>
        <a:noFill/>
        <a:ln w="6350" cap="flat" cmpd="sng" algn="ctr">
          <a:solidFill>
            <a:srgbClr val="156082">
              <a:hueOff val="0"/>
              <a:satOff val="0"/>
              <a:lumOff val="0"/>
              <a:alphaOff val="0"/>
            </a:srgbClr>
          </a:solidFill>
          <a:prstDash val="solid"/>
          <a:miter lim="800000"/>
        </a:ln>
        <a:effectLst/>
      </dgm:spPr>
      <dgm:t>
        <a:bodyPr/>
        <a:lstStyle/>
        <a:p>
          <a:pPr algn="ctr"/>
          <a:endParaRPr lang="en-GB" sz="800">
            <a:latin typeface="+mn-lt"/>
          </a:endParaRPr>
        </a:p>
      </dgm:t>
    </dgm:pt>
    <dgm:pt modelId="{F8BFBB2D-1788-432A-A714-56235578C14F}">
      <dgm:prSet phldrT="[Text]" custT="1"/>
      <dgm:spPr>
        <a:xfrm>
          <a:off x="975359" y="1737587"/>
          <a:ext cx="766167" cy="498008"/>
        </a:xfrm>
        <a:prstGeom prst="round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800">
              <a:solidFill>
                <a:sysClr val="window" lastClr="FFFFFF"/>
              </a:solidFill>
              <a:latin typeface="Aptos" panose="02110004020202020204"/>
              <a:ea typeface="+mn-ea"/>
              <a:cs typeface="+mn-cs"/>
            </a:rPr>
            <a:t>Përfshirja dhe Drejtësia Sociale</a:t>
          </a:r>
        </a:p>
      </dgm:t>
    </dgm:pt>
    <dgm:pt modelId="{DA007AEA-54E0-43A1-BE87-8791149290EA}" type="parTrans" cxnId="{2460618E-F9BB-4646-93D0-3056B6683F34}">
      <dgm:prSet/>
      <dgm:spPr/>
      <dgm:t>
        <a:bodyPr/>
        <a:lstStyle/>
        <a:p>
          <a:pPr algn="ctr"/>
          <a:endParaRPr lang="en-GB" sz="800">
            <a:latin typeface="+mn-lt"/>
          </a:endParaRPr>
        </a:p>
      </dgm:t>
    </dgm:pt>
    <dgm:pt modelId="{2882628F-7695-4AE2-91CF-129077A5354C}" type="sibTrans" cxnId="{2460618E-F9BB-4646-93D0-3056B6683F34}">
      <dgm:prSet/>
      <dgm:spPr>
        <a:xfrm>
          <a:off x="1322831" y="250161"/>
          <a:ext cx="2840737" cy="2840737"/>
        </a:xfrm>
        <a:custGeom>
          <a:avLst/>
          <a:gdLst/>
          <a:ahLst/>
          <a:cxnLst/>
          <a:rect l="0" t="0" r="0" b="0"/>
          <a:pathLst>
            <a:path>
              <a:moveTo>
                <a:pt x="1262" y="1480240"/>
              </a:moveTo>
              <a:arcTo wR="1420368" hR="1420368" stAng="10655047" swAng="1725163"/>
            </a:path>
          </a:pathLst>
        </a:custGeom>
        <a:noFill/>
        <a:ln w="6350" cap="flat" cmpd="sng" algn="ctr">
          <a:solidFill>
            <a:srgbClr val="156082">
              <a:hueOff val="0"/>
              <a:satOff val="0"/>
              <a:lumOff val="0"/>
              <a:alphaOff val="0"/>
            </a:srgbClr>
          </a:solidFill>
          <a:prstDash val="solid"/>
          <a:miter lim="800000"/>
        </a:ln>
        <a:effectLst/>
      </dgm:spPr>
      <dgm:t>
        <a:bodyPr/>
        <a:lstStyle/>
        <a:p>
          <a:pPr algn="ctr"/>
          <a:endParaRPr lang="en-GB" sz="800">
            <a:latin typeface="+mn-lt"/>
          </a:endParaRPr>
        </a:p>
      </dgm:t>
    </dgm:pt>
    <dgm:pt modelId="{4F8351C9-3E6C-40C1-83CB-987DCC3D8772}">
      <dgm:prSet phldrT="[Text]" custT="1"/>
      <dgm:spPr>
        <a:xfrm>
          <a:off x="1249627" y="535940"/>
          <a:ext cx="766167" cy="498008"/>
        </a:xfrm>
        <a:prstGeom prst="round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800">
              <a:solidFill>
                <a:sysClr val="window" lastClr="FFFFFF"/>
              </a:solidFill>
              <a:latin typeface="Aptos" panose="02110004020202020204"/>
              <a:ea typeface="+mn-ea"/>
              <a:cs typeface="+mn-cs"/>
            </a:rPr>
            <a:t>Specifike për Kontekstin dhe e Bazuar në Vend</a:t>
          </a:r>
        </a:p>
      </dgm:t>
    </dgm:pt>
    <dgm:pt modelId="{A741C2F2-2118-4BE5-B106-8070EC594193}" type="parTrans" cxnId="{5FB3F563-3F0E-4E01-942A-0D662AFDE199}">
      <dgm:prSet/>
      <dgm:spPr/>
      <dgm:t>
        <a:bodyPr/>
        <a:lstStyle/>
        <a:p>
          <a:pPr algn="ctr"/>
          <a:endParaRPr lang="en-GB" sz="800">
            <a:latin typeface="+mn-lt"/>
          </a:endParaRPr>
        </a:p>
      </dgm:t>
    </dgm:pt>
    <dgm:pt modelId="{D54EB2CD-A2DB-4A5C-B118-E112B53D599B}" type="sibTrans" cxnId="{5FB3F563-3F0E-4E01-942A-0D662AFDE199}">
      <dgm:prSet/>
      <dgm:spPr>
        <a:xfrm>
          <a:off x="1322831" y="250161"/>
          <a:ext cx="2840737" cy="2840737"/>
        </a:xfrm>
        <a:custGeom>
          <a:avLst/>
          <a:gdLst/>
          <a:ahLst/>
          <a:cxnLst/>
          <a:rect l="0" t="0" r="0" b="0"/>
          <a:pathLst>
            <a:path>
              <a:moveTo>
                <a:pt x="570085" y="282622"/>
              </a:moveTo>
              <a:arcTo wR="1420368" hR="1420368" stAng="13993665" swAng="1254795"/>
            </a:path>
          </a:pathLst>
        </a:custGeom>
        <a:noFill/>
        <a:ln w="6350" cap="flat" cmpd="sng" algn="ctr">
          <a:solidFill>
            <a:srgbClr val="156082">
              <a:hueOff val="0"/>
              <a:satOff val="0"/>
              <a:lumOff val="0"/>
              <a:alphaOff val="0"/>
            </a:srgbClr>
          </a:solidFill>
          <a:prstDash val="solid"/>
          <a:miter lim="800000"/>
        </a:ln>
        <a:effectLst/>
      </dgm:spPr>
      <dgm:t>
        <a:bodyPr/>
        <a:lstStyle/>
        <a:p>
          <a:pPr algn="ctr"/>
          <a:endParaRPr lang="en-GB" sz="800">
            <a:latin typeface="+mn-lt"/>
          </a:endParaRPr>
        </a:p>
      </dgm:t>
    </dgm:pt>
    <dgm:pt modelId="{26E42357-3E30-47D8-B45B-051F280C40A8}">
      <dgm:prSet custT="1"/>
      <dgm:spPr>
        <a:xfrm>
          <a:off x="3470605" y="535940"/>
          <a:ext cx="766167" cy="498008"/>
        </a:xfrm>
        <a:prstGeom prst="round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800">
              <a:solidFill>
                <a:sysClr val="window" lastClr="FFFFFF"/>
              </a:solidFill>
              <a:latin typeface="Aptos" panose="02110004020202020204"/>
              <a:ea typeface="+mn-ea"/>
              <a:cs typeface="+mn-cs"/>
            </a:rPr>
            <a:t>Qëndrueshmëria</a:t>
          </a:r>
        </a:p>
      </dgm:t>
    </dgm:pt>
    <dgm:pt modelId="{218F03F9-BB87-492D-92FE-63E770D51D5F}" type="parTrans" cxnId="{829B2EED-CBC3-4CB1-8825-D1DB5BC1784D}">
      <dgm:prSet/>
      <dgm:spPr/>
      <dgm:t>
        <a:bodyPr/>
        <a:lstStyle/>
        <a:p>
          <a:pPr algn="ctr"/>
          <a:endParaRPr lang="en-GB" sz="800">
            <a:latin typeface="+mn-lt"/>
          </a:endParaRPr>
        </a:p>
      </dgm:t>
    </dgm:pt>
    <dgm:pt modelId="{AC122E5A-17C6-48D7-A673-E70046BBBEEB}" type="sibTrans" cxnId="{829B2EED-CBC3-4CB1-8825-D1DB5BC1784D}">
      <dgm:prSet/>
      <dgm:spPr>
        <a:xfrm>
          <a:off x="1322831" y="250161"/>
          <a:ext cx="2840737" cy="2840737"/>
        </a:xfrm>
        <a:custGeom>
          <a:avLst/>
          <a:gdLst/>
          <a:ahLst/>
          <a:cxnLst/>
          <a:rect l="0" t="0" r="0" b="0"/>
          <a:pathLst>
            <a:path>
              <a:moveTo>
                <a:pt x="2693304" y="790225"/>
              </a:moveTo>
              <a:arcTo wR="1420368" hR="1420368" stAng="20019789" swAng="1725163"/>
            </a:path>
          </a:pathLst>
        </a:custGeom>
        <a:noFill/>
        <a:ln w="6350" cap="flat" cmpd="sng" algn="ctr">
          <a:solidFill>
            <a:srgbClr val="156082">
              <a:hueOff val="0"/>
              <a:satOff val="0"/>
              <a:lumOff val="0"/>
              <a:alphaOff val="0"/>
            </a:srgbClr>
          </a:solidFill>
          <a:prstDash val="solid"/>
          <a:miter lim="800000"/>
        </a:ln>
        <a:effectLst/>
      </dgm:spPr>
      <dgm:t>
        <a:bodyPr/>
        <a:lstStyle/>
        <a:p>
          <a:pPr algn="ctr"/>
          <a:endParaRPr lang="en-GB" sz="800">
            <a:latin typeface="+mn-lt"/>
          </a:endParaRPr>
        </a:p>
      </dgm:t>
    </dgm:pt>
    <dgm:pt modelId="{B4A539B1-778F-4E21-9F81-D909F3AE15BE}">
      <dgm:prSet custT="1"/>
      <dgm:spPr>
        <a:xfrm>
          <a:off x="2976391" y="2701233"/>
          <a:ext cx="766167" cy="498008"/>
        </a:xfrm>
        <a:prstGeom prst="round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GB" sz="800">
              <a:solidFill>
                <a:sysClr val="window" lastClr="FFFFFF"/>
              </a:solidFill>
              <a:latin typeface="Aptos" panose="02110004020202020204"/>
              <a:ea typeface="+mn-ea"/>
              <a:cs typeface="+mn-cs"/>
            </a:rPr>
            <a:t>Planifikimi i Bazuar në Dëshmi</a:t>
          </a:r>
        </a:p>
      </dgm:t>
    </dgm:pt>
    <dgm:pt modelId="{1D1B0C7E-D073-4070-BF77-05170F05B503}" type="parTrans" cxnId="{40DF1049-9675-44FB-8E9B-A22994C3B5CC}">
      <dgm:prSet/>
      <dgm:spPr/>
      <dgm:t>
        <a:bodyPr/>
        <a:lstStyle/>
        <a:p>
          <a:pPr algn="ctr"/>
          <a:endParaRPr lang="en-GB" sz="800">
            <a:latin typeface="+mn-lt"/>
          </a:endParaRPr>
        </a:p>
      </dgm:t>
    </dgm:pt>
    <dgm:pt modelId="{49780C3B-5302-4C6A-A53E-87A9FFD3E42D}" type="sibTrans" cxnId="{40DF1049-9675-44FB-8E9B-A22994C3B5CC}">
      <dgm:prSet/>
      <dgm:spPr>
        <a:xfrm>
          <a:off x="1322831" y="250161"/>
          <a:ext cx="2840737" cy="2840737"/>
        </a:xfrm>
        <a:custGeom>
          <a:avLst/>
          <a:gdLst/>
          <a:ahLst/>
          <a:cxnLst/>
          <a:rect l="0" t="0" r="0" b="0"/>
          <a:pathLst>
            <a:path>
              <a:moveTo>
                <a:pt x="1648958" y="2822222"/>
              </a:moveTo>
              <a:arcTo wR="1420368" hR="1420368" stAng="4844324" swAng="1111353"/>
            </a:path>
          </a:pathLst>
        </a:custGeom>
        <a:noFill/>
        <a:ln w="6350" cap="flat" cmpd="sng" algn="ctr">
          <a:solidFill>
            <a:srgbClr val="156082">
              <a:hueOff val="0"/>
              <a:satOff val="0"/>
              <a:lumOff val="0"/>
              <a:alphaOff val="0"/>
            </a:srgbClr>
          </a:solidFill>
          <a:prstDash val="solid"/>
          <a:miter lim="800000"/>
        </a:ln>
        <a:effectLst/>
      </dgm:spPr>
      <dgm:t>
        <a:bodyPr/>
        <a:lstStyle/>
        <a:p>
          <a:pPr algn="ctr"/>
          <a:endParaRPr lang="en-GB" sz="800">
            <a:latin typeface="+mn-lt"/>
          </a:endParaRPr>
        </a:p>
      </dgm:t>
    </dgm:pt>
    <dgm:pt modelId="{055DEBDC-560D-483A-B81A-36418E8390A0}" type="pres">
      <dgm:prSet presAssocID="{477A9811-CC0B-4CFA-BAFF-7DB391F3A9BE}" presName="cycle" presStyleCnt="0">
        <dgm:presLayoutVars>
          <dgm:dir/>
          <dgm:resizeHandles val="exact"/>
        </dgm:presLayoutVars>
      </dgm:prSet>
      <dgm:spPr/>
      <dgm:t>
        <a:bodyPr/>
        <a:lstStyle/>
        <a:p>
          <a:endParaRPr lang="en-US"/>
        </a:p>
      </dgm:t>
    </dgm:pt>
    <dgm:pt modelId="{3FF8A6C8-1665-4B98-8E76-1BA91E0B7BB5}" type="pres">
      <dgm:prSet presAssocID="{E766C6CA-53DF-4F10-A4D5-8CB8898EE5DF}" presName="node" presStyleLbl="node1" presStyleIdx="0" presStyleCnt="7" custScaleX="144212">
        <dgm:presLayoutVars>
          <dgm:bulletEnabled val="1"/>
        </dgm:presLayoutVars>
      </dgm:prSet>
      <dgm:spPr/>
      <dgm:t>
        <a:bodyPr/>
        <a:lstStyle/>
        <a:p>
          <a:endParaRPr lang="en-US"/>
        </a:p>
      </dgm:t>
    </dgm:pt>
    <dgm:pt modelId="{A1DC1120-22B7-44D7-99C3-5D8F59BAFC3F}" type="pres">
      <dgm:prSet presAssocID="{E766C6CA-53DF-4F10-A4D5-8CB8898EE5DF}" presName="spNode" presStyleCnt="0"/>
      <dgm:spPr/>
    </dgm:pt>
    <dgm:pt modelId="{99CDCF64-8419-45A8-B378-3E55C213AF96}" type="pres">
      <dgm:prSet presAssocID="{7D7F4C3B-71EF-4DAE-96F7-ACCCF005BA7D}" presName="sibTrans" presStyleLbl="sibTrans1D1" presStyleIdx="0" presStyleCnt="7"/>
      <dgm:spPr/>
      <dgm:t>
        <a:bodyPr/>
        <a:lstStyle/>
        <a:p>
          <a:endParaRPr lang="en-US"/>
        </a:p>
      </dgm:t>
    </dgm:pt>
    <dgm:pt modelId="{A35061AA-964D-4BA4-9FEC-55CD9409951C}" type="pres">
      <dgm:prSet presAssocID="{26E42357-3E30-47D8-B45B-051F280C40A8}" presName="node" presStyleLbl="node1" presStyleIdx="1" presStyleCnt="7" custScaleX="133848">
        <dgm:presLayoutVars>
          <dgm:bulletEnabled val="1"/>
        </dgm:presLayoutVars>
      </dgm:prSet>
      <dgm:spPr/>
      <dgm:t>
        <a:bodyPr/>
        <a:lstStyle/>
        <a:p>
          <a:endParaRPr lang="en-US"/>
        </a:p>
      </dgm:t>
    </dgm:pt>
    <dgm:pt modelId="{591FB257-DDF9-41FF-8BC9-BDAA98126891}" type="pres">
      <dgm:prSet presAssocID="{26E42357-3E30-47D8-B45B-051F280C40A8}" presName="spNode" presStyleCnt="0"/>
      <dgm:spPr/>
    </dgm:pt>
    <dgm:pt modelId="{65C969C0-E163-4912-85C8-7427175317B5}" type="pres">
      <dgm:prSet presAssocID="{AC122E5A-17C6-48D7-A673-E70046BBBEEB}" presName="sibTrans" presStyleLbl="sibTrans1D1" presStyleIdx="1" presStyleCnt="7"/>
      <dgm:spPr/>
      <dgm:t>
        <a:bodyPr/>
        <a:lstStyle/>
        <a:p>
          <a:endParaRPr lang="en-US"/>
        </a:p>
      </dgm:t>
    </dgm:pt>
    <dgm:pt modelId="{1D51269D-7044-4044-8FAD-74CCA76E3199}" type="pres">
      <dgm:prSet presAssocID="{88B78474-B5BC-4F69-A045-FDBFD6BEE511}" presName="node" presStyleLbl="node1" presStyleIdx="2" presStyleCnt="7" custScaleX="126900">
        <dgm:presLayoutVars>
          <dgm:bulletEnabled val="1"/>
        </dgm:presLayoutVars>
      </dgm:prSet>
      <dgm:spPr/>
      <dgm:t>
        <a:bodyPr/>
        <a:lstStyle/>
        <a:p>
          <a:endParaRPr lang="en-US"/>
        </a:p>
      </dgm:t>
    </dgm:pt>
    <dgm:pt modelId="{29CC9CB0-3EB2-4620-B9C3-3B798093A2EA}" type="pres">
      <dgm:prSet presAssocID="{88B78474-B5BC-4F69-A045-FDBFD6BEE511}" presName="spNode" presStyleCnt="0"/>
      <dgm:spPr/>
    </dgm:pt>
    <dgm:pt modelId="{30BCCC17-8F45-4E6F-8B91-3883DF017224}" type="pres">
      <dgm:prSet presAssocID="{8BC99753-0F5E-4D7D-A6F3-9A28F638F4EF}" presName="sibTrans" presStyleLbl="sibTrans1D1" presStyleIdx="2" presStyleCnt="7"/>
      <dgm:spPr/>
      <dgm:t>
        <a:bodyPr/>
        <a:lstStyle/>
        <a:p>
          <a:endParaRPr lang="en-US"/>
        </a:p>
      </dgm:t>
    </dgm:pt>
    <dgm:pt modelId="{D3F874E8-5E41-4A42-8D8B-E1ABA1706497}" type="pres">
      <dgm:prSet presAssocID="{B4A539B1-778F-4E21-9F81-D909F3AE15BE}" presName="node" presStyleLbl="node1" presStyleIdx="3" presStyleCnt="7" custScaleX="134583">
        <dgm:presLayoutVars>
          <dgm:bulletEnabled val="1"/>
        </dgm:presLayoutVars>
      </dgm:prSet>
      <dgm:spPr/>
      <dgm:t>
        <a:bodyPr/>
        <a:lstStyle/>
        <a:p>
          <a:endParaRPr lang="en-US"/>
        </a:p>
      </dgm:t>
    </dgm:pt>
    <dgm:pt modelId="{1A4439BA-F0BE-493E-AC98-A1DBBAA85871}" type="pres">
      <dgm:prSet presAssocID="{B4A539B1-778F-4E21-9F81-D909F3AE15BE}" presName="spNode" presStyleCnt="0"/>
      <dgm:spPr/>
    </dgm:pt>
    <dgm:pt modelId="{ACCDEFF2-3BA4-4FA3-B813-7D7FA5CD08F7}" type="pres">
      <dgm:prSet presAssocID="{49780C3B-5302-4C6A-A53E-87A9FFD3E42D}" presName="sibTrans" presStyleLbl="sibTrans1D1" presStyleIdx="3" presStyleCnt="7"/>
      <dgm:spPr/>
      <dgm:t>
        <a:bodyPr/>
        <a:lstStyle/>
        <a:p>
          <a:endParaRPr lang="en-US"/>
        </a:p>
      </dgm:t>
    </dgm:pt>
    <dgm:pt modelId="{9AB33C17-81E4-4762-BD97-1771C6100C8C}" type="pres">
      <dgm:prSet presAssocID="{D2CB28DB-467B-4EBD-98FF-8B3B47B63887}" presName="node" presStyleLbl="node1" presStyleIdx="4" presStyleCnt="7" custScaleX="130464">
        <dgm:presLayoutVars>
          <dgm:bulletEnabled val="1"/>
        </dgm:presLayoutVars>
      </dgm:prSet>
      <dgm:spPr/>
      <dgm:t>
        <a:bodyPr/>
        <a:lstStyle/>
        <a:p>
          <a:endParaRPr lang="en-US"/>
        </a:p>
      </dgm:t>
    </dgm:pt>
    <dgm:pt modelId="{2B284832-9CC2-4363-9C83-972BE71D6191}" type="pres">
      <dgm:prSet presAssocID="{D2CB28DB-467B-4EBD-98FF-8B3B47B63887}" presName="spNode" presStyleCnt="0"/>
      <dgm:spPr/>
    </dgm:pt>
    <dgm:pt modelId="{70CD5241-F9FD-4C5E-ADC8-6ADE3EACC361}" type="pres">
      <dgm:prSet presAssocID="{ACC50D2C-D879-48EC-A2D0-F9E1B0D098C1}" presName="sibTrans" presStyleLbl="sibTrans1D1" presStyleIdx="4" presStyleCnt="7"/>
      <dgm:spPr/>
      <dgm:t>
        <a:bodyPr/>
        <a:lstStyle/>
        <a:p>
          <a:endParaRPr lang="en-US"/>
        </a:p>
      </dgm:t>
    </dgm:pt>
    <dgm:pt modelId="{B564474C-FC1F-47F0-9842-372C6E53374B}" type="pres">
      <dgm:prSet presAssocID="{F8BFBB2D-1788-432A-A714-56235578C14F}" presName="node" presStyleLbl="node1" presStyleIdx="5" presStyleCnt="7" custScaleX="142673">
        <dgm:presLayoutVars>
          <dgm:bulletEnabled val="1"/>
        </dgm:presLayoutVars>
      </dgm:prSet>
      <dgm:spPr/>
      <dgm:t>
        <a:bodyPr/>
        <a:lstStyle/>
        <a:p>
          <a:endParaRPr lang="en-US"/>
        </a:p>
      </dgm:t>
    </dgm:pt>
    <dgm:pt modelId="{CA6F8C1B-1C9E-47BB-A4DC-F5760C85B71A}" type="pres">
      <dgm:prSet presAssocID="{F8BFBB2D-1788-432A-A714-56235578C14F}" presName="spNode" presStyleCnt="0"/>
      <dgm:spPr/>
    </dgm:pt>
    <dgm:pt modelId="{8D0FD93C-47F3-46A0-9CBF-1495A9106C96}" type="pres">
      <dgm:prSet presAssocID="{2882628F-7695-4AE2-91CF-129077A5354C}" presName="sibTrans" presStyleLbl="sibTrans1D1" presStyleIdx="5" presStyleCnt="7"/>
      <dgm:spPr/>
      <dgm:t>
        <a:bodyPr/>
        <a:lstStyle/>
        <a:p>
          <a:endParaRPr lang="en-US"/>
        </a:p>
      </dgm:t>
    </dgm:pt>
    <dgm:pt modelId="{839DDC7C-0485-453C-A8E8-E42BF3090AE3}" type="pres">
      <dgm:prSet presAssocID="{4F8351C9-3E6C-40C1-83CB-987DCC3D8772}" presName="node" presStyleLbl="node1" presStyleIdx="6" presStyleCnt="7" custScaleX="138211">
        <dgm:presLayoutVars>
          <dgm:bulletEnabled val="1"/>
        </dgm:presLayoutVars>
      </dgm:prSet>
      <dgm:spPr/>
      <dgm:t>
        <a:bodyPr/>
        <a:lstStyle/>
        <a:p>
          <a:endParaRPr lang="en-US"/>
        </a:p>
      </dgm:t>
    </dgm:pt>
    <dgm:pt modelId="{3203BD1C-7700-490E-A8AB-FFA190D4142B}" type="pres">
      <dgm:prSet presAssocID="{4F8351C9-3E6C-40C1-83CB-987DCC3D8772}" presName="spNode" presStyleCnt="0"/>
      <dgm:spPr/>
    </dgm:pt>
    <dgm:pt modelId="{505A8776-8B83-41CF-BE76-494DD87CF6AC}" type="pres">
      <dgm:prSet presAssocID="{D54EB2CD-A2DB-4A5C-B118-E112B53D599B}" presName="sibTrans" presStyleLbl="sibTrans1D1" presStyleIdx="6" presStyleCnt="7"/>
      <dgm:spPr/>
      <dgm:t>
        <a:bodyPr/>
        <a:lstStyle/>
        <a:p>
          <a:endParaRPr lang="en-US"/>
        </a:p>
      </dgm:t>
    </dgm:pt>
  </dgm:ptLst>
  <dgm:cxnLst>
    <dgm:cxn modelId="{FB9D0815-21DD-45E2-A1BD-415BD0C11D5B}" type="presOf" srcId="{B4A539B1-778F-4E21-9F81-D909F3AE15BE}" destId="{D3F874E8-5E41-4A42-8D8B-E1ABA1706497}" srcOrd="0" destOrd="0" presId="urn:microsoft.com/office/officeart/2005/8/layout/cycle6"/>
    <dgm:cxn modelId="{2460618E-F9BB-4646-93D0-3056B6683F34}" srcId="{477A9811-CC0B-4CFA-BAFF-7DB391F3A9BE}" destId="{F8BFBB2D-1788-432A-A714-56235578C14F}" srcOrd="5" destOrd="0" parTransId="{DA007AEA-54E0-43A1-BE87-8791149290EA}" sibTransId="{2882628F-7695-4AE2-91CF-129077A5354C}"/>
    <dgm:cxn modelId="{DE5CE162-8288-46C2-8262-3567999E51EE}" type="presOf" srcId="{477A9811-CC0B-4CFA-BAFF-7DB391F3A9BE}" destId="{055DEBDC-560D-483A-B81A-36418E8390A0}" srcOrd="0" destOrd="0" presId="urn:microsoft.com/office/officeart/2005/8/layout/cycle6"/>
    <dgm:cxn modelId="{1A6D5F35-2878-4916-9959-B87394469D26}" type="presOf" srcId="{D2CB28DB-467B-4EBD-98FF-8B3B47B63887}" destId="{9AB33C17-81E4-4762-BD97-1771C6100C8C}" srcOrd="0" destOrd="0" presId="urn:microsoft.com/office/officeart/2005/8/layout/cycle6"/>
    <dgm:cxn modelId="{5C4BF59E-FAEA-4220-938F-2264DB104FE0}" srcId="{477A9811-CC0B-4CFA-BAFF-7DB391F3A9BE}" destId="{D2CB28DB-467B-4EBD-98FF-8B3B47B63887}" srcOrd="4" destOrd="0" parTransId="{E4B12810-C396-4A32-B75F-A6913E22DE83}" sibTransId="{ACC50D2C-D879-48EC-A2D0-F9E1B0D098C1}"/>
    <dgm:cxn modelId="{39BFF491-B59E-4482-BF5C-95ADF8F08B6B}" type="presOf" srcId="{ACC50D2C-D879-48EC-A2D0-F9E1B0D098C1}" destId="{70CD5241-F9FD-4C5E-ADC8-6ADE3EACC361}" srcOrd="0" destOrd="0" presId="urn:microsoft.com/office/officeart/2005/8/layout/cycle6"/>
    <dgm:cxn modelId="{DEE5D4DD-1283-402F-9C42-19D3582F6F08}" type="presOf" srcId="{7D7F4C3B-71EF-4DAE-96F7-ACCCF005BA7D}" destId="{99CDCF64-8419-45A8-B378-3E55C213AF96}" srcOrd="0" destOrd="0" presId="urn:microsoft.com/office/officeart/2005/8/layout/cycle6"/>
    <dgm:cxn modelId="{7D615A9F-E87E-453C-8E73-5C16A498F887}" srcId="{477A9811-CC0B-4CFA-BAFF-7DB391F3A9BE}" destId="{E766C6CA-53DF-4F10-A4D5-8CB8898EE5DF}" srcOrd="0" destOrd="0" parTransId="{626F71A9-B110-4DF6-AD97-AA8830D249C5}" sibTransId="{7D7F4C3B-71EF-4DAE-96F7-ACCCF005BA7D}"/>
    <dgm:cxn modelId="{1418E4BD-E074-45E4-BB15-E0FDD03E2A06}" type="presOf" srcId="{26E42357-3E30-47D8-B45B-051F280C40A8}" destId="{A35061AA-964D-4BA4-9FEC-55CD9409951C}" srcOrd="0" destOrd="0" presId="urn:microsoft.com/office/officeart/2005/8/layout/cycle6"/>
    <dgm:cxn modelId="{B6B70D77-5B07-4608-A0E7-7043FB6A5EE3}" type="presOf" srcId="{D54EB2CD-A2DB-4A5C-B118-E112B53D599B}" destId="{505A8776-8B83-41CF-BE76-494DD87CF6AC}" srcOrd="0" destOrd="0" presId="urn:microsoft.com/office/officeart/2005/8/layout/cycle6"/>
    <dgm:cxn modelId="{F376454F-CF91-4526-88F0-30861E5774A6}" type="presOf" srcId="{2882628F-7695-4AE2-91CF-129077A5354C}" destId="{8D0FD93C-47F3-46A0-9CBF-1495A9106C96}" srcOrd="0" destOrd="0" presId="urn:microsoft.com/office/officeart/2005/8/layout/cycle6"/>
    <dgm:cxn modelId="{BA61389C-33A9-4B69-B0EB-C230695CC941}" type="presOf" srcId="{AC122E5A-17C6-48D7-A673-E70046BBBEEB}" destId="{65C969C0-E163-4912-85C8-7427175317B5}" srcOrd="0" destOrd="0" presId="urn:microsoft.com/office/officeart/2005/8/layout/cycle6"/>
    <dgm:cxn modelId="{9DC75C69-3BAD-45C3-8A05-F78FDE1060F1}" type="presOf" srcId="{49780C3B-5302-4C6A-A53E-87A9FFD3E42D}" destId="{ACCDEFF2-3BA4-4FA3-B813-7D7FA5CD08F7}" srcOrd="0" destOrd="0" presId="urn:microsoft.com/office/officeart/2005/8/layout/cycle6"/>
    <dgm:cxn modelId="{146DA92C-0C7D-4C61-B80B-359849207E2C}" type="presOf" srcId="{88B78474-B5BC-4F69-A045-FDBFD6BEE511}" destId="{1D51269D-7044-4044-8FAD-74CCA76E3199}" srcOrd="0" destOrd="0" presId="urn:microsoft.com/office/officeart/2005/8/layout/cycle6"/>
    <dgm:cxn modelId="{829B2EED-CBC3-4CB1-8825-D1DB5BC1784D}" srcId="{477A9811-CC0B-4CFA-BAFF-7DB391F3A9BE}" destId="{26E42357-3E30-47D8-B45B-051F280C40A8}" srcOrd="1" destOrd="0" parTransId="{218F03F9-BB87-492D-92FE-63E770D51D5F}" sibTransId="{AC122E5A-17C6-48D7-A673-E70046BBBEEB}"/>
    <dgm:cxn modelId="{1E344DAC-FCA5-4260-91A3-E9B64A1E6C36}" type="presOf" srcId="{8BC99753-0F5E-4D7D-A6F3-9A28F638F4EF}" destId="{30BCCC17-8F45-4E6F-8B91-3883DF017224}" srcOrd="0" destOrd="0" presId="urn:microsoft.com/office/officeart/2005/8/layout/cycle6"/>
    <dgm:cxn modelId="{90AC3178-7CF0-48F0-BE57-48EAC1E1091A}" srcId="{477A9811-CC0B-4CFA-BAFF-7DB391F3A9BE}" destId="{88B78474-B5BC-4F69-A045-FDBFD6BEE511}" srcOrd="2" destOrd="0" parTransId="{7BCA26CD-E46D-44EC-A947-59729302A9D0}" sibTransId="{8BC99753-0F5E-4D7D-A6F3-9A28F638F4EF}"/>
    <dgm:cxn modelId="{ECCD1F2B-A3C7-444E-883C-6F6840C28E2B}" type="presOf" srcId="{F8BFBB2D-1788-432A-A714-56235578C14F}" destId="{B564474C-FC1F-47F0-9842-372C6E53374B}" srcOrd="0" destOrd="0" presId="urn:microsoft.com/office/officeart/2005/8/layout/cycle6"/>
    <dgm:cxn modelId="{40DF1049-9675-44FB-8E9B-A22994C3B5CC}" srcId="{477A9811-CC0B-4CFA-BAFF-7DB391F3A9BE}" destId="{B4A539B1-778F-4E21-9F81-D909F3AE15BE}" srcOrd="3" destOrd="0" parTransId="{1D1B0C7E-D073-4070-BF77-05170F05B503}" sibTransId="{49780C3B-5302-4C6A-A53E-87A9FFD3E42D}"/>
    <dgm:cxn modelId="{56CBC051-A691-4EDD-B74E-06271128A9AE}" type="presOf" srcId="{4F8351C9-3E6C-40C1-83CB-987DCC3D8772}" destId="{839DDC7C-0485-453C-A8E8-E42BF3090AE3}" srcOrd="0" destOrd="0" presId="urn:microsoft.com/office/officeart/2005/8/layout/cycle6"/>
    <dgm:cxn modelId="{5FB3F563-3F0E-4E01-942A-0D662AFDE199}" srcId="{477A9811-CC0B-4CFA-BAFF-7DB391F3A9BE}" destId="{4F8351C9-3E6C-40C1-83CB-987DCC3D8772}" srcOrd="6" destOrd="0" parTransId="{A741C2F2-2118-4BE5-B106-8070EC594193}" sibTransId="{D54EB2CD-A2DB-4A5C-B118-E112B53D599B}"/>
    <dgm:cxn modelId="{06D3441A-97C1-4C5A-890B-9C816C4FDA63}" type="presOf" srcId="{E766C6CA-53DF-4F10-A4D5-8CB8898EE5DF}" destId="{3FF8A6C8-1665-4B98-8E76-1BA91E0B7BB5}" srcOrd="0" destOrd="0" presId="urn:microsoft.com/office/officeart/2005/8/layout/cycle6"/>
    <dgm:cxn modelId="{934A520A-52DD-459A-93C0-1BB37A1644C7}" type="presParOf" srcId="{055DEBDC-560D-483A-B81A-36418E8390A0}" destId="{3FF8A6C8-1665-4B98-8E76-1BA91E0B7BB5}" srcOrd="0" destOrd="0" presId="urn:microsoft.com/office/officeart/2005/8/layout/cycle6"/>
    <dgm:cxn modelId="{EC493818-D6A1-4215-B720-F9727C2E6CE6}" type="presParOf" srcId="{055DEBDC-560D-483A-B81A-36418E8390A0}" destId="{A1DC1120-22B7-44D7-99C3-5D8F59BAFC3F}" srcOrd="1" destOrd="0" presId="urn:microsoft.com/office/officeart/2005/8/layout/cycle6"/>
    <dgm:cxn modelId="{5A6E37C4-F119-4AC2-9E60-6D12AF925E37}" type="presParOf" srcId="{055DEBDC-560D-483A-B81A-36418E8390A0}" destId="{99CDCF64-8419-45A8-B378-3E55C213AF96}" srcOrd="2" destOrd="0" presId="urn:microsoft.com/office/officeart/2005/8/layout/cycle6"/>
    <dgm:cxn modelId="{C397ECEA-6534-46F7-A774-DECF903BC5C5}" type="presParOf" srcId="{055DEBDC-560D-483A-B81A-36418E8390A0}" destId="{A35061AA-964D-4BA4-9FEC-55CD9409951C}" srcOrd="3" destOrd="0" presId="urn:microsoft.com/office/officeart/2005/8/layout/cycle6"/>
    <dgm:cxn modelId="{6D4BD50F-6B28-4E04-9330-F13500CD25E9}" type="presParOf" srcId="{055DEBDC-560D-483A-B81A-36418E8390A0}" destId="{591FB257-DDF9-41FF-8BC9-BDAA98126891}" srcOrd="4" destOrd="0" presId="urn:microsoft.com/office/officeart/2005/8/layout/cycle6"/>
    <dgm:cxn modelId="{08AD3A05-1B9D-4A18-BE2E-323273BFF7BB}" type="presParOf" srcId="{055DEBDC-560D-483A-B81A-36418E8390A0}" destId="{65C969C0-E163-4912-85C8-7427175317B5}" srcOrd="5" destOrd="0" presId="urn:microsoft.com/office/officeart/2005/8/layout/cycle6"/>
    <dgm:cxn modelId="{30898448-6EF5-43E0-A88D-559B21EEA38D}" type="presParOf" srcId="{055DEBDC-560D-483A-B81A-36418E8390A0}" destId="{1D51269D-7044-4044-8FAD-74CCA76E3199}" srcOrd="6" destOrd="0" presId="urn:microsoft.com/office/officeart/2005/8/layout/cycle6"/>
    <dgm:cxn modelId="{082DB794-F6AF-4D91-BDD1-F115EDBA9A24}" type="presParOf" srcId="{055DEBDC-560D-483A-B81A-36418E8390A0}" destId="{29CC9CB0-3EB2-4620-B9C3-3B798093A2EA}" srcOrd="7" destOrd="0" presId="urn:microsoft.com/office/officeart/2005/8/layout/cycle6"/>
    <dgm:cxn modelId="{DACADF0D-1DBB-4DD5-9560-B100D3888ECB}" type="presParOf" srcId="{055DEBDC-560D-483A-B81A-36418E8390A0}" destId="{30BCCC17-8F45-4E6F-8B91-3883DF017224}" srcOrd="8" destOrd="0" presId="urn:microsoft.com/office/officeart/2005/8/layout/cycle6"/>
    <dgm:cxn modelId="{7B8EF79F-F1F4-4644-8279-5F888B56FB51}" type="presParOf" srcId="{055DEBDC-560D-483A-B81A-36418E8390A0}" destId="{D3F874E8-5E41-4A42-8D8B-E1ABA1706497}" srcOrd="9" destOrd="0" presId="urn:microsoft.com/office/officeart/2005/8/layout/cycle6"/>
    <dgm:cxn modelId="{0F63F9B5-F70D-4A82-87AA-320419B74AB6}" type="presParOf" srcId="{055DEBDC-560D-483A-B81A-36418E8390A0}" destId="{1A4439BA-F0BE-493E-AC98-A1DBBAA85871}" srcOrd="10" destOrd="0" presId="urn:microsoft.com/office/officeart/2005/8/layout/cycle6"/>
    <dgm:cxn modelId="{04CC8F11-F927-49DC-B9F5-499A595426C4}" type="presParOf" srcId="{055DEBDC-560D-483A-B81A-36418E8390A0}" destId="{ACCDEFF2-3BA4-4FA3-B813-7D7FA5CD08F7}" srcOrd="11" destOrd="0" presId="urn:microsoft.com/office/officeart/2005/8/layout/cycle6"/>
    <dgm:cxn modelId="{D87F42AB-9CDC-43AF-A26F-DEE74EF3CC16}" type="presParOf" srcId="{055DEBDC-560D-483A-B81A-36418E8390A0}" destId="{9AB33C17-81E4-4762-BD97-1771C6100C8C}" srcOrd="12" destOrd="0" presId="urn:microsoft.com/office/officeart/2005/8/layout/cycle6"/>
    <dgm:cxn modelId="{14050BD3-BFE1-4C23-BB9C-5B5FEB286C73}" type="presParOf" srcId="{055DEBDC-560D-483A-B81A-36418E8390A0}" destId="{2B284832-9CC2-4363-9C83-972BE71D6191}" srcOrd="13" destOrd="0" presId="urn:microsoft.com/office/officeart/2005/8/layout/cycle6"/>
    <dgm:cxn modelId="{9A9579E6-E69E-4F25-BE98-2257D851E02D}" type="presParOf" srcId="{055DEBDC-560D-483A-B81A-36418E8390A0}" destId="{70CD5241-F9FD-4C5E-ADC8-6ADE3EACC361}" srcOrd="14" destOrd="0" presId="urn:microsoft.com/office/officeart/2005/8/layout/cycle6"/>
    <dgm:cxn modelId="{F5EB2394-039D-46D9-ABEC-CEC1A16DFA2B}" type="presParOf" srcId="{055DEBDC-560D-483A-B81A-36418E8390A0}" destId="{B564474C-FC1F-47F0-9842-372C6E53374B}" srcOrd="15" destOrd="0" presId="urn:microsoft.com/office/officeart/2005/8/layout/cycle6"/>
    <dgm:cxn modelId="{6E381EC6-91C9-40C1-9732-049D0CE0C038}" type="presParOf" srcId="{055DEBDC-560D-483A-B81A-36418E8390A0}" destId="{CA6F8C1B-1C9E-47BB-A4DC-F5760C85B71A}" srcOrd="16" destOrd="0" presId="urn:microsoft.com/office/officeart/2005/8/layout/cycle6"/>
    <dgm:cxn modelId="{17764F74-0E38-4598-B06E-3EF087BF3DFB}" type="presParOf" srcId="{055DEBDC-560D-483A-B81A-36418E8390A0}" destId="{8D0FD93C-47F3-46A0-9CBF-1495A9106C96}" srcOrd="17" destOrd="0" presId="urn:microsoft.com/office/officeart/2005/8/layout/cycle6"/>
    <dgm:cxn modelId="{64B92555-CD2A-4196-85BD-F3E027A87717}" type="presParOf" srcId="{055DEBDC-560D-483A-B81A-36418E8390A0}" destId="{839DDC7C-0485-453C-A8E8-E42BF3090AE3}" srcOrd="18" destOrd="0" presId="urn:microsoft.com/office/officeart/2005/8/layout/cycle6"/>
    <dgm:cxn modelId="{AD0406E1-CAB7-4869-85A9-CE454A5B2D54}" type="presParOf" srcId="{055DEBDC-560D-483A-B81A-36418E8390A0}" destId="{3203BD1C-7700-490E-A8AB-FFA190D4142B}" srcOrd="19" destOrd="0" presId="urn:microsoft.com/office/officeart/2005/8/layout/cycle6"/>
    <dgm:cxn modelId="{E02F4F3F-4B10-402C-92D9-F3C0D6F0CCE9}" type="presParOf" srcId="{055DEBDC-560D-483A-B81A-36418E8390A0}" destId="{505A8776-8B83-41CF-BE76-494DD87CF6AC}" srcOrd="20" destOrd="0" presId="urn:microsoft.com/office/officeart/2005/8/layout/cycle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F8A6C8-1665-4B98-8E76-1BA91E0B7BB5}">
      <dsp:nvSpPr>
        <dsp:cNvPr id="0" name=""/>
        <dsp:cNvSpPr/>
      </dsp:nvSpPr>
      <dsp:spPr>
        <a:xfrm>
          <a:off x="2220959" y="1157"/>
          <a:ext cx="1104905" cy="498008"/>
        </a:xfrm>
        <a:prstGeom prst="round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en-GB" sz="800" kern="1200">
              <a:solidFill>
                <a:sysClr val="window" lastClr="FFFFFF"/>
              </a:solidFill>
              <a:latin typeface="Aptos" panose="02110004020202020204"/>
              <a:ea typeface="+mn-ea"/>
              <a:cs typeface="+mn-cs"/>
            </a:rPr>
            <a:t>Monitoruar, Vlerësuar dhe Përmirësuar Vazhdimisht</a:t>
          </a:r>
        </a:p>
      </dsp:txBody>
      <dsp:txXfrm>
        <a:off x="2245270" y="25468"/>
        <a:ext cx="1056283" cy="449386"/>
      </dsp:txXfrm>
    </dsp:sp>
    <dsp:sp modelId="{99CDCF64-8419-45A8-B378-3E55C213AF96}">
      <dsp:nvSpPr>
        <dsp:cNvPr id="0" name=""/>
        <dsp:cNvSpPr/>
      </dsp:nvSpPr>
      <dsp:spPr>
        <a:xfrm>
          <a:off x="1353043" y="250161"/>
          <a:ext cx="2840737" cy="2840737"/>
        </a:xfrm>
        <a:custGeom>
          <a:avLst/>
          <a:gdLst/>
          <a:ahLst/>
          <a:cxnLst/>
          <a:rect l="0" t="0" r="0" b="0"/>
          <a:pathLst>
            <a:path>
              <a:moveTo>
                <a:pt x="1808513" y="54063"/>
              </a:moveTo>
              <a:arcTo wR="1420368" hR="1420368" stAng="17151539" swAng="1254795"/>
            </a:path>
          </a:pathLst>
        </a:custGeom>
        <a:noFill/>
        <a:ln w="6350" cap="flat" cmpd="sng" algn="ctr">
          <a:solidFill>
            <a:srgbClr val="156082">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A35061AA-964D-4BA4-9FEC-55CD9409951C}">
      <dsp:nvSpPr>
        <dsp:cNvPr id="0" name=""/>
        <dsp:cNvSpPr/>
      </dsp:nvSpPr>
      <dsp:spPr>
        <a:xfrm>
          <a:off x="3371151" y="535940"/>
          <a:ext cx="1025499" cy="498008"/>
        </a:xfrm>
        <a:prstGeom prst="round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en-GB" sz="800" kern="1200">
              <a:solidFill>
                <a:sysClr val="window" lastClr="FFFFFF"/>
              </a:solidFill>
              <a:latin typeface="Aptos" panose="02110004020202020204"/>
              <a:ea typeface="+mn-ea"/>
              <a:cs typeface="+mn-cs"/>
            </a:rPr>
            <a:t>Qëndrueshmëria</a:t>
          </a:r>
        </a:p>
      </dsp:txBody>
      <dsp:txXfrm>
        <a:off x="3395462" y="560251"/>
        <a:ext cx="976877" cy="449386"/>
      </dsp:txXfrm>
    </dsp:sp>
    <dsp:sp modelId="{65C969C0-E163-4912-85C8-7427175317B5}">
      <dsp:nvSpPr>
        <dsp:cNvPr id="0" name=""/>
        <dsp:cNvSpPr/>
      </dsp:nvSpPr>
      <dsp:spPr>
        <a:xfrm>
          <a:off x="1353043" y="250161"/>
          <a:ext cx="2840737" cy="2840737"/>
        </a:xfrm>
        <a:custGeom>
          <a:avLst/>
          <a:gdLst/>
          <a:ahLst/>
          <a:cxnLst/>
          <a:rect l="0" t="0" r="0" b="0"/>
          <a:pathLst>
            <a:path>
              <a:moveTo>
                <a:pt x="2693304" y="790225"/>
              </a:moveTo>
              <a:arcTo wR="1420368" hR="1420368" stAng="20019789" swAng="1725163"/>
            </a:path>
          </a:pathLst>
        </a:custGeom>
        <a:noFill/>
        <a:ln w="6350" cap="flat" cmpd="sng" algn="ctr">
          <a:solidFill>
            <a:srgbClr val="156082">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1D51269D-7044-4044-8FAD-74CCA76E3199}">
      <dsp:nvSpPr>
        <dsp:cNvPr id="0" name=""/>
        <dsp:cNvSpPr/>
      </dsp:nvSpPr>
      <dsp:spPr>
        <a:xfrm>
          <a:off x="3672035" y="1737587"/>
          <a:ext cx="972266" cy="498008"/>
        </a:xfrm>
        <a:prstGeom prst="round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en-GB" sz="800" kern="1200">
              <a:solidFill>
                <a:sysClr val="window" lastClr="FFFFFF"/>
              </a:solidFill>
              <a:latin typeface="Aptos" panose="02110004020202020204"/>
              <a:ea typeface="+mn-ea"/>
              <a:cs typeface="+mn-cs"/>
            </a:rPr>
            <a:t>Fleksibile dhe Përshtatëse</a:t>
          </a:r>
        </a:p>
      </dsp:txBody>
      <dsp:txXfrm>
        <a:off x="3696346" y="1761898"/>
        <a:ext cx="923644" cy="449386"/>
      </dsp:txXfrm>
    </dsp:sp>
    <dsp:sp modelId="{30BCCC17-8F45-4E6F-8B91-3883DF017224}">
      <dsp:nvSpPr>
        <dsp:cNvPr id="0" name=""/>
        <dsp:cNvSpPr/>
      </dsp:nvSpPr>
      <dsp:spPr>
        <a:xfrm>
          <a:off x="1353043" y="250161"/>
          <a:ext cx="2840737" cy="2840737"/>
        </a:xfrm>
        <a:custGeom>
          <a:avLst/>
          <a:gdLst/>
          <a:ahLst/>
          <a:cxnLst/>
          <a:rect l="0" t="0" r="0" b="0"/>
          <a:pathLst>
            <a:path>
              <a:moveTo>
                <a:pt x="2721227" y="1990644"/>
              </a:moveTo>
              <a:arcTo wR="1420368" hR="1420368" stAng="1420313" swAng="1357355"/>
            </a:path>
          </a:pathLst>
        </a:custGeom>
        <a:noFill/>
        <a:ln w="6350" cap="flat" cmpd="sng" algn="ctr">
          <a:solidFill>
            <a:srgbClr val="156082">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D3F874E8-5E41-4A42-8D8B-E1ABA1706497}">
      <dsp:nvSpPr>
        <dsp:cNvPr id="0" name=""/>
        <dsp:cNvSpPr/>
      </dsp:nvSpPr>
      <dsp:spPr>
        <a:xfrm>
          <a:off x="2874121" y="2701233"/>
          <a:ext cx="1031130" cy="498008"/>
        </a:xfrm>
        <a:prstGeom prst="round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en-GB" sz="800" kern="1200">
              <a:solidFill>
                <a:sysClr val="window" lastClr="FFFFFF"/>
              </a:solidFill>
              <a:latin typeface="Aptos" panose="02110004020202020204"/>
              <a:ea typeface="+mn-ea"/>
              <a:cs typeface="+mn-cs"/>
            </a:rPr>
            <a:t>Planifikimi i Bazuar në Dëshmi</a:t>
          </a:r>
        </a:p>
      </dsp:txBody>
      <dsp:txXfrm>
        <a:off x="2898432" y="2725544"/>
        <a:ext cx="982508" cy="449386"/>
      </dsp:txXfrm>
    </dsp:sp>
    <dsp:sp modelId="{ACCDEFF2-3BA4-4FA3-B813-7D7FA5CD08F7}">
      <dsp:nvSpPr>
        <dsp:cNvPr id="0" name=""/>
        <dsp:cNvSpPr/>
      </dsp:nvSpPr>
      <dsp:spPr>
        <a:xfrm>
          <a:off x="1353043" y="250161"/>
          <a:ext cx="2840737" cy="2840737"/>
        </a:xfrm>
        <a:custGeom>
          <a:avLst/>
          <a:gdLst/>
          <a:ahLst/>
          <a:cxnLst/>
          <a:rect l="0" t="0" r="0" b="0"/>
          <a:pathLst>
            <a:path>
              <a:moveTo>
                <a:pt x="1648958" y="2822222"/>
              </a:moveTo>
              <a:arcTo wR="1420368" hR="1420368" stAng="4844324" swAng="1111353"/>
            </a:path>
          </a:pathLst>
        </a:custGeom>
        <a:noFill/>
        <a:ln w="6350" cap="flat" cmpd="sng" algn="ctr">
          <a:solidFill>
            <a:srgbClr val="156082">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9AB33C17-81E4-4762-BD97-1771C6100C8C}">
      <dsp:nvSpPr>
        <dsp:cNvPr id="0" name=""/>
        <dsp:cNvSpPr/>
      </dsp:nvSpPr>
      <dsp:spPr>
        <a:xfrm>
          <a:off x="1657350" y="2701233"/>
          <a:ext cx="999572" cy="498008"/>
        </a:xfrm>
        <a:prstGeom prst="round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en-GB" sz="800" kern="1200">
              <a:solidFill>
                <a:sysClr val="window" lastClr="FFFFFF"/>
              </a:solidFill>
              <a:latin typeface="Aptos" panose="02110004020202020204"/>
              <a:ea typeface="+mn-ea"/>
              <a:cs typeface="+mn-cs"/>
            </a:rPr>
            <a:t>Bashkëpunuese dhe Koherente</a:t>
          </a:r>
        </a:p>
      </dsp:txBody>
      <dsp:txXfrm>
        <a:off x="1681661" y="2725544"/>
        <a:ext cx="950950" cy="449386"/>
      </dsp:txXfrm>
    </dsp:sp>
    <dsp:sp modelId="{70CD5241-F9FD-4C5E-ADC8-6ADE3EACC361}">
      <dsp:nvSpPr>
        <dsp:cNvPr id="0" name=""/>
        <dsp:cNvSpPr/>
      </dsp:nvSpPr>
      <dsp:spPr>
        <a:xfrm>
          <a:off x="1353043" y="250161"/>
          <a:ext cx="2840737" cy="2840737"/>
        </a:xfrm>
        <a:custGeom>
          <a:avLst/>
          <a:gdLst/>
          <a:ahLst/>
          <a:cxnLst/>
          <a:rect l="0" t="0" r="0" b="0"/>
          <a:pathLst>
            <a:path>
              <a:moveTo>
                <a:pt x="438961" y="2447153"/>
              </a:moveTo>
              <a:arcTo wR="1420368" hR="1420368" stAng="8022332" swAng="1357355"/>
            </a:path>
          </a:pathLst>
        </a:custGeom>
        <a:noFill/>
        <a:ln w="6350" cap="flat" cmpd="sng" algn="ctr">
          <a:solidFill>
            <a:srgbClr val="156082">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B564474C-FC1F-47F0-9842-372C6E53374B}">
      <dsp:nvSpPr>
        <dsp:cNvPr id="0" name=""/>
        <dsp:cNvSpPr/>
      </dsp:nvSpPr>
      <dsp:spPr>
        <a:xfrm>
          <a:off x="842097" y="1737587"/>
          <a:ext cx="1093113" cy="498008"/>
        </a:xfrm>
        <a:prstGeom prst="round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en-GB" sz="800" kern="1200">
              <a:solidFill>
                <a:sysClr val="window" lastClr="FFFFFF"/>
              </a:solidFill>
              <a:latin typeface="Aptos" panose="02110004020202020204"/>
              <a:ea typeface="+mn-ea"/>
              <a:cs typeface="+mn-cs"/>
            </a:rPr>
            <a:t>Përfshirja dhe Drejtësia Sociale</a:t>
          </a:r>
        </a:p>
      </dsp:txBody>
      <dsp:txXfrm>
        <a:off x="866408" y="1761898"/>
        <a:ext cx="1044491" cy="449386"/>
      </dsp:txXfrm>
    </dsp:sp>
    <dsp:sp modelId="{8D0FD93C-47F3-46A0-9CBF-1495A9106C96}">
      <dsp:nvSpPr>
        <dsp:cNvPr id="0" name=""/>
        <dsp:cNvSpPr/>
      </dsp:nvSpPr>
      <dsp:spPr>
        <a:xfrm>
          <a:off x="1353043" y="250161"/>
          <a:ext cx="2840737" cy="2840737"/>
        </a:xfrm>
        <a:custGeom>
          <a:avLst/>
          <a:gdLst/>
          <a:ahLst/>
          <a:cxnLst/>
          <a:rect l="0" t="0" r="0" b="0"/>
          <a:pathLst>
            <a:path>
              <a:moveTo>
                <a:pt x="1262" y="1480240"/>
              </a:moveTo>
              <a:arcTo wR="1420368" hR="1420368" stAng="10655047" swAng="1725163"/>
            </a:path>
          </a:pathLst>
        </a:custGeom>
        <a:noFill/>
        <a:ln w="6350" cap="flat" cmpd="sng" algn="ctr">
          <a:solidFill>
            <a:srgbClr val="156082">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839DDC7C-0485-453C-A8E8-E42BF3090AE3}">
      <dsp:nvSpPr>
        <dsp:cNvPr id="0" name=""/>
        <dsp:cNvSpPr/>
      </dsp:nvSpPr>
      <dsp:spPr>
        <a:xfrm>
          <a:off x="1133459" y="535940"/>
          <a:ext cx="1058927" cy="498008"/>
        </a:xfrm>
        <a:prstGeom prst="round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en-GB" sz="800" kern="1200">
              <a:solidFill>
                <a:sysClr val="window" lastClr="FFFFFF"/>
              </a:solidFill>
              <a:latin typeface="Aptos" panose="02110004020202020204"/>
              <a:ea typeface="+mn-ea"/>
              <a:cs typeface="+mn-cs"/>
            </a:rPr>
            <a:t>Specifike për Kontekstin dhe e Bazuar në Vend</a:t>
          </a:r>
        </a:p>
      </dsp:txBody>
      <dsp:txXfrm>
        <a:off x="1157770" y="560251"/>
        <a:ext cx="1010305" cy="449386"/>
      </dsp:txXfrm>
    </dsp:sp>
    <dsp:sp modelId="{505A8776-8B83-41CF-BE76-494DD87CF6AC}">
      <dsp:nvSpPr>
        <dsp:cNvPr id="0" name=""/>
        <dsp:cNvSpPr/>
      </dsp:nvSpPr>
      <dsp:spPr>
        <a:xfrm>
          <a:off x="1353043" y="250161"/>
          <a:ext cx="2840737" cy="2840737"/>
        </a:xfrm>
        <a:custGeom>
          <a:avLst/>
          <a:gdLst/>
          <a:ahLst/>
          <a:cxnLst/>
          <a:rect l="0" t="0" r="0" b="0"/>
          <a:pathLst>
            <a:path>
              <a:moveTo>
                <a:pt x="570085" y="282622"/>
              </a:moveTo>
              <a:arcTo wR="1420368" hR="1420368" stAng="13993665" swAng="1254795"/>
            </a:path>
          </a:pathLst>
        </a:custGeom>
        <a:noFill/>
        <a:ln w="6350" cap="flat" cmpd="sng" algn="ctr">
          <a:solidFill>
            <a:srgbClr val="156082">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7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E95A153-714D-4F73-9A87-9CB3008AE496}">
  <we:reference id="WA104382081" version="1.55.1.0" store="Omex" storeType="OMEX"/>
  <we:alternateReferences>
    <we:reference id="WA104382081" version="1.55.1.0" store="WA104382081"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0FF17-6237-4F3B-BB54-B1E1DCA94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66526</Words>
  <Characters>379203</Characters>
  <Application>Microsoft Office Word</Application>
  <DocSecurity>0</DocSecurity>
  <Lines>3160</Lines>
  <Paragraphs>889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444840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Inês Ferreira</dc:creator>
  <cp:keywords/>
  <dc:description/>
  <cp:lastModifiedBy>Vlora Osaj</cp:lastModifiedBy>
  <cp:revision>34</cp:revision>
  <dcterms:created xsi:type="dcterms:W3CDTF">2025-10-16T16:59:00Z</dcterms:created>
  <dcterms:modified xsi:type="dcterms:W3CDTF">2025-11-25T10:29:00Z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bdfd7c6e-e111-3e06-b8ef-9120c45012c5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